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384810</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410210</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UNITED STATES</w:t>
      </w:r>
    </w:p>
    <w:p>
      <w:pPr>
        <w:jc w:val="center"/>
        <w:spacing w:after="0" w:line="223" w:lineRule="auto"/>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2830830</wp:posOffset>
            </wp:positionH>
            <wp:positionV relativeFrom="paragraph">
              <wp:posOffset>22860</wp:posOffset>
            </wp:positionV>
            <wp:extent cx="14890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89075" cy="8255"/>
                    </a:xfrm>
                    <a:prstGeom prst="rect">
                      <a:avLst/>
                    </a:prstGeom>
                    <a:noFill/>
                  </pic:spPr>
                </pic:pic>
              </a:graphicData>
            </a:graphic>
          </wp:anchor>
        </w:drawing>
        <w:drawing>
          <wp:anchor simplePos="0" relativeHeight="251657728" behindDoc="1" locked="0" layoutInCell="0" allowOverlap="1">
            <wp:simplePos x="0" y="0"/>
            <wp:positionH relativeFrom="column">
              <wp:posOffset>2830830</wp:posOffset>
            </wp:positionH>
            <wp:positionV relativeFrom="paragraph">
              <wp:posOffset>-178435</wp:posOffset>
            </wp:positionV>
            <wp:extent cx="14890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89075" cy="8255"/>
                    </a:xfrm>
                    <a:prstGeom prst="rect">
                      <a:avLst/>
                    </a:prstGeom>
                    <a:noFill/>
                  </pic:spPr>
                </pic:pic>
              </a:graphicData>
            </a:graphic>
          </wp:anchor>
        </w:drawing>
      </w:r>
    </w:p>
    <w:p>
      <w:pPr>
        <w:spacing w:after="0" w:line="106" w:lineRule="exact"/>
        <w:rPr>
          <w:sz w:val="24"/>
          <w:szCs w:val="24"/>
          <w:color w:val="auto"/>
        </w:rPr>
      </w:pPr>
    </w:p>
    <w:p>
      <w:pPr>
        <w:jc w:val="center"/>
        <w:ind w:left="4100" w:right="1640" w:hanging="2461"/>
        <w:spacing w:after="0" w:line="242" w:lineRule="auto"/>
        <w:tabs>
          <w:tab w:leader="none" w:pos="1842"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September 30, 2025</w:t>
      </w:r>
    </w:p>
    <w:p>
      <w:pPr>
        <w:spacing w:after="0" w:line="1" w:lineRule="exact"/>
        <w:rPr>
          <w:rFonts w:ascii="MS PGothic" w:cs="MS PGothic" w:eastAsia="MS PGothic" w:hAnsi="MS PGothic"/>
          <w:sz w:val="18"/>
          <w:szCs w:val="18"/>
          <w:color w:val="auto"/>
        </w:rPr>
      </w:pPr>
    </w:p>
    <w:p>
      <w:pPr>
        <w:ind w:left="550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OR</w:t>
      </w:r>
    </w:p>
    <w:p>
      <w:pPr>
        <w:spacing w:after="0" w:line="8" w:lineRule="exact"/>
        <w:rPr>
          <w:rFonts w:ascii="MS PGothic" w:cs="MS PGothic" w:eastAsia="MS PGothic" w:hAnsi="MS PGothic"/>
          <w:sz w:val="18"/>
          <w:szCs w:val="18"/>
          <w:color w:val="auto"/>
        </w:rPr>
      </w:pPr>
    </w:p>
    <w:p>
      <w:pPr>
        <w:ind w:left="1680" w:hanging="202"/>
        <w:spacing w:after="0"/>
        <w:tabs>
          <w:tab w:leader="none" w:pos="16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1-39093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2990850</wp:posOffset>
            </wp:positionH>
            <wp:positionV relativeFrom="paragraph">
              <wp:posOffset>10795</wp:posOffset>
            </wp:positionV>
            <wp:extent cx="1160780" cy="563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60780" cy="5638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BellRing Brands, Inc.</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ectPr>
          <w:pgSz w:w="11900" w:h="16838" w:orient="portrait"/>
          <w:cols w:equalWidth="0" w:num="1">
            <w:col w:w="11240"/>
          </w:cols>
          <w:pgMar w:left="320" w:top="333" w:right="339" w:bottom="1440" w:gutter="0" w:footer="0" w:header="0"/>
        </w:sectPr>
      </w:pPr>
    </w:p>
    <w:p>
      <w:pPr>
        <w:spacing w:after="0" w:line="42" w:lineRule="exact"/>
        <w:rPr>
          <w:sz w:val="24"/>
          <w:szCs w:val="24"/>
          <w:color w:val="auto"/>
        </w:rPr>
      </w:pPr>
    </w:p>
    <w:p>
      <w:pPr>
        <w:ind w:left="2540"/>
        <w:spacing w:after="0"/>
        <w:rPr>
          <w:sz w:val="20"/>
          <w:szCs w:val="20"/>
          <w:color w:val="auto"/>
        </w:rPr>
      </w:pPr>
      <w:r>
        <w:rPr>
          <w:rFonts w:ascii="Times New Roman" w:cs="Times New Roman" w:eastAsia="Times New Roman" w:hAnsi="Times New Roman"/>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87-3296749</w:t>
      </w:r>
    </w:p>
    <w:p>
      <w:pPr>
        <w:spacing w:after="0" w:line="37" w:lineRule="exact"/>
        <w:rPr>
          <w:sz w:val="24"/>
          <w:szCs w:val="24"/>
          <w:color w:val="auto"/>
        </w:rPr>
      </w:pPr>
    </w:p>
    <w:p>
      <w:pPr>
        <w:sectPr>
          <w:pgSz w:w="11900" w:h="16838" w:orient="portrait"/>
          <w:cols w:equalWidth="0" w:num="2">
            <w:col w:w="7280" w:space="720"/>
            <w:col w:w="3240"/>
          </w:cols>
          <w:pgMar w:left="320" w:top="333" w:right="339" w:bottom="1440" w:gutter="0" w:footer="0" w:header="0"/>
          <w:type w:val="continuous"/>
        </w:sectPr>
      </w:pPr>
    </w:p>
    <w:p>
      <w:pPr>
        <w:ind w:left="118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106" w:lineRule="exact"/>
        <w:rPr>
          <w:sz w:val="24"/>
          <w:szCs w:val="24"/>
          <w:color w:val="auto"/>
        </w:rPr>
      </w:pPr>
    </w:p>
    <w:p>
      <w:pPr>
        <w:sectPr>
          <w:pgSz w:w="11900" w:h="16838" w:orient="portrait"/>
          <w:cols w:equalWidth="0" w:num="2">
            <w:col w:w="6640" w:space="720"/>
            <w:col w:w="3880"/>
          </w:cols>
          <w:pgMar w:left="320" w:top="333"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2503 S. Hanley Road St. Louis, Missouri 63144</w:t>
      </w:r>
    </w:p>
    <w:p>
      <w:pPr>
        <w:spacing w:after="0" w:line="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p>
      <w:pPr>
        <w:spacing w:after="0" w:line="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xml:space="preserve">Registrant’s telephone number, including area code: </w:t>
      </w:r>
      <w:r>
        <w:rPr>
          <w:rFonts w:ascii="Times New Roman" w:cs="Times New Roman" w:eastAsia="Times New Roman" w:hAnsi="Times New Roman"/>
          <w:sz w:val="16"/>
          <w:szCs w:val="16"/>
          <w:b w:val="1"/>
          <w:bCs w:val="1"/>
          <w:color w:val="auto"/>
        </w:rPr>
        <w:t>(314) 644-7600</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208"/>
        </w:trPr>
        <w:tc>
          <w:tcPr>
            <w:tcW w:w="50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20" w:type="dxa"/>
            <w:vAlign w:val="bottom"/>
          </w:tcPr>
          <w:p>
            <w:pPr>
              <w:spacing w:after="0"/>
              <w:rPr>
                <w:sz w:val="18"/>
                <w:szCs w:val="18"/>
                <w:color w:val="auto"/>
              </w:rPr>
            </w:pPr>
          </w:p>
        </w:tc>
      </w:tr>
      <w:tr>
        <w:trPr>
          <w:trHeight w:val="190"/>
        </w:trPr>
        <w:tc>
          <w:tcPr>
            <w:tcW w:w="154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32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Trading Symbol(s)</w:t>
            </w:r>
          </w:p>
        </w:tc>
        <w:tc>
          <w:tcPr>
            <w:tcW w:w="1500" w:type="dxa"/>
            <w:vAlign w:val="bottom"/>
          </w:tcPr>
          <w:p>
            <w:pPr>
              <w:spacing w:after="0"/>
              <w:rPr>
                <w:sz w:val="16"/>
                <w:szCs w:val="16"/>
                <w:color w:val="auto"/>
              </w:rPr>
            </w:pPr>
          </w:p>
        </w:tc>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Name of each exchange on which registered</w:t>
            </w:r>
          </w:p>
        </w:tc>
      </w:tr>
      <w:tr>
        <w:trPr>
          <w:trHeight w:val="227"/>
        </w:trPr>
        <w:tc>
          <w:tcPr>
            <w:tcW w:w="5020" w:type="dxa"/>
            <w:vAlign w:val="bottom"/>
            <w:gridSpan w:val="3"/>
          </w:tcPr>
          <w:p>
            <w:pPr>
              <w:jc w:val="center"/>
              <w:ind w:right="780"/>
              <w:spacing w:after="0"/>
              <w:rPr>
                <w:sz w:val="20"/>
                <w:szCs w:val="20"/>
                <w:color w:val="auto"/>
              </w:rPr>
            </w:pPr>
            <w:r>
              <w:rPr>
                <w:rFonts w:ascii="Times New Roman" w:cs="Times New Roman" w:eastAsia="Times New Roman" w:hAnsi="Times New Roman"/>
                <w:sz w:val="16"/>
                <w:szCs w:val="16"/>
                <w:b w:val="1"/>
                <w:bCs w:val="1"/>
                <w:color w:val="auto"/>
                <w:w w:val="99"/>
              </w:rPr>
              <w:t>Common Stock, $0.01 par value</w:t>
            </w:r>
          </w:p>
        </w:tc>
        <w:tc>
          <w:tcPr>
            <w:tcW w:w="2700" w:type="dxa"/>
            <w:vAlign w:val="bottom"/>
            <w:gridSpan w:val="2"/>
          </w:tcPr>
          <w:p>
            <w:pPr>
              <w:jc w:val="center"/>
              <w:ind w:right="1500"/>
              <w:spacing w:after="0"/>
              <w:rPr>
                <w:sz w:val="20"/>
                <w:szCs w:val="20"/>
                <w:color w:val="auto"/>
              </w:rPr>
            </w:pPr>
            <w:r>
              <w:rPr>
                <w:rFonts w:ascii="Times New Roman" w:cs="Times New Roman" w:eastAsia="Times New Roman" w:hAnsi="Times New Roman"/>
                <w:sz w:val="16"/>
                <w:szCs w:val="16"/>
                <w:b w:val="1"/>
                <w:bCs w:val="1"/>
                <w:color w:val="auto"/>
                <w:w w:val="98"/>
              </w:rPr>
              <w:t>BRBR</w:t>
            </w:r>
          </w:p>
        </w:tc>
        <w:tc>
          <w:tcPr>
            <w:tcW w:w="2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New York Stock Exchange</w:t>
            </w:r>
          </w:p>
        </w:tc>
      </w:tr>
    </w:tbl>
    <w:p>
      <w:pPr>
        <w:spacing w:after="0" w:line="13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xml:space="preserve">Securities registered pursuant to Section 12(g) of the Act: </w:t>
      </w:r>
      <w:r>
        <w:rPr>
          <w:rFonts w:ascii="Times New Roman" w:cs="Times New Roman" w:eastAsia="Times New Roman" w:hAnsi="Times New Roman"/>
          <w:sz w:val="16"/>
          <w:szCs w:val="16"/>
          <w:b w:val="1"/>
          <w:bCs w:val="1"/>
          <w:color w:val="auto"/>
        </w:rPr>
        <w:t>None</w:t>
      </w:r>
    </w:p>
    <w:p>
      <w:pPr>
        <w:spacing w:after="0" w:line="26" w:lineRule="exact"/>
        <w:rPr>
          <w:sz w:val="24"/>
          <w:szCs w:val="24"/>
          <w:color w:val="auto"/>
        </w:rPr>
      </w:pPr>
    </w:p>
    <w:p>
      <w:pPr>
        <w:ind w:right="2760"/>
        <w:spacing w:after="0" w:line="257" w:lineRule="exact"/>
        <w:rPr>
          <w:sz w:val="20"/>
          <w:szCs w:val="20"/>
          <w:color w:val="auto"/>
        </w:rPr>
      </w:pPr>
      <w:r>
        <w:rPr>
          <w:rFonts w:ascii="Times New Roman" w:cs="Times New Roman" w:eastAsia="Times New Roman" w:hAnsi="Times New Roman"/>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Indicate by check mark if the registrant is not required to file reports pursuant to Section 13 or Section 15(d) of the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8" w:lineRule="exact"/>
        <w:rPr>
          <w:sz w:val="24"/>
          <w:szCs w:val="24"/>
          <w:color w:val="auto"/>
        </w:rPr>
      </w:pPr>
    </w:p>
    <w:p>
      <w:pPr>
        <w:ind w:right="20"/>
        <w:spacing w:after="0" w:line="215"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7" w:lineRule="exact"/>
        <w:rPr>
          <w:sz w:val="24"/>
          <w:szCs w:val="24"/>
          <w:color w:val="auto"/>
        </w:rPr>
      </w:pPr>
    </w:p>
    <w:p>
      <w:pPr>
        <w:ind w:right="600"/>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p>
    <w:p>
      <w:pPr>
        <w:ind w:right="20"/>
        <w:spacing w:after="0" w:line="307"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3" w:lineRule="exact"/>
        <w:rPr>
          <w:sz w:val="24"/>
          <w:szCs w:val="24"/>
          <w:color w:val="auto"/>
        </w:rPr>
      </w:pPr>
    </w:p>
    <w:tbl>
      <w:tblPr>
        <w:tblLayout w:type="fixed"/>
        <w:tblInd w:w="20" w:type="dxa"/>
        <w:tblCellMar>
          <w:top w:w="0" w:type="dxa"/>
          <w:left w:w="0" w:type="dxa"/>
          <w:bottom w:w="0" w:type="dxa"/>
          <w:right w:w="0" w:type="dxa"/>
        </w:tblCellMar>
      </w:tblPr>
      <w:tr>
        <w:trPr>
          <w:trHeight w:val="268"/>
        </w:trPr>
        <w:tc>
          <w:tcPr>
            <w:tcW w:w="24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720" w:type="dxa"/>
            <w:vAlign w:val="bottom"/>
          </w:tcPr>
          <w:p>
            <w:pPr>
              <w:ind w:left="1000"/>
              <w:spacing w:after="0" w:line="161" w:lineRule="exact"/>
              <w:rPr>
                <w:sz w:val="20"/>
                <w:szCs w:val="20"/>
                <w:color w:val="auto"/>
              </w:rPr>
            </w:pPr>
            <w:r>
              <w:rPr>
                <w:rFonts w:ascii="MS PGothic" w:cs="MS PGothic" w:eastAsia="MS PGothic" w:hAnsi="MS PGothic"/>
                <w:sz w:val="16"/>
                <w:szCs w:val="16"/>
                <w:color w:val="auto"/>
              </w:rPr>
              <w:t>☒</w:t>
            </w:r>
          </w:p>
        </w:tc>
        <w:tc>
          <w:tcPr>
            <w:tcW w:w="31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Accelerated filer</w:t>
            </w:r>
          </w:p>
        </w:tc>
        <w:tc>
          <w:tcPr>
            <w:tcW w:w="1000" w:type="dxa"/>
            <w:vAlign w:val="bottom"/>
          </w:tcPr>
          <w:p>
            <w:pPr>
              <w:ind w:left="8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24"/>
        </w:trPr>
        <w:tc>
          <w:tcPr>
            <w:tcW w:w="24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720" w:type="dxa"/>
            <w:vAlign w:val="bottom"/>
          </w:tcPr>
          <w:p>
            <w:pPr>
              <w:ind w:left="1000"/>
              <w:spacing w:after="0" w:line="161" w:lineRule="exact"/>
              <w:rPr>
                <w:sz w:val="20"/>
                <w:szCs w:val="20"/>
                <w:color w:val="auto"/>
              </w:rPr>
            </w:pPr>
            <w:r>
              <w:rPr>
                <w:rFonts w:ascii="MS PGothic" w:cs="MS PGothic" w:eastAsia="MS PGothic" w:hAnsi="MS PGothic"/>
                <w:sz w:val="16"/>
                <w:szCs w:val="16"/>
                <w:color w:val="auto"/>
              </w:rPr>
              <w:t>☐</w:t>
            </w:r>
          </w:p>
        </w:tc>
        <w:tc>
          <w:tcPr>
            <w:tcW w:w="31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000" w:type="dxa"/>
            <w:vAlign w:val="bottom"/>
          </w:tcPr>
          <w:p>
            <w:pPr>
              <w:ind w:left="8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24"/>
        </w:trPr>
        <w:tc>
          <w:tcPr>
            <w:tcW w:w="24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1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Emerging growth company</w:t>
            </w:r>
          </w:p>
        </w:tc>
        <w:tc>
          <w:tcPr>
            <w:tcW w:w="1000" w:type="dxa"/>
            <w:vAlign w:val="bottom"/>
          </w:tcPr>
          <w:p>
            <w:pPr>
              <w:ind w:left="8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06" w:lineRule="exact"/>
        <w:rPr>
          <w:sz w:val="24"/>
          <w:szCs w:val="24"/>
          <w:color w:val="auto"/>
        </w:rPr>
      </w:pPr>
    </w:p>
    <w:p>
      <w:pPr>
        <w:ind w:right="180"/>
        <w:spacing w:after="0" w:line="215"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8" w:lineRule="exact"/>
        <w:rPr>
          <w:sz w:val="24"/>
          <w:szCs w:val="24"/>
          <w:color w:val="auto"/>
        </w:rPr>
      </w:pPr>
    </w:p>
    <w:p>
      <w:pPr>
        <w:ind w:right="420"/>
        <w:spacing w:after="0" w:line="209"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20" w:lineRule="exact"/>
        <w:rPr>
          <w:sz w:val="24"/>
          <w:szCs w:val="24"/>
          <w:color w:val="auto"/>
        </w:rPr>
      </w:pPr>
    </w:p>
    <w:p>
      <w:pPr>
        <w:ind w:right="520"/>
        <w:spacing w:after="0" w:line="209"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20" w:lineRule="exact"/>
        <w:rPr>
          <w:sz w:val="24"/>
          <w:szCs w:val="24"/>
          <w:color w:val="auto"/>
        </w:rPr>
      </w:pPr>
    </w:p>
    <w:p>
      <w:pPr>
        <w:ind w:right="520"/>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period pursuant to §240.10D-1(b). </w:t>
      </w:r>
      <w:r>
        <w:rPr>
          <w:rFonts w:ascii="MS PGothic" w:cs="MS PGothic" w:eastAsia="MS PGothic" w:hAnsi="MS PGothic"/>
          <w:sz w:val="16"/>
          <w:szCs w:val="16"/>
          <w:color w:val="auto"/>
        </w:rPr>
        <w:t>☐</w:t>
      </w: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The aggregate market value of the registrant’s Common Stock held by non-affiliates of the registrant as of March 31, 2025, the last business day of the registrant’s most recently completed second fiscal quarter, was $9,367,938,437.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Number of shares of Common Stock, $0.01 par value, outstanding as of November 11, 2025: 119,672,080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93980</wp:posOffset>
            </wp:positionV>
            <wp:extent cx="71348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57" w:lineRule="exact"/>
        <w:rPr>
          <w:sz w:val="24"/>
          <w:szCs w:val="24"/>
          <w:color w:val="auto"/>
        </w:rPr>
      </w:pPr>
    </w:p>
    <w:p>
      <w:pPr>
        <w:ind w:right="80"/>
        <w:spacing w:after="0" w:line="272" w:lineRule="auto"/>
        <w:rPr>
          <w:sz w:val="20"/>
          <w:szCs w:val="20"/>
          <w:color w:val="auto"/>
        </w:rPr>
      </w:pPr>
      <w:r>
        <w:rPr>
          <w:rFonts w:ascii="Times New Roman" w:cs="Times New Roman" w:eastAsia="Times New Roman" w:hAnsi="Times New Roman"/>
          <w:sz w:val="16"/>
          <w:szCs w:val="16"/>
          <w:color w:val="auto"/>
        </w:rPr>
        <w:t>Certain portions of the registrant’s definitive proxy statement for its 2026 annual meeting of stockholders, to be filed with the Securities and Exchange Commission within 120 days after September 30, 2025,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396240</wp:posOffset>
            </wp:positionV>
            <wp:extent cx="716026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21590</wp:posOffset>
            </wp:positionV>
            <wp:extent cx="71348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46990</wp:posOffset>
            </wp:positionV>
            <wp:extent cx="71348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9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922"/>
        </w:trPr>
        <w:tc>
          <w:tcPr>
            <w:tcW w:w="2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00" w:type="dxa"/>
            <w:vAlign w:val="bottom"/>
            <w:gridSpan w:val="8"/>
          </w:tcPr>
          <w:p>
            <w:pPr>
              <w:jc w:val="center"/>
              <w:ind w:right="3060"/>
              <w:spacing w:after="0"/>
              <w:rPr>
                <w:sz w:val="20"/>
                <w:szCs w:val="20"/>
                <w:color w:val="auto"/>
              </w:rPr>
            </w:pPr>
            <w:r>
              <w:rPr>
                <w:rFonts w:ascii="Times New Roman" w:cs="Times New Roman" w:eastAsia="Times New Roman" w:hAnsi="Times New Roman"/>
                <w:sz w:val="18"/>
                <w:szCs w:val="18"/>
                <w:b w:val="1"/>
                <w:bCs w:val="1"/>
                <w:color w:val="auto"/>
                <w:w w:val="96"/>
              </w:rPr>
              <w:t>TABLE OF CONTENTS</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5"/>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186"/>
        </w:trPr>
        <w:tc>
          <w:tcPr>
            <w:tcW w:w="20" w:type="dxa"/>
            <w:vAlign w:val="bottom"/>
            <w:shd w:val="clear" w:color="auto" w:fill="CCEEFF"/>
          </w:tcPr>
          <w:p>
            <w:pPr>
              <w:spacing w:after="0"/>
              <w:rPr>
                <w:sz w:val="16"/>
                <w:szCs w:val="16"/>
                <w:color w:val="auto"/>
              </w:rPr>
            </w:pPr>
          </w:p>
        </w:tc>
        <w:tc>
          <w:tcPr>
            <w:tcW w:w="3920" w:type="dxa"/>
            <w:vAlign w:val="bottom"/>
            <w:tcBorders>
              <w:right w:val="single" w:sz="8" w:color="CCEEFF"/>
            </w:tcBorders>
            <w:gridSpan w:val="13"/>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0000FF"/>
                <w:w w:val="98"/>
              </w:rPr>
              <w:t>Cautionary Statement on Forward-Looking Statements</w:t>
            </w:r>
          </w:p>
        </w:tc>
        <w:tc>
          <w:tcPr>
            <w:tcW w:w="5960" w:type="dxa"/>
            <w:vAlign w:val="bottom"/>
            <w:gridSpan w:val="10"/>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jc w:val="center"/>
              <w:spacing w:after="0" w:line="186" w:lineRule="exact"/>
              <w:rPr>
                <w:sz w:val="20"/>
                <w:szCs w:val="20"/>
                <w:color w:val="auto"/>
              </w:rPr>
            </w:pPr>
            <w:r>
              <w:rPr>
                <w:rFonts w:ascii="Times New Roman" w:cs="Times New Roman" w:eastAsia="Times New Roman" w:hAnsi="Times New Roman"/>
                <w:sz w:val="18"/>
                <w:szCs w:val="18"/>
                <w:color w:val="0000FF"/>
                <w:w w:val="88"/>
              </w:rPr>
              <w:t>1</w:t>
            </w:r>
          </w:p>
        </w:tc>
        <w:tc>
          <w:tcPr>
            <w:tcW w:w="360" w:type="dxa"/>
            <w:vAlign w:val="bottom"/>
            <w:tcBorders>
              <w:left w:val="single" w:sz="8" w:color="CCEEFF"/>
            </w:tcBorders>
            <w:shd w:val="clear" w:color="auto" w:fill="CCEEFF"/>
          </w:tcPr>
          <w:p>
            <w:pPr>
              <w:spacing w:after="0"/>
              <w:rPr>
                <w:sz w:val="16"/>
                <w:szCs w:val="16"/>
                <w:color w:val="auto"/>
              </w:rPr>
            </w:pPr>
          </w:p>
        </w:tc>
      </w:tr>
      <w:tr>
        <w:trPr>
          <w:trHeight w:val="40"/>
        </w:trPr>
        <w:tc>
          <w:tcPr>
            <w:tcW w:w="20" w:type="dxa"/>
            <w:vAlign w:val="bottom"/>
            <w:shd w:val="clear" w:color="auto" w:fill="CCEE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520" w:type="dxa"/>
            <w:vAlign w:val="bottom"/>
            <w:tcBorders>
              <w:lef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2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260" w:type="dxa"/>
            <w:vAlign w:val="bottom"/>
            <w:tcBorders>
              <w:left w:val="single" w:sz="8" w:color="0000FF"/>
            </w:tcBorders>
            <w:shd w:val="clear" w:color="auto" w:fill="0000FF"/>
          </w:tcPr>
          <w:p>
            <w:pPr>
              <w:spacing w:after="0"/>
              <w:rPr>
                <w:sz w:val="3"/>
                <w:szCs w:val="3"/>
                <w:color w:val="auto"/>
              </w:rPr>
            </w:pPr>
          </w:p>
        </w:tc>
        <w:tc>
          <w:tcPr>
            <w:tcW w:w="800" w:type="dxa"/>
            <w:vAlign w:val="bottom"/>
            <w:tcBorders>
              <w:right w:val="single" w:sz="8" w:color="CCEEFF"/>
            </w:tcBorders>
            <w:shd w:val="clear" w:color="auto" w:fill="0000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90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60" w:type="dxa"/>
            <w:vAlign w:val="bottom"/>
            <w:tcBorders>
              <w:left w:val="single" w:sz="8" w:color="CCEEFF"/>
            </w:tcBorders>
            <w:shd w:val="clear" w:color="auto" w:fill="CCEEFF"/>
          </w:tcPr>
          <w:p>
            <w:pPr>
              <w:spacing w:after="0"/>
              <w:rPr>
                <w:sz w:val="3"/>
                <w:szCs w:val="3"/>
                <w:color w:val="auto"/>
              </w:rPr>
            </w:pPr>
          </w:p>
        </w:tc>
      </w:tr>
      <w:tr>
        <w:trPr>
          <w:trHeight w:val="195"/>
        </w:trPr>
        <w:tc>
          <w:tcPr>
            <w:tcW w:w="20" w:type="dxa"/>
            <w:vAlign w:val="bottom"/>
          </w:tcPr>
          <w:p>
            <w:pPr>
              <w:spacing w:after="0"/>
              <w:rPr>
                <w:sz w:val="16"/>
                <w:szCs w:val="16"/>
                <w:color w:val="auto"/>
              </w:rPr>
            </w:pPr>
          </w:p>
        </w:tc>
        <w:tc>
          <w:tcPr>
            <w:tcW w:w="3920" w:type="dxa"/>
            <w:vAlign w:val="bottom"/>
            <w:gridSpan w:val="13"/>
          </w:tcPr>
          <w:p>
            <w:pPr>
              <w:spacing w:after="0" w:line="186" w:lineRule="exact"/>
              <w:rPr>
                <w:sz w:val="20"/>
                <w:szCs w:val="20"/>
                <w:color w:val="auto"/>
              </w:rPr>
            </w:pPr>
            <w:r>
              <w:rPr>
                <w:rFonts w:ascii="Times New Roman" w:cs="Times New Roman" w:eastAsia="Times New Roman" w:hAnsi="Times New Roman"/>
                <w:sz w:val="18"/>
                <w:szCs w:val="18"/>
                <w:color w:val="0000FF"/>
              </w:rPr>
              <w:t>Summary of Risk Factors</w:t>
            </w:r>
          </w:p>
        </w:tc>
        <w:tc>
          <w:tcPr>
            <w:tcW w:w="5960" w:type="dxa"/>
            <w:vAlign w:val="bottom"/>
            <w:gridSpan w:val="10"/>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color w:val="0000FF"/>
                <w:w w:val="88"/>
              </w:rPr>
              <w:t>3</w:t>
            </w:r>
          </w:p>
        </w:tc>
        <w:tc>
          <w:tcPr>
            <w:tcW w:w="360" w:type="dxa"/>
            <w:vAlign w:val="bottom"/>
          </w:tcPr>
          <w:p>
            <w:pPr>
              <w:spacing w:after="0"/>
              <w:rPr>
                <w:sz w:val="16"/>
                <w:szCs w:val="16"/>
                <w:color w:val="auto"/>
              </w:rPr>
            </w:pPr>
          </w:p>
        </w:tc>
      </w:tr>
      <w:tr>
        <w:trPr>
          <w:trHeight w:val="262"/>
        </w:trPr>
        <w:tc>
          <w:tcPr>
            <w:tcW w:w="20" w:type="dxa"/>
            <w:vAlign w:val="bottom"/>
            <w:shd w:val="clear" w:color="auto" w:fill="CCEEFF"/>
          </w:tcPr>
          <w:p>
            <w:pPr>
              <w:spacing w:after="0"/>
              <w:rPr>
                <w:sz w:val="22"/>
                <w:szCs w:val="22"/>
                <w:color w:val="auto"/>
              </w:rPr>
            </w:pPr>
          </w:p>
        </w:tc>
        <w:tc>
          <w:tcPr>
            <w:tcW w:w="500" w:type="dxa"/>
            <w:vAlign w:val="bottom"/>
            <w:tcBorders>
              <w:top w:val="single" w:sz="8" w:color="0000FF"/>
            </w:tcBorders>
            <w:shd w:val="clear" w:color="auto" w:fill="CCEEFF"/>
          </w:tcPr>
          <w:p>
            <w:pPr>
              <w:spacing w:after="0"/>
              <w:rPr>
                <w:sz w:val="22"/>
                <w:szCs w:val="22"/>
                <w:color w:val="auto"/>
              </w:rPr>
            </w:pPr>
          </w:p>
        </w:tc>
        <w:tc>
          <w:tcPr>
            <w:tcW w:w="100" w:type="dxa"/>
            <w:vAlign w:val="bottom"/>
            <w:tcBorders>
              <w:top w:val="single" w:sz="8" w:color="0000FF"/>
              <w:right w:val="single" w:sz="8" w:color="CCEEFF"/>
            </w:tcBorders>
            <w:shd w:val="clear" w:color="auto" w:fill="CCEEFF"/>
          </w:tcPr>
          <w:p>
            <w:pPr>
              <w:spacing w:after="0"/>
              <w:rPr>
                <w:sz w:val="22"/>
                <w:szCs w:val="22"/>
                <w:color w:val="auto"/>
              </w:rPr>
            </w:pPr>
          </w:p>
        </w:tc>
        <w:tc>
          <w:tcPr>
            <w:tcW w:w="520" w:type="dxa"/>
            <w:vAlign w:val="bottom"/>
            <w:tcBorders>
              <w:top w:val="single" w:sz="8" w:color="0000FF"/>
              <w:left w:val="single" w:sz="8" w:color="CCEEFF"/>
            </w:tcBorders>
            <w:shd w:val="clear" w:color="auto" w:fill="CCEEFF"/>
          </w:tcPr>
          <w:p>
            <w:pPr>
              <w:spacing w:after="0"/>
              <w:rPr>
                <w:sz w:val="22"/>
                <w:szCs w:val="22"/>
                <w:color w:val="auto"/>
              </w:rPr>
            </w:pPr>
          </w:p>
        </w:tc>
        <w:tc>
          <w:tcPr>
            <w:tcW w:w="120" w:type="dxa"/>
            <w:vAlign w:val="bottom"/>
            <w:tcBorders>
              <w:top w:val="single" w:sz="8" w:color="0000FF"/>
            </w:tcBorders>
            <w:shd w:val="clear" w:color="auto" w:fill="CCEEFF"/>
          </w:tcPr>
          <w:p>
            <w:pPr>
              <w:spacing w:after="0"/>
              <w:rPr>
                <w:sz w:val="22"/>
                <w:szCs w:val="22"/>
                <w:color w:val="auto"/>
              </w:rPr>
            </w:pPr>
          </w:p>
        </w:tc>
        <w:tc>
          <w:tcPr>
            <w:tcW w:w="500" w:type="dxa"/>
            <w:vAlign w:val="bottom"/>
            <w:tcBorders>
              <w:top w:val="single" w:sz="8" w:color="0000FF"/>
            </w:tcBorders>
            <w:shd w:val="clear" w:color="auto" w:fill="CCEEFF"/>
          </w:tcPr>
          <w:p>
            <w:pPr>
              <w:spacing w:after="0"/>
              <w:rPr>
                <w:sz w:val="22"/>
                <w:szCs w:val="22"/>
                <w:color w:val="auto"/>
              </w:rPr>
            </w:pPr>
          </w:p>
        </w:tc>
        <w:tc>
          <w:tcPr>
            <w:tcW w:w="100" w:type="dxa"/>
            <w:vAlign w:val="bottom"/>
            <w:tcBorders>
              <w:top w:val="single" w:sz="8" w:color="0000FF"/>
              <w:right w:val="single" w:sz="8" w:color="CCEEFF"/>
            </w:tcBorders>
            <w:shd w:val="clear" w:color="auto" w:fill="CCEEFF"/>
          </w:tcPr>
          <w:p>
            <w:pPr>
              <w:spacing w:after="0"/>
              <w:rPr>
                <w:sz w:val="22"/>
                <w:szCs w:val="22"/>
                <w:color w:val="auto"/>
              </w:rPr>
            </w:pPr>
          </w:p>
        </w:tc>
        <w:tc>
          <w:tcPr>
            <w:tcW w:w="160" w:type="dxa"/>
            <w:vAlign w:val="bottom"/>
            <w:tcBorders>
              <w:lef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tcBorders>
              <w:right w:val="single" w:sz="8" w:color="CCEEFF"/>
            </w:tcBorders>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60" w:type="dxa"/>
            <w:vAlign w:val="bottom"/>
            <w:tcBorders>
              <w:left w:val="single" w:sz="8" w:color="CCEEFF"/>
            </w:tcBorders>
            <w:shd w:val="clear" w:color="auto" w:fill="CCEEFF"/>
          </w:tcPr>
          <w:p>
            <w:pPr>
              <w:spacing w:after="0"/>
              <w:rPr>
                <w:sz w:val="22"/>
                <w:szCs w:val="22"/>
                <w:color w:val="auto"/>
              </w:rPr>
            </w:pPr>
          </w:p>
        </w:tc>
        <w:tc>
          <w:tcPr>
            <w:tcW w:w="800" w:type="dxa"/>
            <w:vAlign w:val="bottom"/>
            <w:tcBorders>
              <w:right w:val="single" w:sz="8" w:color="CCEEFF"/>
            </w:tcBorders>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820" w:type="dxa"/>
            <w:vAlign w:val="bottom"/>
            <w:tcBorders>
              <w:left w:val="single" w:sz="8" w:color="CCEEFF"/>
            </w:tcBorders>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900" w:type="dxa"/>
            <w:vAlign w:val="bottom"/>
            <w:tcBorders>
              <w:right w:val="single" w:sz="8" w:color="CCEEFF"/>
            </w:tcBorders>
            <w:shd w:val="clear" w:color="auto" w:fill="CCEEFF"/>
          </w:tcPr>
          <w:p>
            <w:pPr>
              <w:spacing w:after="0"/>
              <w:rPr>
                <w:sz w:val="22"/>
                <w:szCs w:val="22"/>
                <w:color w:val="auto"/>
              </w:rPr>
            </w:pPr>
          </w:p>
        </w:tc>
        <w:tc>
          <w:tcPr>
            <w:tcW w:w="80" w:type="dxa"/>
            <w:vAlign w:val="bottom"/>
            <w:tcBorders>
              <w:top w:val="single" w:sz="8" w:color="0000FF"/>
            </w:tcBorders>
            <w:shd w:val="clear" w:color="auto" w:fill="CCEEFF"/>
          </w:tcPr>
          <w:p>
            <w:pPr>
              <w:spacing w:after="0"/>
              <w:rPr>
                <w:sz w:val="22"/>
                <w:szCs w:val="22"/>
                <w:color w:val="auto"/>
              </w:rPr>
            </w:pPr>
          </w:p>
        </w:tc>
        <w:tc>
          <w:tcPr>
            <w:tcW w:w="360" w:type="dxa"/>
            <w:vAlign w:val="bottom"/>
            <w:tcBorders>
              <w:left w:val="single" w:sz="8" w:color="CCEEFF"/>
            </w:tcBorders>
            <w:shd w:val="clear" w:color="auto" w:fill="CCEEFF"/>
          </w:tcPr>
          <w:p>
            <w:pPr>
              <w:spacing w:after="0"/>
              <w:rPr>
                <w:sz w:val="22"/>
                <w:szCs w:val="22"/>
                <w:color w:val="auto"/>
              </w:rPr>
            </w:pPr>
          </w:p>
        </w:tc>
      </w:tr>
      <w:tr>
        <w:trPr>
          <w:trHeight w:val="225"/>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740" w:type="dxa"/>
            <w:vAlign w:val="bottom"/>
            <w:gridSpan w:val="7"/>
          </w:tcPr>
          <w:p>
            <w:pPr>
              <w:jc w:val="center"/>
              <w:ind w:right="380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52"/>
        </w:trPr>
        <w:tc>
          <w:tcPr>
            <w:tcW w:w="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520" w:type="dxa"/>
            <w:vAlign w:val="bottom"/>
            <w:tcBorders>
              <w:left w:val="single" w:sz="8" w:color="CCEEFF"/>
            </w:tcBorders>
            <w:shd w:val="clear" w:color="auto" w:fill="CCEEFF"/>
          </w:tcPr>
          <w:p>
            <w:pPr>
              <w:spacing w:after="0"/>
              <w:rPr>
                <w:sz w:val="21"/>
                <w:szCs w:val="21"/>
                <w:color w:val="auto"/>
              </w:rPr>
            </w:pPr>
          </w:p>
        </w:tc>
        <w:tc>
          <w:tcPr>
            <w:tcW w:w="620" w:type="dxa"/>
            <w:vAlign w:val="bottom"/>
            <w:gridSpan w:val="2"/>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160" w:type="dxa"/>
            <w:vAlign w:val="bottom"/>
            <w:tcBorders>
              <w:lef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60" w:type="dxa"/>
            <w:vAlign w:val="bottom"/>
            <w:tcBorders>
              <w:left w:val="single" w:sz="8" w:color="CCEEFF"/>
            </w:tcBorders>
            <w:shd w:val="clear" w:color="auto" w:fill="CCEEFF"/>
          </w:tcPr>
          <w:p>
            <w:pPr>
              <w:spacing w:after="0"/>
              <w:rPr>
                <w:sz w:val="21"/>
                <w:szCs w:val="21"/>
                <w:color w:val="auto"/>
              </w:rPr>
            </w:pPr>
          </w:p>
        </w:tc>
        <w:tc>
          <w:tcPr>
            <w:tcW w:w="800" w:type="dxa"/>
            <w:vAlign w:val="bottom"/>
            <w:tcBorders>
              <w:right w:val="single" w:sz="8" w:color="CCEEFF"/>
            </w:tcBorders>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20" w:type="dxa"/>
            <w:vAlign w:val="bottom"/>
            <w:tcBorders>
              <w:left w:val="single" w:sz="8" w:color="CCEEFF"/>
            </w:tcBorders>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tcBorders>
              <w:left w:val="single" w:sz="8" w:color="CCEEFF"/>
            </w:tcBorders>
            <w:shd w:val="clear" w:color="auto" w:fill="CCEEFF"/>
          </w:tcPr>
          <w:p>
            <w:pPr>
              <w:spacing w:after="0"/>
              <w:rPr>
                <w:sz w:val="21"/>
                <w:szCs w:val="21"/>
                <w:color w:val="auto"/>
              </w:rPr>
            </w:pPr>
          </w:p>
        </w:tc>
      </w:tr>
      <w:tr>
        <w:trPr>
          <w:trHeight w:val="185"/>
        </w:trPr>
        <w:tc>
          <w:tcPr>
            <w:tcW w:w="20" w:type="dxa"/>
            <w:vAlign w:val="bottom"/>
          </w:tcPr>
          <w:p>
            <w:pPr>
              <w:spacing w:after="0"/>
              <w:rPr>
                <w:sz w:val="16"/>
                <w:szCs w:val="16"/>
                <w:color w:val="auto"/>
              </w:rPr>
            </w:pPr>
          </w:p>
        </w:tc>
        <w:tc>
          <w:tcPr>
            <w:tcW w:w="1120" w:type="dxa"/>
            <w:vAlign w:val="bottom"/>
            <w:gridSpan w:val="3"/>
          </w:tcPr>
          <w:p>
            <w:pPr>
              <w:spacing w:after="0" w:line="186" w:lineRule="exact"/>
              <w:rPr>
                <w:sz w:val="20"/>
                <w:szCs w:val="20"/>
                <w:color w:val="auto"/>
              </w:rPr>
            </w:pPr>
            <w:r>
              <w:rPr>
                <w:rFonts w:ascii="Times New Roman" w:cs="Times New Roman" w:eastAsia="Times New Roman" w:hAnsi="Times New Roman"/>
                <w:sz w:val="18"/>
                <w:szCs w:val="18"/>
                <w:color w:val="0000FF"/>
              </w:rPr>
              <w:t>Item 1.</w:t>
            </w:r>
          </w:p>
        </w:tc>
        <w:tc>
          <w:tcPr>
            <w:tcW w:w="8760" w:type="dxa"/>
            <w:vAlign w:val="bottom"/>
            <w:gridSpan w:val="20"/>
          </w:tcPr>
          <w:p>
            <w:pPr>
              <w:spacing w:after="0" w:line="186" w:lineRule="exact"/>
              <w:rPr>
                <w:sz w:val="20"/>
                <w:szCs w:val="20"/>
                <w:color w:val="auto"/>
              </w:rPr>
            </w:pPr>
            <w:r>
              <w:rPr>
                <w:rFonts w:ascii="Times New Roman" w:cs="Times New Roman" w:eastAsia="Times New Roman" w:hAnsi="Times New Roman"/>
                <w:sz w:val="18"/>
                <w:szCs w:val="18"/>
                <w:color w:val="0000FF"/>
              </w:rPr>
              <w:t>Business</w:t>
            </w:r>
          </w:p>
        </w:tc>
        <w:tc>
          <w:tcPr>
            <w:tcW w:w="980" w:type="dxa"/>
            <w:vAlign w:val="bottom"/>
            <w:gridSpan w:val="2"/>
          </w:tcPr>
          <w:p>
            <w:pPr>
              <w:jc w:val="center"/>
              <w:ind w:left="812"/>
              <w:spacing w:after="0" w:line="186" w:lineRule="exact"/>
              <w:rPr>
                <w:sz w:val="20"/>
                <w:szCs w:val="20"/>
                <w:color w:val="auto"/>
              </w:rPr>
            </w:pPr>
            <w:r>
              <w:rPr>
                <w:rFonts w:ascii="Times New Roman" w:cs="Times New Roman" w:eastAsia="Times New Roman" w:hAnsi="Times New Roman"/>
                <w:sz w:val="18"/>
                <w:szCs w:val="18"/>
                <w:color w:val="0000FF"/>
                <w:w w:val="88"/>
              </w:rPr>
              <w:t>5</w:t>
            </w:r>
          </w:p>
        </w:tc>
        <w:tc>
          <w:tcPr>
            <w:tcW w:w="360" w:type="dxa"/>
            <w:vAlign w:val="bottom"/>
          </w:tcPr>
          <w:p>
            <w:pPr>
              <w:spacing w:after="0"/>
              <w:rPr>
                <w:sz w:val="16"/>
                <w:szCs w:val="16"/>
                <w:color w:val="auto"/>
              </w:rPr>
            </w:pPr>
          </w:p>
        </w:tc>
      </w:tr>
      <w:tr>
        <w:trPr>
          <w:trHeight w:val="30"/>
        </w:trPr>
        <w:tc>
          <w:tcPr>
            <w:tcW w:w="2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60" w:type="dxa"/>
            <w:vAlign w:val="bottom"/>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600" w:type="dxa"/>
            <w:vAlign w:val="bottom"/>
            <w:tcBorders>
              <w:right w:val="single" w:sz="8" w:color="CCEEFF"/>
            </w:tcBorders>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w w:val="87"/>
              </w:rPr>
              <w:t>Item 1A.</w:t>
            </w:r>
          </w:p>
        </w:tc>
        <w:tc>
          <w:tcPr>
            <w:tcW w:w="520" w:type="dxa"/>
            <w:vAlign w:val="bottom"/>
            <w:tcBorders>
              <w:left w:val="single" w:sz="8" w:color="CCEEFF"/>
            </w:tcBorders>
            <w:shd w:val="clear" w:color="auto" w:fill="CCEEFF"/>
          </w:tcPr>
          <w:p>
            <w:pPr>
              <w:spacing w:after="0"/>
              <w:rPr>
                <w:sz w:val="16"/>
                <w:szCs w:val="16"/>
                <w:color w:val="auto"/>
              </w:rPr>
            </w:pPr>
          </w:p>
        </w:tc>
        <w:tc>
          <w:tcPr>
            <w:tcW w:w="8760" w:type="dxa"/>
            <w:vAlign w:val="bottom"/>
            <w:gridSpan w:val="20"/>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Risk Factors</w:t>
            </w:r>
          </w:p>
        </w:tc>
        <w:tc>
          <w:tcPr>
            <w:tcW w:w="1340" w:type="dxa"/>
            <w:vAlign w:val="bottom"/>
            <w:gridSpan w:val="3"/>
            <w:shd w:val="clear" w:color="auto" w:fill="CCEEFF"/>
          </w:tcPr>
          <w:p>
            <w:pPr>
              <w:jc w:val="center"/>
              <w:ind w:left="472"/>
              <w:spacing w:after="0" w:line="195" w:lineRule="exact"/>
              <w:rPr>
                <w:sz w:val="20"/>
                <w:szCs w:val="20"/>
                <w:color w:val="auto"/>
              </w:rPr>
            </w:pPr>
            <w:r>
              <w:rPr>
                <w:rFonts w:ascii="Times New Roman" w:cs="Times New Roman" w:eastAsia="Times New Roman" w:hAnsi="Times New Roman"/>
                <w:sz w:val="18"/>
                <w:szCs w:val="18"/>
                <w:color w:val="0000FF"/>
                <w:w w:val="99"/>
              </w:rPr>
              <w:t>13</w:t>
            </w:r>
          </w:p>
        </w:tc>
      </w:tr>
      <w:tr>
        <w:trPr>
          <w:trHeight w:val="40"/>
        </w:trPr>
        <w:tc>
          <w:tcPr>
            <w:tcW w:w="20" w:type="dxa"/>
            <w:vAlign w:val="bottom"/>
            <w:shd w:val="clear" w:color="auto" w:fill="CCEE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520" w:type="dxa"/>
            <w:vAlign w:val="bottom"/>
            <w:tcBorders>
              <w:left w:val="single" w:sz="8" w:color="0000FF"/>
            </w:tcBorders>
            <w:shd w:val="clear" w:color="auto" w:fill="CCEE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20" w:type="dxa"/>
            <w:vAlign w:val="bottom"/>
            <w:tcBorders>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800" w:type="dxa"/>
            <w:vAlign w:val="bottom"/>
            <w:tcBorders>
              <w:righ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90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60" w:type="dxa"/>
            <w:vAlign w:val="bottom"/>
            <w:tcBorders>
              <w:left w:val="single" w:sz="8" w:color="0000FF"/>
            </w:tcBorders>
            <w:shd w:val="clear" w:color="auto" w:fill="CCEEFF"/>
          </w:tcPr>
          <w:p>
            <w:pPr>
              <w:spacing w:after="0"/>
              <w:rPr>
                <w:sz w:val="3"/>
                <w:szCs w:val="3"/>
                <w:color w:val="auto"/>
              </w:rPr>
            </w:pPr>
          </w:p>
        </w:tc>
      </w:tr>
      <w:tr>
        <w:trPr>
          <w:trHeight w:val="186"/>
        </w:trPr>
        <w:tc>
          <w:tcPr>
            <w:tcW w:w="20" w:type="dxa"/>
            <w:vAlign w:val="bottom"/>
          </w:tcPr>
          <w:p>
            <w:pPr>
              <w:spacing w:after="0"/>
              <w:rPr>
                <w:sz w:val="16"/>
                <w:szCs w:val="16"/>
                <w:color w:val="auto"/>
              </w:rPr>
            </w:pPr>
          </w:p>
        </w:tc>
        <w:tc>
          <w:tcPr>
            <w:tcW w:w="600" w:type="dxa"/>
            <w:vAlign w:val="bottom"/>
            <w:gridSpan w:val="2"/>
          </w:tcPr>
          <w:p>
            <w:pPr>
              <w:spacing w:after="0" w:line="186" w:lineRule="exact"/>
              <w:rPr>
                <w:sz w:val="20"/>
                <w:szCs w:val="20"/>
                <w:color w:val="auto"/>
              </w:rPr>
            </w:pPr>
            <w:r>
              <w:rPr>
                <w:rFonts w:ascii="Times New Roman" w:cs="Times New Roman" w:eastAsia="Times New Roman" w:hAnsi="Times New Roman"/>
                <w:sz w:val="18"/>
                <w:szCs w:val="18"/>
                <w:color w:val="0000FF"/>
                <w:w w:val="88"/>
              </w:rPr>
              <w:t>Item 1B.</w:t>
            </w:r>
          </w:p>
        </w:tc>
        <w:tc>
          <w:tcPr>
            <w:tcW w:w="520" w:type="dxa"/>
            <w:vAlign w:val="bottom"/>
          </w:tcPr>
          <w:p>
            <w:pPr>
              <w:spacing w:after="0"/>
              <w:rPr>
                <w:sz w:val="16"/>
                <w:szCs w:val="16"/>
                <w:color w:val="auto"/>
              </w:rPr>
            </w:pPr>
          </w:p>
        </w:tc>
        <w:tc>
          <w:tcPr>
            <w:tcW w:w="8760" w:type="dxa"/>
            <w:vAlign w:val="bottom"/>
            <w:gridSpan w:val="20"/>
          </w:tcPr>
          <w:p>
            <w:pPr>
              <w:spacing w:after="0" w:line="186" w:lineRule="exact"/>
              <w:rPr>
                <w:sz w:val="20"/>
                <w:szCs w:val="20"/>
                <w:color w:val="auto"/>
              </w:rPr>
            </w:pPr>
            <w:r>
              <w:rPr>
                <w:rFonts w:ascii="Times New Roman" w:cs="Times New Roman" w:eastAsia="Times New Roman" w:hAnsi="Times New Roman"/>
                <w:sz w:val="18"/>
                <w:szCs w:val="18"/>
                <w:color w:val="0000FF"/>
              </w:rPr>
              <w:t>Unresolved Staff Comments</w:t>
            </w:r>
          </w:p>
        </w:tc>
        <w:tc>
          <w:tcPr>
            <w:tcW w:w="1340" w:type="dxa"/>
            <w:vAlign w:val="bottom"/>
            <w:gridSpan w:val="3"/>
          </w:tcPr>
          <w:p>
            <w:pPr>
              <w:jc w:val="center"/>
              <w:ind w:left="472"/>
              <w:spacing w:after="0" w:line="186" w:lineRule="exact"/>
              <w:rPr>
                <w:sz w:val="20"/>
                <w:szCs w:val="20"/>
                <w:color w:val="auto"/>
              </w:rPr>
            </w:pPr>
            <w:r>
              <w:rPr>
                <w:rFonts w:ascii="Times New Roman" w:cs="Times New Roman" w:eastAsia="Times New Roman" w:hAnsi="Times New Roman"/>
                <w:sz w:val="18"/>
                <w:szCs w:val="18"/>
                <w:color w:val="0000FF"/>
                <w:w w:val="99"/>
              </w:rPr>
              <w:t>30</w:t>
            </w:r>
          </w:p>
        </w:tc>
      </w:tr>
      <w:tr>
        <w:trPr>
          <w:trHeight w:val="30"/>
        </w:trPr>
        <w:tc>
          <w:tcPr>
            <w:tcW w:w="2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60" w:type="dxa"/>
            <w:vAlign w:val="bottom"/>
            <w:tcBorders>
              <w:left w:val="single" w:sz="8" w:color="0000FF"/>
            </w:tcBorders>
            <w:shd w:val="clear" w:color="auto" w:fill="0000FF"/>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90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60" w:type="dxa"/>
            <w:vAlign w:val="bottom"/>
            <w:tcBorders>
              <w:left w:val="single" w:sz="8" w:color="0000FF"/>
            </w:tcBorders>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Item 1C.</w:t>
            </w:r>
          </w:p>
        </w:tc>
        <w:tc>
          <w:tcPr>
            <w:tcW w:w="8760" w:type="dxa"/>
            <w:vAlign w:val="bottom"/>
            <w:gridSpan w:val="20"/>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Cybersecurity</w:t>
            </w:r>
          </w:p>
        </w:tc>
        <w:tc>
          <w:tcPr>
            <w:tcW w:w="1340" w:type="dxa"/>
            <w:vAlign w:val="bottom"/>
            <w:gridSpan w:val="3"/>
            <w:shd w:val="clear" w:color="auto" w:fill="CCEEFF"/>
          </w:tcPr>
          <w:p>
            <w:pPr>
              <w:jc w:val="center"/>
              <w:ind w:left="472"/>
              <w:spacing w:after="0" w:line="195" w:lineRule="exact"/>
              <w:rPr>
                <w:sz w:val="20"/>
                <w:szCs w:val="20"/>
                <w:color w:val="auto"/>
              </w:rPr>
            </w:pPr>
            <w:r>
              <w:rPr>
                <w:rFonts w:ascii="Times New Roman" w:cs="Times New Roman" w:eastAsia="Times New Roman" w:hAnsi="Times New Roman"/>
                <w:sz w:val="18"/>
                <w:szCs w:val="18"/>
                <w:color w:val="0000FF"/>
                <w:w w:val="99"/>
              </w:rPr>
              <w:t>31</w:t>
            </w:r>
          </w:p>
        </w:tc>
      </w:tr>
      <w:tr>
        <w:trPr>
          <w:trHeight w:val="40"/>
        </w:trPr>
        <w:tc>
          <w:tcPr>
            <w:tcW w:w="20" w:type="dxa"/>
            <w:vAlign w:val="bottom"/>
            <w:shd w:val="clear" w:color="auto" w:fill="CCEE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520" w:type="dxa"/>
            <w:vAlign w:val="bottom"/>
            <w:tcBorders>
              <w:left w:val="single" w:sz="8" w:color="CCEEFF"/>
            </w:tcBorders>
            <w:shd w:val="clear" w:color="auto" w:fill="CCEE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20" w:type="dxa"/>
            <w:vAlign w:val="bottom"/>
            <w:tcBorders>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800" w:type="dxa"/>
            <w:vAlign w:val="bottom"/>
            <w:tcBorders>
              <w:righ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90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60" w:type="dxa"/>
            <w:vAlign w:val="bottom"/>
            <w:tcBorders>
              <w:left w:val="single" w:sz="8" w:color="0000FF"/>
            </w:tcBorders>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600" w:type="dxa"/>
            <w:vAlign w:val="bottom"/>
            <w:gridSpan w:val="2"/>
          </w:tcPr>
          <w:p>
            <w:pPr>
              <w:spacing w:after="0" w:line="186" w:lineRule="exact"/>
              <w:rPr>
                <w:sz w:val="20"/>
                <w:szCs w:val="20"/>
                <w:color w:val="auto"/>
              </w:rPr>
            </w:pPr>
            <w:r>
              <w:rPr>
                <w:rFonts w:ascii="Times New Roman" w:cs="Times New Roman" w:eastAsia="Times New Roman" w:hAnsi="Times New Roman"/>
                <w:sz w:val="18"/>
                <w:szCs w:val="18"/>
                <w:color w:val="0000FF"/>
              </w:rPr>
              <w:t>Item 2.</w:t>
            </w:r>
          </w:p>
        </w:tc>
        <w:tc>
          <w:tcPr>
            <w:tcW w:w="520" w:type="dxa"/>
            <w:vAlign w:val="bottom"/>
          </w:tcPr>
          <w:p>
            <w:pPr>
              <w:spacing w:after="0"/>
              <w:rPr>
                <w:sz w:val="16"/>
                <w:szCs w:val="16"/>
                <w:color w:val="auto"/>
              </w:rPr>
            </w:pPr>
          </w:p>
        </w:tc>
        <w:tc>
          <w:tcPr>
            <w:tcW w:w="980" w:type="dxa"/>
            <w:vAlign w:val="bottom"/>
            <w:gridSpan w:val="5"/>
          </w:tcPr>
          <w:p>
            <w:pPr>
              <w:spacing w:after="0" w:line="186" w:lineRule="exact"/>
              <w:rPr>
                <w:sz w:val="20"/>
                <w:szCs w:val="20"/>
                <w:color w:val="auto"/>
              </w:rPr>
            </w:pPr>
            <w:r>
              <w:rPr>
                <w:rFonts w:ascii="Times New Roman" w:cs="Times New Roman" w:eastAsia="Times New Roman" w:hAnsi="Times New Roman"/>
                <w:sz w:val="18"/>
                <w:szCs w:val="18"/>
                <w:color w:val="0000FF"/>
              </w:rPr>
              <w:t>Properties</w:t>
            </w:r>
          </w:p>
        </w:tc>
        <w:tc>
          <w:tcPr>
            <w:tcW w:w="7780" w:type="dxa"/>
            <w:vAlign w:val="bottom"/>
            <w:gridSpan w:val="15"/>
          </w:tcPr>
          <w:p>
            <w:pPr>
              <w:spacing w:after="0"/>
              <w:rPr>
                <w:sz w:val="16"/>
                <w:szCs w:val="16"/>
                <w:color w:val="auto"/>
              </w:rPr>
            </w:pPr>
          </w:p>
        </w:tc>
        <w:tc>
          <w:tcPr>
            <w:tcW w:w="1340" w:type="dxa"/>
            <w:vAlign w:val="bottom"/>
            <w:gridSpan w:val="3"/>
          </w:tcPr>
          <w:p>
            <w:pPr>
              <w:jc w:val="center"/>
              <w:ind w:left="472"/>
              <w:spacing w:after="0" w:line="186" w:lineRule="exact"/>
              <w:rPr>
                <w:sz w:val="20"/>
                <w:szCs w:val="20"/>
                <w:color w:val="auto"/>
              </w:rPr>
            </w:pPr>
            <w:r>
              <w:rPr>
                <w:rFonts w:ascii="Times New Roman" w:cs="Times New Roman" w:eastAsia="Times New Roman" w:hAnsi="Times New Roman"/>
                <w:sz w:val="18"/>
                <w:szCs w:val="18"/>
                <w:color w:val="0000FF"/>
                <w:w w:val="99"/>
              </w:rPr>
              <w:t>32</w:t>
            </w:r>
          </w:p>
        </w:tc>
      </w:tr>
      <w:tr>
        <w:trPr>
          <w:trHeight w:val="30"/>
        </w:trPr>
        <w:tc>
          <w:tcPr>
            <w:tcW w:w="2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90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60" w:type="dxa"/>
            <w:vAlign w:val="bottom"/>
            <w:tcBorders>
              <w:left w:val="single" w:sz="8" w:color="0000FF"/>
            </w:tcBorders>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Item 3.</w:t>
            </w:r>
          </w:p>
        </w:tc>
        <w:tc>
          <w:tcPr>
            <w:tcW w:w="8760" w:type="dxa"/>
            <w:vAlign w:val="bottom"/>
            <w:gridSpan w:val="20"/>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Legal Proceedings</w:t>
            </w:r>
          </w:p>
        </w:tc>
        <w:tc>
          <w:tcPr>
            <w:tcW w:w="1340" w:type="dxa"/>
            <w:vAlign w:val="bottom"/>
            <w:gridSpan w:val="3"/>
            <w:shd w:val="clear" w:color="auto" w:fill="CCEEFF"/>
          </w:tcPr>
          <w:p>
            <w:pPr>
              <w:jc w:val="center"/>
              <w:ind w:left="472"/>
              <w:spacing w:after="0" w:line="195" w:lineRule="exact"/>
              <w:rPr>
                <w:sz w:val="20"/>
                <w:szCs w:val="20"/>
                <w:color w:val="auto"/>
              </w:rPr>
            </w:pPr>
            <w:r>
              <w:rPr>
                <w:rFonts w:ascii="Times New Roman" w:cs="Times New Roman" w:eastAsia="Times New Roman" w:hAnsi="Times New Roman"/>
                <w:sz w:val="18"/>
                <w:szCs w:val="18"/>
                <w:color w:val="0000FF"/>
                <w:w w:val="99"/>
              </w:rPr>
              <w:t>32</w:t>
            </w:r>
          </w:p>
        </w:tc>
      </w:tr>
      <w:tr>
        <w:trPr>
          <w:trHeight w:val="40"/>
        </w:trPr>
        <w:tc>
          <w:tcPr>
            <w:tcW w:w="20" w:type="dxa"/>
            <w:vAlign w:val="bottom"/>
            <w:shd w:val="clear" w:color="auto" w:fill="CCEE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520" w:type="dxa"/>
            <w:vAlign w:val="bottom"/>
            <w:tcBorders>
              <w:left w:val="single" w:sz="8" w:color="CCEEFF"/>
            </w:tcBorders>
            <w:shd w:val="clear" w:color="auto" w:fill="CCEE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2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800" w:type="dxa"/>
            <w:vAlign w:val="bottom"/>
            <w:tcBorders>
              <w:righ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90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60" w:type="dxa"/>
            <w:vAlign w:val="bottom"/>
            <w:tcBorders>
              <w:left w:val="single" w:sz="8" w:color="0000FF"/>
            </w:tcBorders>
            <w:shd w:val="clear" w:color="auto" w:fill="CCEEFF"/>
          </w:tcPr>
          <w:p>
            <w:pPr>
              <w:spacing w:after="0"/>
              <w:rPr>
                <w:sz w:val="3"/>
                <w:szCs w:val="3"/>
                <w:color w:val="auto"/>
              </w:rPr>
            </w:pPr>
          </w:p>
        </w:tc>
      </w:tr>
      <w:tr>
        <w:trPr>
          <w:trHeight w:val="195"/>
        </w:trPr>
        <w:tc>
          <w:tcPr>
            <w:tcW w:w="20" w:type="dxa"/>
            <w:vAlign w:val="bottom"/>
          </w:tcPr>
          <w:p>
            <w:pPr>
              <w:spacing w:after="0"/>
              <w:rPr>
                <w:sz w:val="16"/>
                <w:szCs w:val="16"/>
                <w:color w:val="auto"/>
              </w:rPr>
            </w:pPr>
          </w:p>
        </w:tc>
        <w:tc>
          <w:tcPr>
            <w:tcW w:w="1120" w:type="dxa"/>
            <w:vAlign w:val="bottom"/>
            <w:gridSpan w:val="3"/>
          </w:tcPr>
          <w:p>
            <w:pPr>
              <w:spacing w:after="0" w:line="186" w:lineRule="exact"/>
              <w:rPr>
                <w:sz w:val="20"/>
                <w:szCs w:val="20"/>
                <w:color w:val="auto"/>
              </w:rPr>
            </w:pPr>
            <w:r>
              <w:rPr>
                <w:rFonts w:ascii="Times New Roman" w:cs="Times New Roman" w:eastAsia="Times New Roman" w:hAnsi="Times New Roman"/>
                <w:sz w:val="18"/>
                <w:szCs w:val="18"/>
                <w:color w:val="0000FF"/>
              </w:rPr>
              <w:t>Item 4.</w:t>
            </w:r>
          </w:p>
        </w:tc>
        <w:tc>
          <w:tcPr>
            <w:tcW w:w="8760" w:type="dxa"/>
            <w:vAlign w:val="bottom"/>
            <w:gridSpan w:val="20"/>
          </w:tcPr>
          <w:p>
            <w:pPr>
              <w:spacing w:after="0" w:line="186" w:lineRule="exact"/>
              <w:rPr>
                <w:sz w:val="20"/>
                <w:szCs w:val="20"/>
                <w:color w:val="auto"/>
              </w:rPr>
            </w:pPr>
            <w:r>
              <w:rPr>
                <w:rFonts w:ascii="Times New Roman" w:cs="Times New Roman" w:eastAsia="Times New Roman" w:hAnsi="Times New Roman"/>
                <w:sz w:val="18"/>
                <w:szCs w:val="18"/>
                <w:color w:val="0000FF"/>
              </w:rPr>
              <w:t>Mine Safety Disclosures</w:t>
            </w:r>
          </w:p>
        </w:tc>
        <w:tc>
          <w:tcPr>
            <w:tcW w:w="1340" w:type="dxa"/>
            <w:vAlign w:val="bottom"/>
            <w:gridSpan w:val="3"/>
          </w:tcPr>
          <w:p>
            <w:pPr>
              <w:jc w:val="center"/>
              <w:ind w:left="472"/>
              <w:spacing w:after="0" w:line="186" w:lineRule="exact"/>
              <w:rPr>
                <w:sz w:val="20"/>
                <w:szCs w:val="20"/>
                <w:color w:val="auto"/>
              </w:rPr>
            </w:pPr>
            <w:r>
              <w:rPr>
                <w:rFonts w:ascii="Times New Roman" w:cs="Times New Roman" w:eastAsia="Times New Roman" w:hAnsi="Times New Roman"/>
                <w:sz w:val="18"/>
                <w:szCs w:val="18"/>
                <w:color w:val="0000FF"/>
                <w:w w:val="99"/>
              </w:rPr>
              <w:t>32</w:t>
            </w:r>
          </w:p>
        </w:tc>
      </w:tr>
      <w:tr>
        <w:trPr>
          <w:trHeight w:val="262"/>
        </w:trPr>
        <w:tc>
          <w:tcPr>
            <w:tcW w:w="20" w:type="dxa"/>
            <w:vAlign w:val="bottom"/>
            <w:shd w:val="clear" w:color="auto" w:fill="CCEEFF"/>
          </w:tcPr>
          <w:p>
            <w:pPr>
              <w:spacing w:after="0"/>
              <w:rPr>
                <w:sz w:val="22"/>
                <w:szCs w:val="22"/>
                <w:color w:val="auto"/>
              </w:rPr>
            </w:pPr>
          </w:p>
        </w:tc>
        <w:tc>
          <w:tcPr>
            <w:tcW w:w="500" w:type="dxa"/>
            <w:vAlign w:val="bottom"/>
            <w:tcBorders>
              <w:top w:val="single" w:sz="8" w:color="0000FF"/>
            </w:tcBorders>
            <w:shd w:val="clear" w:color="auto" w:fill="CCEEFF"/>
          </w:tcPr>
          <w:p>
            <w:pPr>
              <w:spacing w:after="0"/>
              <w:rPr>
                <w:sz w:val="22"/>
                <w:szCs w:val="22"/>
                <w:color w:val="auto"/>
              </w:rPr>
            </w:pPr>
          </w:p>
        </w:tc>
        <w:tc>
          <w:tcPr>
            <w:tcW w:w="100" w:type="dxa"/>
            <w:vAlign w:val="bottom"/>
            <w:tcBorders>
              <w:right w:val="single" w:sz="8" w:color="CCEEFF"/>
            </w:tcBorders>
            <w:shd w:val="clear" w:color="auto" w:fill="CCEEFF"/>
          </w:tcPr>
          <w:p>
            <w:pPr>
              <w:spacing w:after="0"/>
              <w:rPr>
                <w:sz w:val="22"/>
                <w:szCs w:val="22"/>
                <w:color w:val="auto"/>
              </w:rPr>
            </w:pPr>
          </w:p>
        </w:tc>
        <w:tc>
          <w:tcPr>
            <w:tcW w:w="520" w:type="dxa"/>
            <w:vAlign w:val="bottom"/>
            <w:tcBorders>
              <w:left w:val="single" w:sz="8" w:color="CCEEFF"/>
            </w:tcBorders>
            <w:shd w:val="clear" w:color="auto" w:fill="CCEEFF"/>
          </w:tcPr>
          <w:p>
            <w:pPr>
              <w:spacing w:after="0"/>
              <w:rPr>
                <w:sz w:val="22"/>
                <w:szCs w:val="22"/>
                <w:color w:val="auto"/>
              </w:rPr>
            </w:pPr>
          </w:p>
        </w:tc>
        <w:tc>
          <w:tcPr>
            <w:tcW w:w="120" w:type="dxa"/>
            <w:vAlign w:val="bottom"/>
            <w:tcBorders>
              <w:top w:val="single" w:sz="8" w:color="0000FF"/>
            </w:tcBorders>
            <w:shd w:val="clear" w:color="auto" w:fill="CCEEFF"/>
          </w:tcPr>
          <w:p>
            <w:pPr>
              <w:spacing w:after="0"/>
              <w:rPr>
                <w:sz w:val="22"/>
                <w:szCs w:val="22"/>
                <w:color w:val="auto"/>
              </w:rPr>
            </w:pPr>
          </w:p>
        </w:tc>
        <w:tc>
          <w:tcPr>
            <w:tcW w:w="500" w:type="dxa"/>
            <w:vAlign w:val="bottom"/>
            <w:tcBorders>
              <w:top w:val="single" w:sz="8" w:color="0000FF"/>
            </w:tcBorders>
            <w:shd w:val="clear" w:color="auto" w:fill="CCEEFF"/>
          </w:tcPr>
          <w:p>
            <w:pPr>
              <w:spacing w:after="0"/>
              <w:rPr>
                <w:sz w:val="22"/>
                <w:szCs w:val="22"/>
                <w:color w:val="auto"/>
              </w:rPr>
            </w:pPr>
          </w:p>
        </w:tc>
        <w:tc>
          <w:tcPr>
            <w:tcW w:w="100" w:type="dxa"/>
            <w:vAlign w:val="bottom"/>
            <w:tcBorders>
              <w:top w:val="single" w:sz="8" w:color="0000FF"/>
              <w:right w:val="single" w:sz="8" w:color="CCEEFF"/>
            </w:tcBorders>
            <w:shd w:val="clear" w:color="auto" w:fill="CCEEFF"/>
          </w:tcPr>
          <w:p>
            <w:pPr>
              <w:spacing w:after="0"/>
              <w:rPr>
                <w:sz w:val="22"/>
                <w:szCs w:val="22"/>
                <w:color w:val="auto"/>
              </w:rPr>
            </w:pPr>
          </w:p>
        </w:tc>
        <w:tc>
          <w:tcPr>
            <w:tcW w:w="160" w:type="dxa"/>
            <w:vAlign w:val="bottom"/>
            <w:tcBorders>
              <w:top w:val="single" w:sz="8" w:color="0000FF"/>
              <w:left w:val="single" w:sz="8" w:color="CCEEFF"/>
            </w:tcBorders>
            <w:shd w:val="clear" w:color="auto" w:fill="CCEEFF"/>
          </w:tcPr>
          <w:p>
            <w:pPr>
              <w:spacing w:after="0"/>
              <w:rPr>
                <w:sz w:val="22"/>
                <w:szCs w:val="22"/>
                <w:color w:val="auto"/>
              </w:rPr>
            </w:pPr>
          </w:p>
        </w:tc>
        <w:tc>
          <w:tcPr>
            <w:tcW w:w="100" w:type="dxa"/>
            <w:vAlign w:val="bottom"/>
            <w:tcBorders>
              <w:top w:val="single" w:sz="8" w:color="0000FF"/>
            </w:tcBorders>
            <w:shd w:val="clear" w:color="auto" w:fill="CCEEFF"/>
          </w:tcPr>
          <w:p>
            <w:pPr>
              <w:spacing w:after="0"/>
              <w:rPr>
                <w:sz w:val="22"/>
                <w:szCs w:val="22"/>
                <w:color w:val="auto"/>
              </w:rPr>
            </w:pPr>
          </w:p>
        </w:tc>
        <w:tc>
          <w:tcPr>
            <w:tcW w:w="320" w:type="dxa"/>
            <w:vAlign w:val="bottom"/>
            <w:tcBorders>
              <w:top w:val="single" w:sz="8" w:color="0000FF"/>
              <w:right w:val="single" w:sz="8" w:color="CCEEFF"/>
            </w:tcBorders>
            <w:shd w:val="clear" w:color="auto" w:fill="CCEEFF"/>
          </w:tcPr>
          <w:p>
            <w:pPr>
              <w:spacing w:after="0"/>
              <w:rPr>
                <w:sz w:val="22"/>
                <w:szCs w:val="22"/>
                <w:color w:val="auto"/>
              </w:rPr>
            </w:pPr>
          </w:p>
        </w:tc>
        <w:tc>
          <w:tcPr>
            <w:tcW w:w="220" w:type="dxa"/>
            <w:vAlign w:val="bottom"/>
            <w:tcBorders>
              <w:top w:val="single" w:sz="8" w:color="0000FF"/>
            </w:tcBorders>
            <w:shd w:val="clear" w:color="auto" w:fill="CCEEFF"/>
          </w:tcPr>
          <w:p>
            <w:pPr>
              <w:spacing w:after="0"/>
              <w:rPr>
                <w:sz w:val="22"/>
                <w:szCs w:val="22"/>
                <w:color w:val="auto"/>
              </w:rPr>
            </w:pPr>
          </w:p>
        </w:tc>
        <w:tc>
          <w:tcPr>
            <w:tcW w:w="220" w:type="dxa"/>
            <w:vAlign w:val="bottom"/>
            <w:tcBorders>
              <w:top w:val="single" w:sz="8" w:color="0000FF"/>
            </w:tcBorders>
            <w:shd w:val="clear" w:color="auto" w:fill="CCEEFF"/>
          </w:tcPr>
          <w:p>
            <w:pPr>
              <w:spacing w:after="0"/>
              <w:rPr>
                <w:sz w:val="22"/>
                <w:szCs w:val="22"/>
                <w:color w:val="auto"/>
              </w:rPr>
            </w:pPr>
          </w:p>
        </w:tc>
        <w:tc>
          <w:tcPr>
            <w:tcW w:w="260" w:type="dxa"/>
            <w:vAlign w:val="bottom"/>
            <w:tcBorders>
              <w:left w:val="single" w:sz="8" w:color="CCEEFF"/>
            </w:tcBorders>
            <w:shd w:val="clear" w:color="auto" w:fill="CCEEFF"/>
          </w:tcPr>
          <w:p>
            <w:pPr>
              <w:spacing w:after="0"/>
              <w:rPr>
                <w:sz w:val="22"/>
                <w:szCs w:val="22"/>
                <w:color w:val="auto"/>
              </w:rPr>
            </w:pPr>
          </w:p>
        </w:tc>
        <w:tc>
          <w:tcPr>
            <w:tcW w:w="800" w:type="dxa"/>
            <w:vAlign w:val="bottom"/>
            <w:tcBorders>
              <w:right w:val="single" w:sz="8" w:color="CCEEFF"/>
            </w:tcBorders>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820" w:type="dxa"/>
            <w:vAlign w:val="bottom"/>
            <w:tcBorders>
              <w:left w:val="single" w:sz="8" w:color="CCEEFF"/>
            </w:tcBorders>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900" w:type="dxa"/>
            <w:vAlign w:val="bottom"/>
            <w:tcBorders>
              <w:right w:val="single" w:sz="8" w:color="CCEEFF"/>
            </w:tcBorders>
            <w:shd w:val="clear" w:color="auto" w:fill="CCEEFF"/>
          </w:tcPr>
          <w:p>
            <w:pPr>
              <w:spacing w:after="0"/>
              <w:rPr>
                <w:sz w:val="22"/>
                <w:szCs w:val="22"/>
                <w:color w:val="auto"/>
              </w:rPr>
            </w:pPr>
          </w:p>
        </w:tc>
        <w:tc>
          <w:tcPr>
            <w:tcW w:w="80" w:type="dxa"/>
            <w:vAlign w:val="bottom"/>
            <w:tcBorders>
              <w:top w:val="single" w:sz="8" w:color="0000FF"/>
            </w:tcBorders>
            <w:shd w:val="clear" w:color="auto" w:fill="CCEEFF"/>
          </w:tcPr>
          <w:p>
            <w:pPr>
              <w:spacing w:after="0"/>
              <w:rPr>
                <w:sz w:val="22"/>
                <w:szCs w:val="22"/>
                <w:color w:val="auto"/>
              </w:rPr>
            </w:pPr>
          </w:p>
        </w:tc>
        <w:tc>
          <w:tcPr>
            <w:tcW w:w="360" w:type="dxa"/>
            <w:vAlign w:val="bottom"/>
            <w:tcBorders>
              <w:left w:val="single" w:sz="8" w:color="CCEEFF"/>
            </w:tcBorders>
            <w:shd w:val="clear" w:color="auto" w:fill="CCEEFF"/>
          </w:tcPr>
          <w:p>
            <w:pPr>
              <w:spacing w:after="0"/>
              <w:rPr>
                <w:sz w:val="22"/>
                <w:szCs w:val="22"/>
                <w:color w:val="auto"/>
              </w:rPr>
            </w:pPr>
          </w:p>
        </w:tc>
      </w:tr>
      <w:tr>
        <w:trPr>
          <w:trHeight w:val="225"/>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740" w:type="dxa"/>
            <w:vAlign w:val="bottom"/>
            <w:gridSpan w:val="7"/>
          </w:tcPr>
          <w:p>
            <w:pPr>
              <w:jc w:val="center"/>
              <w:ind w:right="3820"/>
              <w:spacing w:after="0"/>
              <w:rPr>
                <w:sz w:val="20"/>
                <w:szCs w:val="20"/>
                <w:color w:val="auto"/>
              </w:rPr>
            </w:pPr>
            <w:r>
              <w:rPr>
                <w:rFonts w:ascii="Times New Roman" w:cs="Times New Roman" w:eastAsia="Times New Roman" w:hAnsi="Times New Roman"/>
                <w:sz w:val="18"/>
                <w:szCs w:val="18"/>
                <w:b w:val="1"/>
                <w:bCs w:val="1"/>
                <w:color w:val="auto"/>
                <w:w w:val="94"/>
              </w:rPr>
              <w:t>PART II</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52"/>
        </w:trPr>
        <w:tc>
          <w:tcPr>
            <w:tcW w:w="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520" w:type="dxa"/>
            <w:vAlign w:val="bottom"/>
            <w:tcBorders>
              <w:left w:val="single" w:sz="8" w:color="CCEEFF"/>
            </w:tcBorders>
            <w:shd w:val="clear" w:color="auto" w:fill="CCEEFF"/>
          </w:tcPr>
          <w:p>
            <w:pPr>
              <w:spacing w:after="0"/>
              <w:rPr>
                <w:sz w:val="21"/>
                <w:szCs w:val="21"/>
                <w:color w:val="auto"/>
              </w:rPr>
            </w:pPr>
          </w:p>
        </w:tc>
        <w:tc>
          <w:tcPr>
            <w:tcW w:w="620" w:type="dxa"/>
            <w:vAlign w:val="bottom"/>
            <w:gridSpan w:val="2"/>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160" w:type="dxa"/>
            <w:vAlign w:val="bottom"/>
            <w:tcBorders>
              <w:lef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60" w:type="dxa"/>
            <w:vAlign w:val="bottom"/>
            <w:tcBorders>
              <w:left w:val="single" w:sz="8" w:color="CCEEFF"/>
            </w:tcBorders>
            <w:shd w:val="clear" w:color="auto" w:fill="CCEEFF"/>
          </w:tcPr>
          <w:p>
            <w:pPr>
              <w:spacing w:after="0"/>
              <w:rPr>
                <w:sz w:val="21"/>
                <w:szCs w:val="21"/>
                <w:color w:val="auto"/>
              </w:rPr>
            </w:pPr>
          </w:p>
        </w:tc>
        <w:tc>
          <w:tcPr>
            <w:tcW w:w="800" w:type="dxa"/>
            <w:vAlign w:val="bottom"/>
            <w:tcBorders>
              <w:right w:val="single" w:sz="8" w:color="CCEEFF"/>
            </w:tcBorders>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20" w:type="dxa"/>
            <w:vAlign w:val="bottom"/>
            <w:tcBorders>
              <w:left w:val="single" w:sz="8" w:color="CCEEFF"/>
            </w:tcBorders>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tcBorders>
              <w:left w:val="single" w:sz="8" w:color="CCEEFF"/>
            </w:tcBorders>
            <w:shd w:val="clear" w:color="auto" w:fill="CCEEFF"/>
          </w:tcPr>
          <w:p>
            <w:pPr>
              <w:spacing w:after="0"/>
              <w:rPr>
                <w:sz w:val="21"/>
                <w:szCs w:val="21"/>
                <w:color w:val="auto"/>
              </w:rPr>
            </w:pPr>
          </w:p>
        </w:tc>
      </w:tr>
      <w:tr>
        <w:trPr>
          <w:trHeight w:val="186"/>
        </w:trPr>
        <w:tc>
          <w:tcPr>
            <w:tcW w:w="20" w:type="dxa"/>
            <w:vAlign w:val="bottom"/>
          </w:tcPr>
          <w:p>
            <w:pPr>
              <w:spacing w:after="0"/>
              <w:rPr>
                <w:sz w:val="16"/>
                <w:szCs w:val="16"/>
                <w:color w:val="auto"/>
              </w:rPr>
            </w:pPr>
          </w:p>
        </w:tc>
        <w:tc>
          <w:tcPr>
            <w:tcW w:w="1120" w:type="dxa"/>
            <w:vAlign w:val="bottom"/>
            <w:gridSpan w:val="3"/>
          </w:tcPr>
          <w:p>
            <w:pPr>
              <w:spacing w:after="0" w:line="186" w:lineRule="exact"/>
              <w:rPr>
                <w:sz w:val="20"/>
                <w:szCs w:val="20"/>
                <w:color w:val="auto"/>
              </w:rPr>
            </w:pPr>
            <w:r>
              <w:rPr>
                <w:rFonts w:ascii="Times New Roman" w:cs="Times New Roman" w:eastAsia="Times New Roman" w:hAnsi="Times New Roman"/>
                <w:sz w:val="18"/>
                <w:szCs w:val="18"/>
                <w:color w:val="0000FF"/>
              </w:rPr>
              <w:t>Item 5.</w:t>
            </w:r>
          </w:p>
        </w:tc>
        <w:tc>
          <w:tcPr>
            <w:tcW w:w="8760" w:type="dxa"/>
            <w:vAlign w:val="bottom"/>
            <w:gridSpan w:val="20"/>
          </w:tcPr>
          <w:p>
            <w:pPr>
              <w:spacing w:after="0" w:line="186"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1340" w:type="dxa"/>
            <w:vAlign w:val="bottom"/>
            <w:gridSpan w:val="3"/>
          </w:tcPr>
          <w:p>
            <w:pPr>
              <w:jc w:val="center"/>
              <w:ind w:left="472"/>
              <w:spacing w:after="0" w:line="186" w:lineRule="exact"/>
              <w:rPr>
                <w:sz w:val="20"/>
                <w:szCs w:val="20"/>
                <w:color w:val="auto"/>
              </w:rPr>
            </w:pPr>
            <w:r>
              <w:rPr>
                <w:rFonts w:ascii="Times New Roman" w:cs="Times New Roman" w:eastAsia="Times New Roman" w:hAnsi="Times New Roman"/>
                <w:sz w:val="18"/>
                <w:szCs w:val="18"/>
                <w:color w:val="0000FF"/>
                <w:w w:val="99"/>
              </w:rPr>
              <w:t>33</w:t>
            </w:r>
          </w:p>
        </w:tc>
      </w:tr>
      <w:tr>
        <w:trPr>
          <w:trHeight w:val="30"/>
        </w:trPr>
        <w:tc>
          <w:tcPr>
            <w:tcW w:w="2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60" w:type="dxa"/>
            <w:vAlign w:val="bottom"/>
            <w:tcBorders>
              <w:left w:val="single" w:sz="8" w:color="0000FF"/>
            </w:tcBorders>
            <w:shd w:val="clear" w:color="auto" w:fill="0000FF"/>
          </w:tcPr>
          <w:p>
            <w:pPr>
              <w:spacing w:after="0"/>
              <w:rPr>
                <w:sz w:val="2"/>
                <w:szCs w:val="2"/>
                <w:color w:val="auto"/>
              </w:rPr>
            </w:pPr>
          </w:p>
        </w:tc>
        <w:tc>
          <w:tcPr>
            <w:tcW w:w="800" w:type="dxa"/>
            <w:vAlign w:val="bottom"/>
            <w:tcBorders>
              <w:righ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000" w:type="dxa"/>
            <w:vAlign w:val="bottom"/>
            <w:shd w:val="clear" w:color="auto" w:fill="0000FF"/>
          </w:tcPr>
          <w:p>
            <w:pPr>
              <w:spacing w:after="0"/>
              <w:rPr>
                <w:sz w:val="2"/>
                <w:szCs w:val="2"/>
                <w:color w:val="auto"/>
              </w:rPr>
            </w:pPr>
          </w:p>
        </w:tc>
        <w:tc>
          <w:tcPr>
            <w:tcW w:w="820" w:type="dxa"/>
            <w:vAlign w:val="bottom"/>
            <w:tcBorders>
              <w:left w:val="single" w:sz="8" w:color="0000FF"/>
            </w:tcBorders>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840" w:type="dxa"/>
            <w:vAlign w:val="bottom"/>
          </w:tcPr>
          <w:p>
            <w:pPr>
              <w:spacing w:after="0"/>
              <w:rPr>
                <w:sz w:val="2"/>
                <w:szCs w:val="2"/>
                <w:color w:val="auto"/>
              </w:rPr>
            </w:pPr>
          </w:p>
        </w:tc>
        <w:tc>
          <w:tcPr>
            <w:tcW w:w="90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60" w:type="dxa"/>
            <w:vAlign w:val="bottom"/>
            <w:tcBorders>
              <w:left w:val="single" w:sz="8" w:color="0000FF"/>
            </w:tcBorders>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Item 6.</w:t>
            </w:r>
          </w:p>
        </w:tc>
        <w:tc>
          <w:tcPr>
            <w:tcW w:w="8760" w:type="dxa"/>
            <w:vAlign w:val="bottom"/>
            <w:gridSpan w:val="20"/>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[Reserved]</w:t>
            </w:r>
          </w:p>
        </w:tc>
        <w:tc>
          <w:tcPr>
            <w:tcW w:w="1340" w:type="dxa"/>
            <w:vAlign w:val="bottom"/>
            <w:gridSpan w:val="3"/>
            <w:shd w:val="clear" w:color="auto" w:fill="CCEEFF"/>
          </w:tcPr>
          <w:p>
            <w:pPr>
              <w:jc w:val="center"/>
              <w:ind w:left="472"/>
              <w:spacing w:after="0" w:line="195" w:lineRule="exact"/>
              <w:rPr>
                <w:sz w:val="20"/>
                <w:szCs w:val="20"/>
                <w:color w:val="auto"/>
              </w:rPr>
            </w:pPr>
            <w:r>
              <w:rPr>
                <w:rFonts w:ascii="Times New Roman" w:cs="Times New Roman" w:eastAsia="Times New Roman" w:hAnsi="Times New Roman"/>
                <w:sz w:val="18"/>
                <w:szCs w:val="18"/>
                <w:color w:val="0000FF"/>
                <w:w w:val="99"/>
              </w:rPr>
              <w:t>34</w:t>
            </w:r>
          </w:p>
        </w:tc>
      </w:tr>
      <w:tr>
        <w:trPr>
          <w:trHeight w:val="40"/>
        </w:trPr>
        <w:tc>
          <w:tcPr>
            <w:tcW w:w="20" w:type="dxa"/>
            <w:vAlign w:val="bottom"/>
            <w:shd w:val="clear" w:color="auto" w:fill="CCEE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520" w:type="dxa"/>
            <w:vAlign w:val="bottom"/>
            <w:tcBorders>
              <w:left w:val="single" w:sz="8" w:color="CCEEFF"/>
            </w:tcBorders>
            <w:shd w:val="clear" w:color="auto" w:fill="CCEE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160" w:type="dxa"/>
            <w:vAlign w:val="bottom"/>
            <w:tcBorders>
              <w:left w:val="single" w:sz="8" w:color="0000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20" w:type="dxa"/>
            <w:vAlign w:val="bottom"/>
            <w:tcBorders>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800" w:type="dxa"/>
            <w:vAlign w:val="bottom"/>
            <w:tcBorders>
              <w:righ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90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60" w:type="dxa"/>
            <w:vAlign w:val="bottom"/>
            <w:tcBorders>
              <w:left w:val="single" w:sz="8" w:color="0000FF"/>
            </w:tcBorders>
            <w:shd w:val="clear" w:color="auto" w:fill="CCEEFF"/>
          </w:tcPr>
          <w:p>
            <w:pPr>
              <w:spacing w:after="0"/>
              <w:rPr>
                <w:sz w:val="3"/>
                <w:szCs w:val="3"/>
                <w:color w:val="auto"/>
              </w:rPr>
            </w:pPr>
          </w:p>
        </w:tc>
      </w:tr>
      <w:tr>
        <w:trPr>
          <w:trHeight w:val="186"/>
        </w:trPr>
        <w:tc>
          <w:tcPr>
            <w:tcW w:w="20" w:type="dxa"/>
            <w:vAlign w:val="bottom"/>
          </w:tcPr>
          <w:p>
            <w:pPr>
              <w:spacing w:after="0"/>
              <w:rPr>
                <w:sz w:val="16"/>
                <w:szCs w:val="16"/>
                <w:color w:val="auto"/>
              </w:rPr>
            </w:pPr>
          </w:p>
        </w:tc>
        <w:tc>
          <w:tcPr>
            <w:tcW w:w="1120" w:type="dxa"/>
            <w:vAlign w:val="bottom"/>
            <w:gridSpan w:val="3"/>
          </w:tcPr>
          <w:p>
            <w:pPr>
              <w:spacing w:after="0" w:line="186" w:lineRule="exact"/>
              <w:rPr>
                <w:sz w:val="20"/>
                <w:szCs w:val="20"/>
                <w:color w:val="auto"/>
              </w:rPr>
            </w:pPr>
            <w:r>
              <w:rPr>
                <w:rFonts w:ascii="Times New Roman" w:cs="Times New Roman" w:eastAsia="Times New Roman" w:hAnsi="Times New Roman"/>
                <w:sz w:val="18"/>
                <w:szCs w:val="18"/>
                <w:color w:val="0000FF"/>
              </w:rPr>
              <w:t>Item 7.</w:t>
            </w:r>
          </w:p>
        </w:tc>
        <w:tc>
          <w:tcPr>
            <w:tcW w:w="8760" w:type="dxa"/>
            <w:vAlign w:val="bottom"/>
            <w:gridSpan w:val="20"/>
          </w:tcPr>
          <w:p>
            <w:pPr>
              <w:spacing w:after="0" w:line="18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340" w:type="dxa"/>
            <w:vAlign w:val="bottom"/>
            <w:gridSpan w:val="3"/>
          </w:tcPr>
          <w:p>
            <w:pPr>
              <w:jc w:val="center"/>
              <w:ind w:left="472"/>
              <w:spacing w:after="0" w:line="186" w:lineRule="exact"/>
              <w:rPr>
                <w:sz w:val="20"/>
                <w:szCs w:val="20"/>
                <w:color w:val="auto"/>
              </w:rPr>
            </w:pPr>
            <w:r>
              <w:rPr>
                <w:rFonts w:ascii="Times New Roman" w:cs="Times New Roman" w:eastAsia="Times New Roman" w:hAnsi="Times New Roman"/>
                <w:sz w:val="18"/>
                <w:szCs w:val="18"/>
                <w:color w:val="0000FF"/>
                <w:w w:val="99"/>
              </w:rPr>
              <w:t>35</w:t>
            </w:r>
          </w:p>
        </w:tc>
      </w:tr>
      <w:tr>
        <w:trPr>
          <w:trHeight w:val="30"/>
        </w:trPr>
        <w:tc>
          <w:tcPr>
            <w:tcW w:w="2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60" w:type="dxa"/>
            <w:vAlign w:val="bottom"/>
            <w:tcBorders>
              <w:left w:val="single" w:sz="8" w:color="0000FF"/>
            </w:tcBorders>
            <w:shd w:val="clear" w:color="auto" w:fill="0000FF"/>
          </w:tcPr>
          <w:p>
            <w:pPr>
              <w:spacing w:after="0"/>
              <w:rPr>
                <w:sz w:val="2"/>
                <w:szCs w:val="2"/>
                <w:color w:val="auto"/>
              </w:rPr>
            </w:pPr>
          </w:p>
        </w:tc>
        <w:tc>
          <w:tcPr>
            <w:tcW w:w="800" w:type="dxa"/>
            <w:vAlign w:val="bottom"/>
            <w:tcBorders>
              <w:righ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000" w:type="dxa"/>
            <w:vAlign w:val="bottom"/>
            <w:shd w:val="clear" w:color="auto" w:fill="0000FF"/>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90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60" w:type="dxa"/>
            <w:vAlign w:val="bottom"/>
            <w:tcBorders>
              <w:left w:val="single" w:sz="8" w:color="0000FF"/>
            </w:tcBorders>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600" w:type="dxa"/>
            <w:vAlign w:val="bottom"/>
            <w:tcBorders>
              <w:right w:val="single" w:sz="8" w:color="CCEEFF"/>
            </w:tcBorders>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w w:val="87"/>
              </w:rPr>
              <w:t>Item 7A.</w:t>
            </w:r>
          </w:p>
        </w:tc>
        <w:tc>
          <w:tcPr>
            <w:tcW w:w="520" w:type="dxa"/>
            <w:vAlign w:val="bottom"/>
            <w:tcBorders>
              <w:left w:val="single" w:sz="8" w:color="CCEEFF"/>
            </w:tcBorders>
            <w:shd w:val="clear" w:color="auto" w:fill="CCEEFF"/>
          </w:tcPr>
          <w:p>
            <w:pPr>
              <w:spacing w:after="0"/>
              <w:rPr>
                <w:sz w:val="16"/>
                <w:szCs w:val="16"/>
                <w:color w:val="auto"/>
              </w:rPr>
            </w:pPr>
          </w:p>
        </w:tc>
        <w:tc>
          <w:tcPr>
            <w:tcW w:w="4280" w:type="dxa"/>
            <w:vAlign w:val="bottom"/>
            <w:gridSpan w:val="14"/>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w w:val="97"/>
              </w:rPr>
              <w:t>Quantitative and Qualitative Disclosures About Market Risk</w:t>
            </w:r>
          </w:p>
        </w:tc>
        <w:tc>
          <w:tcPr>
            <w:tcW w:w="4480" w:type="dxa"/>
            <w:vAlign w:val="bottom"/>
            <w:gridSpan w:val="6"/>
            <w:shd w:val="clear" w:color="auto" w:fill="CCEEFF"/>
          </w:tcPr>
          <w:p>
            <w:pPr>
              <w:spacing w:after="0"/>
              <w:rPr>
                <w:sz w:val="16"/>
                <w:szCs w:val="16"/>
                <w:color w:val="auto"/>
              </w:rPr>
            </w:pPr>
          </w:p>
        </w:tc>
        <w:tc>
          <w:tcPr>
            <w:tcW w:w="1340" w:type="dxa"/>
            <w:vAlign w:val="bottom"/>
            <w:gridSpan w:val="3"/>
            <w:shd w:val="clear" w:color="auto" w:fill="CCEEFF"/>
          </w:tcPr>
          <w:p>
            <w:pPr>
              <w:jc w:val="center"/>
              <w:ind w:left="472"/>
              <w:spacing w:after="0" w:line="195" w:lineRule="exact"/>
              <w:rPr>
                <w:sz w:val="20"/>
                <w:szCs w:val="20"/>
                <w:color w:val="auto"/>
              </w:rPr>
            </w:pPr>
            <w:r>
              <w:rPr>
                <w:rFonts w:ascii="Times New Roman" w:cs="Times New Roman" w:eastAsia="Times New Roman" w:hAnsi="Times New Roman"/>
                <w:sz w:val="18"/>
                <w:szCs w:val="18"/>
                <w:color w:val="0000FF"/>
                <w:w w:val="99"/>
              </w:rPr>
              <w:t>40</w:t>
            </w:r>
          </w:p>
        </w:tc>
      </w:tr>
      <w:tr>
        <w:trPr>
          <w:trHeight w:val="40"/>
        </w:trPr>
        <w:tc>
          <w:tcPr>
            <w:tcW w:w="20" w:type="dxa"/>
            <w:vAlign w:val="bottom"/>
            <w:shd w:val="clear" w:color="auto" w:fill="CCEE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520" w:type="dxa"/>
            <w:vAlign w:val="bottom"/>
            <w:tcBorders>
              <w:left w:val="single" w:sz="8" w:color="0000FF"/>
            </w:tcBorders>
            <w:shd w:val="clear" w:color="auto" w:fill="CCEE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2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260" w:type="dxa"/>
            <w:vAlign w:val="bottom"/>
            <w:tcBorders>
              <w:left w:val="single" w:sz="8" w:color="0000FF"/>
            </w:tcBorders>
            <w:shd w:val="clear" w:color="auto" w:fill="0000FF"/>
          </w:tcPr>
          <w:p>
            <w:pPr>
              <w:spacing w:after="0"/>
              <w:rPr>
                <w:sz w:val="3"/>
                <w:szCs w:val="3"/>
                <w:color w:val="auto"/>
              </w:rPr>
            </w:pPr>
          </w:p>
        </w:tc>
        <w:tc>
          <w:tcPr>
            <w:tcW w:w="800" w:type="dxa"/>
            <w:vAlign w:val="bottom"/>
            <w:tcBorders>
              <w:right w:val="single" w:sz="8" w:color="0000FF"/>
            </w:tcBorders>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76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90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60" w:type="dxa"/>
            <w:vAlign w:val="bottom"/>
            <w:tcBorders>
              <w:left w:val="single" w:sz="8" w:color="0000FF"/>
            </w:tcBorders>
            <w:shd w:val="clear" w:color="auto" w:fill="CCEEFF"/>
          </w:tcPr>
          <w:p>
            <w:pPr>
              <w:spacing w:after="0"/>
              <w:rPr>
                <w:sz w:val="3"/>
                <w:szCs w:val="3"/>
                <w:color w:val="auto"/>
              </w:rPr>
            </w:pPr>
          </w:p>
        </w:tc>
      </w:tr>
      <w:tr>
        <w:trPr>
          <w:trHeight w:val="186"/>
        </w:trPr>
        <w:tc>
          <w:tcPr>
            <w:tcW w:w="20" w:type="dxa"/>
            <w:vAlign w:val="bottom"/>
          </w:tcPr>
          <w:p>
            <w:pPr>
              <w:spacing w:after="0"/>
              <w:rPr>
                <w:sz w:val="16"/>
                <w:szCs w:val="16"/>
                <w:color w:val="auto"/>
              </w:rPr>
            </w:pPr>
          </w:p>
        </w:tc>
        <w:tc>
          <w:tcPr>
            <w:tcW w:w="600" w:type="dxa"/>
            <w:vAlign w:val="bottom"/>
            <w:gridSpan w:val="2"/>
          </w:tcPr>
          <w:p>
            <w:pPr>
              <w:spacing w:after="0" w:line="186" w:lineRule="exact"/>
              <w:rPr>
                <w:sz w:val="20"/>
                <w:szCs w:val="20"/>
                <w:color w:val="auto"/>
              </w:rPr>
            </w:pPr>
            <w:r>
              <w:rPr>
                <w:rFonts w:ascii="Times New Roman" w:cs="Times New Roman" w:eastAsia="Times New Roman" w:hAnsi="Times New Roman"/>
                <w:sz w:val="18"/>
                <w:szCs w:val="18"/>
                <w:color w:val="0000FF"/>
              </w:rPr>
              <w:t>Item 8.</w:t>
            </w:r>
          </w:p>
        </w:tc>
        <w:tc>
          <w:tcPr>
            <w:tcW w:w="520" w:type="dxa"/>
            <w:vAlign w:val="bottom"/>
          </w:tcPr>
          <w:p>
            <w:pPr>
              <w:spacing w:after="0"/>
              <w:rPr>
                <w:sz w:val="16"/>
                <w:szCs w:val="16"/>
                <w:color w:val="auto"/>
              </w:rPr>
            </w:pPr>
          </w:p>
        </w:tc>
        <w:tc>
          <w:tcPr>
            <w:tcW w:w="4280" w:type="dxa"/>
            <w:vAlign w:val="bottom"/>
            <w:gridSpan w:val="14"/>
          </w:tcPr>
          <w:p>
            <w:pPr>
              <w:spacing w:after="0" w:line="186"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4480" w:type="dxa"/>
            <w:vAlign w:val="bottom"/>
            <w:gridSpan w:val="6"/>
          </w:tcPr>
          <w:p>
            <w:pPr>
              <w:spacing w:after="0"/>
              <w:rPr>
                <w:sz w:val="16"/>
                <w:szCs w:val="16"/>
                <w:color w:val="auto"/>
              </w:rPr>
            </w:pPr>
          </w:p>
        </w:tc>
        <w:tc>
          <w:tcPr>
            <w:tcW w:w="1340" w:type="dxa"/>
            <w:vAlign w:val="bottom"/>
            <w:gridSpan w:val="3"/>
          </w:tcPr>
          <w:p>
            <w:pPr>
              <w:jc w:val="center"/>
              <w:ind w:left="472"/>
              <w:spacing w:after="0" w:line="186" w:lineRule="exact"/>
              <w:rPr>
                <w:sz w:val="20"/>
                <w:szCs w:val="20"/>
                <w:color w:val="auto"/>
              </w:rPr>
            </w:pPr>
            <w:r>
              <w:rPr>
                <w:rFonts w:ascii="Times New Roman" w:cs="Times New Roman" w:eastAsia="Times New Roman" w:hAnsi="Times New Roman"/>
                <w:sz w:val="18"/>
                <w:szCs w:val="18"/>
                <w:color w:val="0000FF"/>
                <w:w w:val="99"/>
              </w:rPr>
              <w:t>41</w:t>
            </w:r>
          </w:p>
        </w:tc>
      </w:tr>
      <w:tr>
        <w:trPr>
          <w:trHeight w:val="30"/>
        </w:trPr>
        <w:tc>
          <w:tcPr>
            <w:tcW w:w="2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60" w:type="dxa"/>
            <w:vAlign w:val="bottom"/>
            <w:tcBorders>
              <w:left w:val="single" w:sz="8" w:color="0000FF"/>
            </w:tcBorders>
            <w:shd w:val="clear" w:color="auto" w:fill="0000FF"/>
          </w:tcPr>
          <w:p>
            <w:pPr>
              <w:spacing w:after="0"/>
              <w:rPr>
                <w:sz w:val="2"/>
                <w:szCs w:val="2"/>
                <w:color w:val="auto"/>
              </w:rPr>
            </w:pPr>
          </w:p>
        </w:tc>
        <w:tc>
          <w:tcPr>
            <w:tcW w:w="800" w:type="dxa"/>
            <w:vAlign w:val="bottom"/>
            <w:tcBorders>
              <w:righ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90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60" w:type="dxa"/>
            <w:vAlign w:val="bottom"/>
            <w:tcBorders>
              <w:left w:val="single" w:sz="8" w:color="0000FF"/>
            </w:tcBorders>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Item 9.</w:t>
            </w:r>
          </w:p>
        </w:tc>
        <w:tc>
          <w:tcPr>
            <w:tcW w:w="8760" w:type="dxa"/>
            <w:vAlign w:val="bottom"/>
            <w:gridSpan w:val="20"/>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340" w:type="dxa"/>
            <w:vAlign w:val="bottom"/>
            <w:gridSpan w:val="3"/>
            <w:shd w:val="clear" w:color="auto" w:fill="CCEEFF"/>
          </w:tcPr>
          <w:p>
            <w:pPr>
              <w:jc w:val="center"/>
              <w:ind w:left="472"/>
              <w:spacing w:after="0" w:line="195" w:lineRule="exact"/>
              <w:rPr>
                <w:sz w:val="20"/>
                <w:szCs w:val="20"/>
                <w:color w:val="auto"/>
              </w:rPr>
            </w:pPr>
            <w:r>
              <w:rPr>
                <w:rFonts w:ascii="Times New Roman" w:cs="Times New Roman" w:eastAsia="Times New Roman" w:hAnsi="Times New Roman"/>
                <w:sz w:val="18"/>
                <w:szCs w:val="18"/>
                <w:color w:val="0000FF"/>
                <w:w w:val="99"/>
              </w:rPr>
              <w:t>65</w:t>
            </w:r>
          </w:p>
        </w:tc>
      </w:tr>
      <w:tr>
        <w:trPr>
          <w:trHeight w:val="40"/>
        </w:trPr>
        <w:tc>
          <w:tcPr>
            <w:tcW w:w="20" w:type="dxa"/>
            <w:vAlign w:val="bottom"/>
            <w:shd w:val="clear" w:color="auto" w:fill="CCEE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520" w:type="dxa"/>
            <w:vAlign w:val="bottom"/>
            <w:tcBorders>
              <w:left w:val="single" w:sz="8" w:color="CCEEFF"/>
            </w:tcBorders>
            <w:shd w:val="clear" w:color="auto" w:fill="CCEE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2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260" w:type="dxa"/>
            <w:vAlign w:val="bottom"/>
            <w:tcBorders>
              <w:left w:val="single" w:sz="8" w:color="0000FF"/>
            </w:tcBorders>
            <w:shd w:val="clear" w:color="auto" w:fill="0000FF"/>
          </w:tcPr>
          <w:p>
            <w:pPr>
              <w:spacing w:after="0"/>
              <w:rPr>
                <w:sz w:val="3"/>
                <w:szCs w:val="3"/>
                <w:color w:val="auto"/>
              </w:rPr>
            </w:pPr>
          </w:p>
        </w:tc>
        <w:tc>
          <w:tcPr>
            <w:tcW w:w="800" w:type="dxa"/>
            <w:vAlign w:val="bottom"/>
            <w:tcBorders>
              <w:right w:val="single" w:sz="8" w:color="0000FF"/>
            </w:tcBorders>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76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52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000" w:type="dxa"/>
            <w:vAlign w:val="bottom"/>
            <w:shd w:val="clear" w:color="auto" w:fill="0000FF"/>
          </w:tcPr>
          <w:p>
            <w:pPr>
              <w:spacing w:after="0"/>
              <w:rPr>
                <w:sz w:val="3"/>
                <w:szCs w:val="3"/>
                <w:color w:val="auto"/>
              </w:rPr>
            </w:pPr>
          </w:p>
        </w:tc>
        <w:tc>
          <w:tcPr>
            <w:tcW w:w="820" w:type="dxa"/>
            <w:vAlign w:val="bottom"/>
            <w:tcBorders>
              <w:left w:val="single" w:sz="8" w:color="0000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90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60" w:type="dxa"/>
            <w:vAlign w:val="bottom"/>
            <w:tcBorders>
              <w:left w:val="single" w:sz="8" w:color="0000FF"/>
            </w:tcBorders>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600" w:type="dxa"/>
            <w:vAlign w:val="bottom"/>
            <w:gridSpan w:val="2"/>
          </w:tcPr>
          <w:p>
            <w:pPr>
              <w:spacing w:after="0" w:line="186" w:lineRule="exact"/>
              <w:rPr>
                <w:sz w:val="20"/>
                <w:szCs w:val="20"/>
                <w:color w:val="auto"/>
              </w:rPr>
            </w:pPr>
            <w:r>
              <w:rPr>
                <w:rFonts w:ascii="Times New Roman" w:cs="Times New Roman" w:eastAsia="Times New Roman" w:hAnsi="Times New Roman"/>
                <w:sz w:val="18"/>
                <w:szCs w:val="18"/>
                <w:color w:val="0000FF"/>
                <w:w w:val="87"/>
              </w:rPr>
              <w:t>Item 9A.</w:t>
            </w:r>
          </w:p>
        </w:tc>
        <w:tc>
          <w:tcPr>
            <w:tcW w:w="520" w:type="dxa"/>
            <w:vAlign w:val="bottom"/>
          </w:tcPr>
          <w:p>
            <w:pPr>
              <w:spacing w:after="0"/>
              <w:rPr>
                <w:sz w:val="16"/>
                <w:szCs w:val="16"/>
                <w:color w:val="auto"/>
              </w:rPr>
            </w:pPr>
          </w:p>
        </w:tc>
        <w:tc>
          <w:tcPr>
            <w:tcW w:w="1740" w:type="dxa"/>
            <w:vAlign w:val="bottom"/>
            <w:gridSpan w:val="8"/>
          </w:tcPr>
          <w:p>
            <w:pPr>
              <w:spacing w:after="0" w:line="186" w:lineRule="exact"/>
              <w:rPr>
                <w:sz w:val="20"/>
                <w:szCs w:val="20"/>
                <w:color w:val="auto"/>
              </w:rPr>
            </w:pPr>
            <w:r>
              <w:rPr>
                <w:rFonts w:ascii="Times New Roman" w:cs="Times New Roman" w:eastAsia="Times New Roman" w:hAnsi="Times New Roman"/>
                <w:sz w:val="18"/>
                <w:szCs w:val="18"/>
                <w:color w:val="0000FF"/>
                <w:w w:val="96"/>
              </w:rPr>
              <w:t>Controls and Procedures</w:t>
            </w:r>
          </w:p>
        </w:tc>
        <w:tc>
          <w:tcPr>
            <w:tcW w:w="7020" w:type="dxa"/>
            <w:vAlign w:val="bottom"/>
            <w:gridSpan w:val="12"/>
          </w:tcPr>
          <w:p>
            <w:pPr>
              <w:spacing w:after="0"/>
              <w:rPr>
                <w:sz w:val="16"/>
                <w:szCs w:val="16"/>
                <w:color w:val="auto"/>
              </w:rPr>
            </w:pPr>
          </w:p>
        </w:tc>
        <w:tc>
          <w:tcPr>
            <w:tcW w:w="1340" w:type="dxa"/>
            <w:vAlign w:val="bottom"/>
            <w:gridSpan w:val="3"/>
          </w:tcPr>
          <w:p>
            <w:pPr>
              <w:jc w:val="center"/>
              <w:ind w:left="472"/>
              <w:spacing w:after="0" w:line="186" w:lineRule="exact"/>
              <w:rPr>
                <w:sz w:val="20"/>
                <w:szCs w:val="20"/>
                <w:color w:val="auto"/>
              </w:rPr>
            </w:pPr>
            <w:r>
              <w:rPr>
                <w:rFonts w:ascii="Times New Roman" w:cs="Times New Roman" w:eastAsia="Times New Roman" w:hAnsi="Times New Roman"/>
                <w:sz w:val="18"/>
                <w:szCs w:val="18"/>
                <w:color w:val="0000FF"/>
                <w:w w:val="99"/>
              </w:rPr>
              <w:t>65</w:t>
            </w:r>
          </w:p>
        </w:tc>
      </w:tr>
      <w:tr>
        <w:trPr>
          <w:trHeight w:val="30"/>
        </w:trPr>
        <w:tc>
          <w:tcPr>
            <w:tcW w:w="2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520" w:type="dxa"/>
            <w:vAlign w:val="bottom"/>
            <w:tcBorders>
              <w:left w:val="single" w:sz="8" w:color="0000FF"/>
            </w:tcBorders>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90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60" w:type="dxa"/>
            <w:vAlign w:val="bottom"/>
            <w:tcBorders>
              <w:left w:val="single" w:sz="8" w:color="0000FF"/>
            </w:tcBorders>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600" w:type="dxa"/>
            <w:vAlign w:val="bottom"/>
            <w:tcBorders>
              <w:right w:val="single" w:sz="8" w:color="CCEEFF"/>
            </w:tcBorders>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w w:val="88"/>
              </w:rPr>
              <w:t>Item 9B.</w:t>
            </w:r>
          </w:p>
        </w:tc>
        <w:tc>
          <w:tcPr>
            <w:tcW w:w="520" w:type="dxa"/>
            <w:vAlign w:val="bottom"/>
            <w:tcBorders>
              <w:left w:val="single" w:sz="8" w:color="CCEEFF"/>
            </w:tcBorders>
            <w:shd w:val="clear" w:color="auto" w:fill="CCEEFF"/>
          </w:tcPr>
          <w:p>
            <w:pPr>
              <w:spacing w:after="0"/>
              <w:rPr>
                <w:sz w:val="16"/>
                <w:szCs w:val="16"/>
                <w:color w:val="auto"/>
              </w:rPr>
            </w:pPr>
          </w:p>
        </w:tc>
        <w:tc>
          <w:tcPr>
            <w:tcW w:w="1740" w:type="dxa"/>
            <w:vAlign w:val="bottom"/>
            <w:gridSpan w:val="8"/>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Other Information</w:t>
            </w:r>
          </w:p>
        </w:tc>
        <w:tc>
          <w:tcPr>
            <w:tcW w:w="7020" w:type="dxa"/>
            <w:vAlign w:val="bottom"/>
            <w:tcBorders>
              <w:left w:val="single" w:sz="8" w:color="CCEEFF"/>
            </w:tcBorders>
            <w:gridSpan w:val="12"/>
            <w:shd w:val="clear" w:color="auto" w:fill="CCEEFF"/>
          </w:tcPr>
          <w:p>
            <w:pPr>
              <w:spacing w:after="0"/>
              <w:rPr>
                <w:sz w:val="16"/>
                <w:szCs w:val="16"/>
                <w:color w:val="auto"/>
              </w:rPr>
            </w:pPr>
          </w:p>
        </w:tc>
        <w:tc>
          <w:tcPr>
            <w:tcW w:w="1340" w:type="dxa"/>
            <w:vAlign w:val="bottom"/>
            <w:gridSpan w:val="3"/>
            <w:shd w:val="clear" w:color="auto" w:fill="CCEEFF"/>
          </w:tcPr>
          <w:p>
            <w:pPr>
              <w:jc w:val="center"/>
              <w:ind w:left="472"/>
              <w:spacing w:after="0" w:line="195" w:lineRule="exact"/>
              <w:rPr>
                <w:sz w:val="20"/>
                <w:szCs w:val="20"/>
                <w:color w:val="auto"/>
              </w:rPr>
            </w:pPr>
            <w:r>
              <w:rPr>
                <w:rFonts w:ascii="Times New Roman" w:cs="Times New Roman" w:eastAsia="Times New Roman" w:hAnsi="Times New Roman"/>
                <w:sz w:val="18"/>
                <w:szCs w:val="18"/>
                <w:color w:val="0000FF"/>
                <w:w w:val="99"/>
              </w:rPr>
              <w:t>66</w:t>
            </w:r>
          </w:p>
        </w:tc>
      </w:tr>
      <w:tr>
        <w:trPr>
          <w:trHeight w:val="40"/>
        </w:trPr>
        <w:tc>
          <w:tcPr>
            <w:tcW w:w="20" w:type="dxa"/>
            <w:vAlign w:val="bottom"/>
            <w:shd w:val="clear" w:color="auto" w:fill="CCEE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520" w:type="dxa"/>
            <w:vAlign w:val="bottom"/>
            <w:tcBorders>
              <w:left w:val="single" w:sz="8" w:color="CCEEFF"/>
            </w:tcBorders>
            <w:shd w:val="clear" w:color="auto" w:fill="CCEE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20" w:type="dxa"/>
            <w:vAlign w:val="bottom"/>
            <w:tcBorders>
              <w:right w:val="single" w:sz="8" w:color="CCEEFF"/>
            </w:tcBorders>
            <w:shd w:val="clear" w:color="auto" w:fill="0000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800" w:type="dxa"/>
            <w:vAlign w:val="bottom"/>
            <w:tcBorders>
              <w:righ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90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60" w:type="dxa"/>
            <w:vAlign w:val="bottom"/>
            <w:tcBorders>
              <w:left w:val="single" w:sz="8" w:color="0000FF"/>
            </w:tcBorders>
            <w:shd w:val="clear" w:color="auto" w:fill="CCEEFF"/>
          </w:tcPr>
          <w:p>
            <w:pPr>
              <w:spacing w:after="0"/>
              <w:rPr>
                <w:sz w:val="3"/>
                <w:szCs w:val="3"/>
                <w:color w:val="auto"/>
              </w:rPr>
            </w:pPr>
          </w:p>
        </w:tc>
      </w:tr>
      <w:tr>
        <w:trPr>
          <w:trHeight w:val="407"/>
        </w:trPr>
        <w:tc>
          <w:tcPr>
            <w:tcW w:w="2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9C.</w:t>
            </w:r>
          </w:p>
        </w:tc>
        <w:tc>
          <w:tcPr>
            <w:tcW w:w="87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340" w:type="dxa"/>
            <w:vAlign w:val="bottom"/>
            <w:gridSpan w:val="3"/>
          </w:tcPr>
          <w:p>
            <w:pPr>
              <w:jc w:val="center"/>
              <w:ind w:left="472"/>
              <w:spacing w:after="0"/>
              <w:rPr>
                <w:sz w:val="20"/>
                <w:szCs w:val="20"/>
                <w:color w:val="auto"/>
              </w:rPr>
            </w:pPr>
            <w:r>
              <w:rPr>
                <w:rFonts w:ascii="Times New Roman" w:cs="Times New Roman" w:eastAsia="Times New Roman" w:hAnsi="Times New Roman"/>
                <w:sz w:val="18"/>
                <w:szCs w:val="18"/>
                <w:color w:val="0000FF"/>
                <w:w w:val="99"/>
              </w:rPr>
              <w:t>66</w:t>
            </w:r>
          </w:p>
        </w:tc>
      </w:tr>
      <w:tr>
        <w:trPr>
          <w:trHeight w:val="262"/>
        </w:trPr>
        <w:tc>
          <w:tcPr>
            <w:tcW w:w="20" w:type="dxa"/>
            <w:vAlign w:val="bottom"/>
            <w:shd w:val="clear" w:color="auto" w:fill="CCEEFF"/>
          </w:tcPr>
          <w:p>
            <w:pPr>
              <w:spacing w:after="0"/>
              <w:rPr>
                <w:sz w:val="22"/>
                <w:szCs w:val="22"/>
                <w:color w:val="auto"/>
              </w:rPr>
            </w:pPr>
          </w:p>
        </w:tc>
        <w:tc>
          <w:tcPr>
            <w:tcW w:w="500" w:type="dxa"/>
            <w:vAlign w:val="bottom"/>
            <w:tcBorders>
              <w:top w:val="single" w:sz="8" w:color="0000FF"/>
            </w:tcBorders>
            <w:shd w:val="clear" w:color="auto" w:fill="CCEEFF"/>
          </w:tcPr>
          <w:p>
            <w:pPr>
              <w:spacing w:after="0"/>
              <w:rPr>
                <w:sz w:val="22"/>
                <w:szCs w:val="22"/>
                <w:color w:val="auto"/>
              </w:rPr>
            </w:pPr>
          </w:p>
        </w:tc>
        <w:tc>
          <w:tcPr>
            <w:tcW w:w="100" w:type="dxa"/>
            <w:vAlign w:val="bottom"/>
            <w:tcBorders>
              <w:top w:val="single" w:sz="8" w:color="0000FF"/>
              <w:right w:val="single" w:sz="8" w:color="CCEEFF"/>
            </w:tcBorders>
            <w:shd w:val="clear" w:color="auto" w:fill="CCEEFF"/>
          </w:tcPr>
          <w:p>
            <w:pPr>
              <w:spacing w:after="0"/>
              <w:rPr>
                <w:sz w:val="22"/>
                <w:szCs w:val="22"/>
                <w:color w:val="auto"/>
              </w:rPr>
            </w:pPr>
          </w:p>
        </w:tc>
        <w:tc>
          <w:tcPr>
            <w:tcW w:w="520" w:type="dxa"/>
            <w:vAlign w:val="bottom"/>
            <w:tcBorders>
              <w:left w:val="single" w:sz="8" w:color="CCEEFF"/>
            </w:tcBorders>
            <w:shd w:val="clear" w:color="auto" w:fill="CCEEFF"/>
          </w:tcPr>
          <w:p>
            <w:pPr>
              <w:spacing w:after="0"/>
              <w:rPr>
                <w:sz w:val="22"/>
                <w:szCs w:val="22"/>
                <w:color w:val="auto"/>
              </w:rPr>
            </w:pPr>
          </w:p>
        </w:tc>
        <w:tc>
          <w:tcPr>
            <w:tcW w:w="120" w:type="dxa"/>
            <w:vAlign w:val="bottom"/>
            <w:tcBorders>
              <w:top w:val="single" w:sz="8" w:color="0000FF"/>
            </w:tcBorders>
            <w:shd w:val="clear" w:color="auto" w:fill="CCEEFF"/>
          </w:tcPr>
          <w:p>
            <w:pPr>
              <w:spacing w:after="0"/>
              <w:rPr>
                <w:sz w:val="22"/>
                <w:szCs w:val="22"/>
                <w:color w:val="auto"/>
              </w:rPr>
            </w:pPr>
          </w:p>
        </w:tc>
        <w:tc>
          <w:tcPr>
            <w:tcW w:w="500" w:type="dxa"/>
            <w:vAlign w:val="bottom"/>
            <w:tcBorders>
              <w:top w:val="single" w:sz="8" w:color="0000FF"/>
            </w:tcBorders>
            <w:shd w:val="clear" w:color="auto" w:fill="CCEEFF"/>
          </w:tcPr>
          <w:p>
            <w:pPr>
              <w:spacing w:after="0"/>
              <w:rPr>
                <w:sz w:val="22"/>
                <w:szCs w:val="22"/>
                <w:color w:val="auto"/>
              </w:rPr>
            </w:pPr>
          </w:p>
        </w:tc>
        <w:tc>
          <w:tcPr>
            <w:tcW w:w="100" w:type="dxa"/>
            <w:vAlign w:val="bottom"/>
            <w:tcBorders>
              <w:top w:val="single" w:sz="8" w:color="0000FF"/>
              <w:right w:val="single" w:sz="8" w:color="CCEEFF"/>
            </w:tcBorders>
            <w:shd w:val="clear" w:color="auto" w:fill="CCEEFF"/>
          </w:tcPr>
          <w:p>
            <w:pPr>
              <w:spacing w:after="0"/>
              <w:rPr>
                <w:sz w:val="22"/>
                <w:szCs w:val="22"/>
                <w:color w:val="auto"/>
              </w:rPr>
            </w:pPr>
          </w:p>
        </w:tc>
        <w:tc>
          <w:tcPr>
            <w:tcW w:w="160" w:type="dxa"/>
            <w:vAlign w:val="bottom"/>
            <w:tcBorders>
              <w:top w:val="single" w:sz="8" w:color="0000FF"/>
              <w:left w:val="single" w:sz="8" w:color="CCEEFF"/>
            </w:tcBorders>
            <w:shd w:val="clear" w:color="auto" w:fill="CCEEFF"/>
          </w:tcPr>
          <w:p>
            <w:pPr>
              <w:spacing w:after="0"/>
              <w:rPr>
                <w:sz w:val="22"/>
                <w:szCs w:val="22"/>
                <w:color w:val="auto"/>
              </w:rPr>
            </w:pPr>
          </w:p>
        </w:tc>
        <w:tc>
          <w:tcPr>
            <w:tcW w:w="100" w:type="dxa"/>
            <w:vAlign w:val="bottom"/>
            <w:tcBorders>
              <w:top w:val="single" w:sz="8" w:color="0000FF"/>
            </w:tcBorders>
            <w:shd w:val="clear" w:color="auto" w:fill="CCEEFF"/>
          </w:tcPr>
          <w:p>
            <w:pPr>
              <w:spacing w:after="0"/>
              <w:rPr>
                <w:sz w:val="22"/>
                <w:szCs w:val="22"/>
                <w:color w:val="auto"/>
              </w:rPr>
            </w:pPr>
          </w:p>
        </w:tc>
        <w:tc>
          <w:tcPr>
            <w:tcW w:w="320" w:type="dxa"/>
            <w:vAlign w:val="bottom"/>
            <w:tcBorders>
              <w:top w:val="single" w:sz="8" w:color="0000FF"/>
              <w:right w:val="single" w:sz="8" w:color="CCEEFF"/>
            </w:tcBorders>
            <w:shd w:val="clear" w:color="auto" w:fill="CCEEFF"/>
          </w:tcPr>
          <w:p>
            <w:pPr>
              <w:spacing w:after="0"/>
              <w:rPr>
                <w:sz w:val="22"/>
                <w:szCs w:val="22"/>
                <w:color w:val="auto"/>
              </w:rPr>
            </w:pPr>
          </w:p>
        </w:tc>
        <w:tc>
          <w:tcPr>
            <w:tcW w:w="220" w:type="dxa"/>
            <w:vAlign w:val="bottom"/>
            <w:tcBorders>
              <w:top w:val="single" w:sz="8" w:color="0000FF"/>
            </w:tcBorders>
            <w:shd w:val="clear" w:color="auto" w:fill="CCEEFF"/>
          </w:tcPr>
          <w:p>
            <w:pPr>
              <w:spacing w:after="0"/>
              <w:rPr>
                <w:sz w:val="22"/>
                <w:szCs w:val="22"/>
                <w:color w:val="auto"/>
              </w:rPr>
            </w:pPr>
          </w:p>
        </w:tc>
        <w:tc>
          <w:tcPr>
            <w:tcW w:w="220" w:type="dxa"/>
            <w:vAlign w:val="bottom"/>
            <w:tcBorders>
              <w:top w:val="single" w:sz="8" w:color="0000FF"/>
            </w:tcBorders>
            <w:shd w:val="clear" w:color="auto" w:fill="CCEEFF"/>
          </w:tcPr>
          <w:p>
            <w:pPr>
              <w:spacing w:after="0"/>
              <w:rPr>
                <w:sz w:val="22"/>
                <w:szCs w:val="22"/>
                <w:color w:val="auto"/>
              </w:rPr>
            </w:pPr>
          </w:p>
        </w:tc>
        <w:tc>
          <w:tcPr>
            <w:tcW w:w="260" w:type="dxa"/>
            <w:vAlign w:val="bottom"/>
            <w:tcBorders>
              <w:top w:val="single" w:sz="8" w:color="0000FF"/>
              <w:left w:val="single" w:sz="8" w:color="CCEEFF"/>
            </w:tcBorders>
            <w:shd w:val="clear" w:color="auto" w:fill="CCEEFF"/>
          </w:tcPr>
          <w:p>
            <w:pPr>
              <w:spacing w:after="0"/>
              <w:rPr>
                <w:sz w:val="22"/>
                <w:szCs w:val="22"/>
                <w:color w:val="auto"/>
              </w:rPr>
            </w:pPr>
          </w:p>
        </w:tc>
        <w:tc>
          <w:tcPr>
            <w:tcW w:w="800" w:type="dxa"/>
            <w:vAlign w:val="bottom"/>
            <w:tcBorders>
              <w:top w:val="single" w:sz="8" w:color="0000FF"/>
              <w:right w:val="single" w:sz="8" w:color="CCEEFF"/>
            </w:tcBorders>
            <w:shd w:val="clear" w:color="auto" w:fill="CCEEFF"/>
          </w:tcPr>
          <w:p>
            <w:pPr>
              <w:spacing w:after="0"/>
              <w:rPr>
                <w:sz w:val="22"/>
                <w:szCs w:val="22"/>
                <w:color w:val="auto"/>
              </w:rPr>
            </w:pPr>
          </w:p>
        </w:tc>
        <w:tc>
          <w:tcPr>
            <w:tcW w:w="300" w:type="dxa"/>
            <w:vAlign w:val="bottom"/>
            <w:tcBorders>
              <w:top w:val="single" w:sz="8" w:color="0000FF"/>
            </w:tcBorders>
            <w:shd w:val="clear" w:color="auto" w:fill="CCEEFF"/>
          </w:tcPr>
          <w:p>
            <w:pPr>
              <w:spacing w:after="0"/>
              <w:rPr>
                <w:sz w:val="22"/>
                <w:szCs w:val="22"/>
                <w:color w:val="auto"/>
              </w:rPr>
            </w:pPr>
          </w:p>
        </w:tc>
        <w:tc>
          <w:tcPr>
            <w:tcW w:w="160" w:type="dxa"/>
            <w:vAlign w:val="bottom"/>
            <w:tcBorders>
              <w:top w:val="single" w:sz="8" w:color="0000FF"/>
            </w:tcBorders>
            <w:shd w:val="clear" w:color="auto" w:fill="CCEEFF"/>
          </w:tcPr>
          <w:p>
            <w:pPr>
              <w:spacing w:after="0"/>
              <w:rPr>
                <w:sz w:val="22"/>
                <w:szCs w:val="22"/>
                <w:color w:val="auto"/>
              </w:rPr>
            </w:pPr>
          </w:p>
        </w:tc>
        <w:tc>
          <w:tcPr>
            <w:tcW w:w="760" w:type="dxa"/>
            <w:vAlign w:val="bottom"/>
            <w:tcBorders>
              <w:top w:val="single" w:sz="8" w:color="0000FF"/>
            </w:tcBorders>
            <w:shd w:val="clear" w:color="auto" w:fill="CCEEFF"/>
          </w:tcPr>
          <w:p>
            <w:pPr>
              <w:spacing w:after="0"/>
              <w:rPr>
                <w:sz w:val="22"/>
                <w:szCs w:val="22"/>
                <w:color w:val="auto"/>
              </w:rPr>
            </w:pPr>
          </w:p>
        </w:tc>
        <w:tc>
          <w:tcPr>
            <w:tcW w:w="260" w:type="dxa"/>
            <w:vAlign w:val="bottom"/>
            <w:tcBorders>
              <w:top w:val="single" w:sz="8" w:color="0000FF"/>
            </w:tcBorders>
            <w:shd w:val="clear" w:color="auto" w:fill="CCEEFF"/>
          </w:tcPr>
          <w:p>
            <w:pPr>
              <w:spacing w:after="0"/>
              <w:rPr>
                <w:sz w:val="22"/>
                <w:szCs w:val="22"/>
                <w:color w:val="auto"/>
              </w:rPr>
            </w:pPr>
          </w:p>
        </w:tc>
        <w:tc>
          <w:tcPr>
            <w:tcW w:w="520" w:type="dxa"/>
            <w:vAlign w:val="bottom"/>
            <w:tcBorders>
              <w:top w:val="single" w:sz="8" w:color="0000FF"/>
            </w:tcBorders>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820" w:type="dxa"/>
            <w:vAlign w:val="bottom"/>
            <w:tcBorders>
              <w:left w:val="single" w:sz="8" w:color="CCEEFF"/>
            </w:tcBorders>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900" w:type="dxa"/>
            <w:vAlign w:val="bottom"/>
            <w:tcBorders>
              <w:right w:val="single" w:sz="8" w:color="CCEEFF"/>
            </w:tcBorders>
            <w:shd w:val="clear" w:color="auto" w:fill="CCEEFF"/>
          </w:tcPr>
          <w:p>
            <w:pPr>
              <w:spacing w:after="0"/>
              <w:rPr>
                <w:sz w:val="22"/>
                <w:szCs w:val="22"/>
                <w:color w:val="auto"/>
              </w:rPr>
            </w:pPr>
          </w:p>
        </w:tc>
        <w:tc>
          <w:tcPr>
            <w:tcW w:w="80" w:type="dxa"/>
            <w:vAlign w:val="bottom"/>
            <w:tcBorders>
              <w:top w:val="single" w:sz="8" w:color="0000FF"/>
            </w:tcBorders>
            <w:shd w:val="clear" w:color="auto" w:fill="CCEEFF"/>
          </w:tcPr>
          <w:p>
            <w:pPr>
              <w:spacing w:after="0"/>
              <w:rPr>
                <w:sz w:val="22"/>
                <w:szCs w:val="22"/>
                <w:color w:val="auto"/>
              </w:rPr>
            </w:pPr>
          </w:p>
        </w:tc>
        <w:tc>
          <w:tcPr>
            <w:tcW w:w="360" w:type="dxa"/>
            <w:vAlign w:val="bottom"/>
            <w:tcBorders>
              <w:left w:val="single" w:sz="8" w:color="CCEEFF"/>
            </w:tcBorders>
            <w:shd w:val="clear" w:color="auto" w:fill="CCEEFF"/>
          </w:tcPr>
          <w:p>
            <w:pPr>
              <w:spacing w:after="0"/>
              <w:rPr>
                <w:sz w:val="22"/>
                <w:szCs w:val="22"/>
                <w:color w:val="auto"/>
              </w:rPr>
            </w:pPr>
          </w:p>
        </w:tc>
      </w:tr>
      <w:tr>
        <w:trPr>
          <w:trHeight w:val="225"/>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740" w:type="dxa"/>
            <w:vAlign w:val="bottom"/>
            <w:gridSpan w:val="7"/>
          </w:tcPr>
          <w:p>
            <w:pPr>
              <w:jc w:val="center"/>
              <w:ind w:right="3820"/>
              <w:spacing w:after="0"/>
              <w:rPr>
                <w:sz w:val="20"/>
                <w:szCs w:val="20"/>
                <w:color w:val="auto"/>
              </w:rPr>
            </w:pPr>
            <w:r>
              <w:rPr>
                <w:rFonts w:ascii="Times New Roman" w:cs="Times New Roman" w:eastAsia="Times New Roman" w:hAnsi="Times New Roman"/>
                <w:sz w:val="18"/>
                <w:szCs w:val="18"/>
                <w:b w:val="1"/>
                <w:bCs w:val="1"/>
                <w:color w:val="auto"/>
                <w:w w:val="96"/>
              </w:rPr>
              <w:t>PART III</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52"/>
        </w:trPr>
        <w:tc>
          <w:tcPr>
            <w:tcW w:w="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520" w:type="dxa"/>
            <w:vAlign w:val="bottom"/>
            <w:tcBorders>
              <w:left w:val="single" w:sz="8" w:color="CCEEFF"/>
            </w:tcBorders>
            <w:shd w:val="clear" w:color="auto" w:fill="CCEEFF"/>
          </w:tcPr>
          <w:p>
            <w:pPr>
              <w:spacing w:after="0"/>
              <w:rPr>
                <w:sz w:val="21"/>
                <w:szCs w:val="21"/>
                <w:color w:val="auto"/>
              </w:rPr>
            </w:pPr>
          </w:p>
        </w:tc>
        <w:tc>
          <w:tcPr>
            <w:tcW w:w="620" w:type="dxa"/>
            <w:vAlign w:val="bottom"/>
            <w:gridSpan w:val="2"/>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160" w:type="dxa"/>
            <w:vAlign w:val="bottom"/>
            <w:tcBorders>
              <w:lef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60" w:type="dxa"/>
            <w:vAlign w:val="bottom"/>
            <w:tcBorders>
              <w:left w:val="single" w:sz="8" w:color="CCEEFF"/>
            </w:tcBorders>
            <w:shd w:val="clear" w:color="auto" w:fill="CCEEFF"/>
          </w:tcPr>
          <w:p>
            <w:pPr>
              <w:spacing w:after="0"/>
              <w:rPr>
                <w:sz w:val="21"/>
                <w:szCs w:val="21"/>
                <w:color w:val="auto"/>
              </w:rPr>
            </w:pPr>
          </w:p>
        </w:tc>
        <w:tc>
          <w:tcPr>
            <w:tcW w:w="800" w:type="dxa"/>
            <w:vAlign w:val="bottom"/>
            <w:tcBorders>
              <w:right w:val="single" w:sz="8" w:color="CCEEFF"/>
            </w:tcBorders>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20" w:type="dxa"/>
            <w:vAlign w:val="bottom"/>
            <w:tcBorders>
              <w:left w:val="single" w:sz="8" w:color="CCEEFF"/>
            </w:tcBorders>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tcBorders>
              <w:left w:val="single" w:sz="8" w:color="CCEEFF"/>
            </w:tcBorders>
            <w:shd w:val="clear" w:color="auto" w:fill="CCEEFF"/>
          </w:tcPr>
          <w:p>
            <w:pPr>
              <w:spacing w:after="0"/>
              <w:rPr>
                <w:sz w:val="21"/>
                <w:szCs w:val="21"/>
                <w:color w:val="auto"/>
              </w:rPr>
            </w:pPr>
          </w:p>
        </w:tc>
      </w:tr>
      <w:tr>
        <w:trPr>
          <w:trHeight w:val="185"/>
        </w:trPr>
        <w:tc>
          <w:tcPr>
            <w:tcW w:w="20" w:type="dxa"/>
            <w:vAlign w:val="bottom"/>
          </w:tcPr>
          <w:p>
            <w:pPr>
              <w:spacing w:after="0"/>
              <w:rPr>
                <w:sz w:val="16"/>
                <w:szCs w:val="16"/>
                <w:color w:val="auto"/>
              </w:rPr>
            </w:pPr>
          </w:p>
        </w:tc>
        <w:tc>
          <w:tcPr>
            <w:tcW w:w="600" w:type="dxa"/>
            <w:vAlign w:val="bottom"/>
            <w:gridSpan w:val="2"/>
          </w:tcPr>
          <w:p>
            <w:pPr>
              <w:spacing w:after="0" w:line="186" w:lineRule="exact"/>
              <w:rPr>
                <w:sz w:val="20"/>
                <w:szCs w:val="20"/>
                <w:color w:val="auto"/>
              </w:rPr>
            </w:pPr>
            <w:r>
              <w:rPr>
                <w:rFonts w:ascii="Times New Roman" w:cs="Times New Roman" w:eastAsia="Times New Roman" w:hAnsi="Times New Roman"/>
                <w:sz w:val="18"/>
                <w:szCs w:val="18"/>
                <w:color w:val="0000FF"/>
                <w:w w:val="93"/>
              </w:rPr>
              <w:t>Item 10.</w:t>
            </w:r>
          </w:p>
        </w:tc>
        <w:tc>
          <w:tcPr>
            <w:tcW w:w="520" w:type="dxa"/>
            <w:vAlign w:val="bottom"/>
          </w:tcPr>
          <w:p>
            <w:pPr>
              <w:spacing w:after="0"/>
              <w:rPr>
                <w:sz w:val="16"/>
                <w:szCs w:val="16"/>
                <w:color w:val="auto"/>
              </w:rPr>
            </w:pPr>
          </w:p>
        </w:tc>
        <w:tc>
          <w:tcPr>
            <w:tcW w:w="4020" w:type="dxa"/>
            <w:vAlign w:val="bottom"/>
            <w:gridSpan w:val="13"/>
          </w:tcPr>
          <w:p>
            <w:pPr>
              <w:spacing w:after="0" w:line="186" w:lineRule="exact"/>
              <w:rPr>
                <w:sz w:val="20"/>
                <w:szCs w:val="20"/>
                <w:color w:val="auto"/>
              </w:rPr>
            </w:pPr>
            <w:r>
              <w:rPr>
                <w:rFonts w:ascii="Times New Roman" w:cs="Times New Roman" w:eastAsia="Times New Roman" w:hAnsi="Times New Roman"/>
                <w:sz w:val="18"/>
                <w:szCs w:val="18"/>
                <w:color w:val="0000FF"/>
                <w:w w:val="97"/>
              </w:rPr>
              <w:t>Directors, Executive Officers and Corporate Governance</w:t>
            </w:r>
          </w:p>
        </w:tc>
        <w:tc>
          <w:tcPr>
            <w:tcW w:w="4740" w:type="dxa"/>
            <w:vAlign w:val="bottom"/>
            <w:gridSpan w:val="7"/>
          </w:tcPr>
          <w:p>
            <w:pPr>
              <w:spacing w:after="0"/>
              <w:rPr>
                <w:sz w:val="16"/>
                <w:szCs w:val="16"/>
                <w:color w:val="auto"/>
              </w:rPr>
            </w:pPr>
          </w:p>
        </w:tc>
        <w:tc>
          <w:tcPr>
            <w:tcW w:w="1340" w:type="dxa"/>
            <w:vAlign w:val="bottom"/>
            <w:gridSpan w:val="3"/>
          </w:tcPr>
          <w:p>
            <w:pPr>
              <w:jc w:val="center"/>
              <w:ind w:left="472"/>
              <w:spacing w:after="0" w:line="186" w:lineRule="exact"/>
              <w:rPr>
                <w:sz w:val="20"/>
                <w:szCs w:val="20"/>
                <w:color w:val="auto"/>
              </w:rPr>
            </w:pPr>
            <w:r>
              <w:rPr>
                <w:rFonts w:ascii="Times New Roman" w:cs="Times New Roman" w:eastAsia="Times New Roman" w:hAnsi="Times New Roman"/>
                <w:sz w:val="18"/>
                <w:szCs w:val="18"/>
                <w:color w:val="0000FF"/>
                <w:w w:val="99"/>
              </w:rPr>
              <w:t>67</w:t>
            </w:r>
          </w:p>
        </w:tc>
      </w:tr>
      <w:tr>
        <w:trPr>
          <w:trHeight w:val="30"/>
        </w:trPr>
        <w:tc>
          <w:tcPr>
            <w:tcW w:w="2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60" w:type="dxa"/>
            <w:vAlign w:val="bottom"/>
            <w:tcBorders>
              <w:left w:val="single" w:sz="8" w:color="0000FF"/>
            </w:tcBorders>
            <w:shd w:val="clear" w:color="auto" w:fill="0000FF"/>
          </w:tcPr>
          <w:p>
            <w:pPr>
              <w:spacing w:after="0"/>
              <w:rPr>
                <w:sz w:val="2"/>
                <w:szCs w:val="2"/>
                <w:color w:val="auto"/>
              </w:rPr>
            </w:pPr>
          </w:p>
        </w:tc>
        <w:tc>
          <w:tcPr>
            <w:tcW w:w="800" w:type="dxa"/>
            <w:vAlign w:val="bottom"/>
            <w:tcBorders>
              <w:righ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90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60" w:type="dxa"/>
            <w:vAlign w:val="bottom"/>
            <w:tcBorders>
              <w:left w:val="single" w:sz="8" w:color="0000FF"/>
            </w:tcBorders>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600" w:type="dxa"/>
            <w:vAlign w:val="bottom"/>
            <w:tcBorders>
              <w:right w:val="single" w:sz="8" w:color="CCEEFF"/>
            </w:tcBorders>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w w:val="93"/>
              </w:rPr>
              <w:t>Item 11.</w:t>
            </w:r>
          </w:p>
        </w:tc>
        <w:tc>
          <w:tcPr>
            <w:tcW w:w="520" w:type="dxa"/>
            <w:vAlign w:val="bottom"/>
            <w:tcBorders>
              <w:left w:val="single" w:sz="8" w:color="CCEEFF"/>
            </w:tcBorders>
            <w:shd w:val="clear" w:color="auto" w:fill="CCEEFF"/>
          </w:tcPr>
          <w:p>
            <w:pPr>
              <w:spacing w:after="0"/>
              <w:rPr>
                <w:sz w:val="16"/>
                <w:szCs w:val="16"/>
                <w:color w:val="auto"/>
              </w:rPr>
            </w:pPr>
          </w:p>
        </w:tc>
        <w:tc>
          <w:tcPr>
            <w:tcW w:w="4020" w:type="dxa"/>
            <w:vAlign w:val="bottom"/>
            <w:gridSpan w:val="13"/>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Executive Compensation</w:t>
            </w:r>
          </w:p>
        </w:tc>
        <w:tc>
          <w:tcPr>
            <w:tcW w:w="4740" w:type="dxa"/>
            <w:vAlign w:val="bottom"/>
            <w:gridSpan w:val="7"/>
            <w:shd w:val="clear" w:color="auto" w:fill="CCEEFF"/>
          </w:tcPr>
          <w:p>
            <w:pPr>
              <w:spacing w:after="0"/>
              <w:rPr>
                <w:sz w:val="16"/>
                <w:szCs w:val="16"/>
                <w:color w:val="auto"/>
              </w:rPr>
            </w:pPr>
          </w:p>
        </w:tc>
        <w:tc>
          <w:tcPr>
            <w:tcW w:w="1340" w:type="dxa"/>
            <w:vAlign w:val="bottom"/>
            <w:gridSpan w:val="3"/>
            <w:shd w:val="clear" w:color="auto" w:fill="CCEEFF"/>
          </w:tcPr>
          <w:p>
            <w:pPr>
              <w:jc w:val="center"/>
              <w:ind w:left="472"/>
              <w:spacing w:after="0" w:line="195" w:lineRule="exact"/>
              <w:rPr>
                <w:sz w:val="20"/>
                <w:szCs w:val="20"/>
                <w:color w:val="auto"/>
              </w:rPr>
            </w:pPr>
            <w:r>
              <w:rPr>
                <w:rFonts w:ascii="Times New Roman" w:cs="Times New Roman" w:eastAsia="Times New Roman" w:hAnsi="Times New Roman"/>
                <w:sz w:val="18"/>
                <w:szCs w:val="18"/>
                <w:color w:val="0000FF"/>
                <w:w w:val="99"/>
              </w:rPr>
              <w:t>67</w:t>
            </w:r>
          </w:p>
        </w:tc>
      </w:tr>
      <w:tr>
        <w:trPr>
          <w:trHeight w:val="40"/>
        </w:trPr>
        <w:tc>
          <w:tcPr>
            <w:tcW w:w="20" w:type="dxa"/>
            <w:vAlign w:val="bottom"/>
            <w:shd w:val="clear" w:color="auto" w:fill="CCEE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100" w:type="dxa"/>
            <w:vAlign w:val="bottom"/>
            <w:tcBorders>
              <w:right w:val="single" w:sz="8" w:color="CCEEFF"/>
            </w:tcBorders>
            <w:shd w:val="clear" w:color="auto" w:fill="0000FF"/>
          </w:tcPr>
          <w:p>
            <w:pPr>
              <w:spacing w:after="0"/>
              <w:rPr>
                <w:sz w:val="3"/>
                <w:szCs w:val="3"/>
                <w:color w:val="auto"/>
              </w:rPr>
            </w:pPr>
          </w:p>
        </w:tc>
        <w:tc>
          <w:tcPr>
            <w:tcW w:w="520" w:type="dxa"/>
            <w:vAlign w:val="bottom"/>
            <w:tcBorders>
              <w:left w:val="single" w:sz="8" w:color="CCEEFF"/>
            </w:tcBorders>
            <w:shd w:val="clear" w:color="auto" w:fill="CCEE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2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260" w:type="dxa"/>
            <w:vAlign w:val="bottom"/>
            <w:tcBorders>
              <w:left w:val="single" w:sz="8" w:color="0000FF"/>
            </w:tcBorders>
            <w:shd w:val="clear" w:color="auto" w:fill="CCEEFF"/>
          </w:tcPr>
          <w:p>
            <w:pPr>
              <w:spacing w:after="0"/>
              <w:rPr>
                <w:sz w:val="3"/>
                <w:szCs w:val="3"/>
                <w:color w:val="auto"/>
              </w:rPr>
            </w:pPr>
          </w:p>
        </w:tc>
        <w:tc>
          <w:tcPr>
            <w:tcW w:w="800" w:type="dxa"/>
            <w:vAlign w:val="bottom"/>
            <w:tcBorders>
              <w:righ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90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60" w:type="dxa"/>
            <w:vAlign w:val="bottom"/>
            <w:tcBorders>
              <w:left w:val="single" w:sz="8" w:color="0000FF"/>
            </w:tcBorders>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600" w:type="dxa"/>
            <w:vAlign w:val="bottom"/>
            <w:gridSpan w:val="2"/>
          </w:tcPr>
          <w:p>
            <w:pPr>
              <w:spacing w:after="0" w:line="186" w:lineRule="exact"/>
              <w:rPr>
                <w:sz w:val="20"/>
                <w:szCs w:val="20"/>
                <w:color w:val="auto"/>
              </w:rPr>
            </w:pPr>
            <w:r>
              <w:rPr>
                <w:rFonts w:ascii="Times New Roman" w:cs="Times New Roman" w:eastAsia="Times New Roman" w:hAnsi="Times New Roman"/>
                <w:sz w:val="18"/>
                <w:szCs w:val="18"/>
                <w:color w:val="0000FF"/>
                <w:w w:val="93"/>
              </w:rPr>
              <w:t>Item 12.</w:t>
            </w:r>
          </w:p>
        </w:tc>
        <w:tc>
          <w:tcPr>
            <w:tcW w:w="520" w:type="dxa"/>
            <w:vAlign w:val="bottom"/>
          </w:tcPr>
          <w:p>
            <w:pPr>
              <w:spacing w:after="0"/>
              <w:rPr>
                <w:sz w:val="16"/>
                <w:szCs w:val="16"/>
                <w:color w:val="auto"/>
              </w:rPr>
            </w:pPr>
          </w:p>
        </w:tc>
        <w:tc>
          <w:tcPr>
            <w:tcW w:w="7160" w:type="dxa"/>
            <w:vAlign w:val="bottom"/>
            <w:gridSpan w:val="18"/>
          </w:tcPr>
          <w:p>
            <w:pPr>
              <w:spacing w:after="0" w:line="186" w:lineRule="exact"/>
              <w:rPr>
                <w:sz w:val="20"/>
                <w:szCs w:val="20"/>
                <w:color w:val="auto"/>
              </w:rPr>
            </w:pPr>
            <w:r>
              <w:rPr>
                <w:rFonts w:ascii="Times New Roman" w:cs="Times New Roman" w:eastAsia="Times New Roman" w:hAnsi="Times New Roman"/>
                <w:sz w:val="18"/>
                <w:szCs w:val="18"/>
                <w:color w:val="0000FF"/>
                <w:w w:val="97"/>
              </w:rPr>
              <w:t>Security Ownership of Certain Beneficial Owners and Management and Related Stockholder Matters</w:t>
            </w:r>
          </w:p>
        </w:tc>
        <w:tc>
          <w:tcPr>
            <w:tcW w:w="1600" w:type="dxa"/>
            <w:vAlign w:val="bottom"/>
            <w:gridSpan w:val="2"/>
          </w:tcPr>
          <w:p>
            <w:pPr>
              <w:spacing w:after="0"/>
              <w:rPr>
                <w:sz w:val="16"/>
                <w:szCs w:val="16"/>
                <w:color w:val="auto"/>
              </w:rPr>
            </w:pPr>
          </w:p>
        </w:tc>
        <w:tc>
          <w:tcPr>
            <w:tcW w:w="1340" w:type="dxa"/>
            <w:vAlign w:val="bottom"/>
            <w:gridSpan w:val="3"/>
          </w:tcPr>
          <w:p>
            <w:pPr>
              <w:jc w:val="center"/>
              <w:ind w:left="472"/>
              <w:spacing w:after="0" w:line="186" w:lineRule="exact"/>
              <w:rPr>
                <w:sz w:val="20"/>
                <w:szCs w:val="20"/>
                <w:color w:val="auto"/>
              </w:rPr>
            </w:pPr>
            <w:r>
              <w:rPr>
                <w:rFonts w:ascii="Times New Roman" w:cs="Times New Roman" w:eastAsia="Times New Roman" w:hAnsi="Times New Roman"/>
                <w:sz w:val="18"/>
                <w:szCs w:val="18"/>
                <w:color w:val="0000FF"/>
                <w:w w:val="99"/>
              </w:rPr>
              <w:t>67</w:t>
            </w:r>
          </w:p>
        </w:tc>
      </w:tr>
      <w:tr>
        <w:trPr>
          <w:trHeight w:val="30"/>
        </w:trPr>
        <w:tc>
          <w:tcPr>
            <w:tcW w:w="2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60" w:type="dxa"/>
            <w:vAlign w:val="bottom"/>
            <w:tcBorders>
              <w:left w:val="single" w:sz="8" w:color="0000FF"/>
            </w:tcBorders>
            <w:shd w:val="clear" w:color="auto" w:fill="0000FF"/>
          </w:tcPr>
          <w:p>
            <w:pPr>
              <w:spacing w:after="0"/>
              <w:rPr>
                <w:sz w:val="2"/>
                <w:szCs w:val="2"/>
                <w:color w:val="auto"/>
              </w:rPr>
            </w:pPr>
          </w:p>
        </w:tc>
        <w:tc>
          <w:tcPr>
            <w:tcW w:w="800" w:type="dxa"/>
            <w:vAlign w:val="bottom"/>
            <w:tcBorders>
              <w:righ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000" w:type="dxa"/>
            <w:vAlign w:val="bottom"/>
            <w:shd w:val="clear" w:color="auto" w:fill="0000FF"/>
          </w:tcPr>
          <w:p>
            <w:pPr>
              <w:spacing w:after="0"/>
              <w:rPr>
                <w:sz w:val="2"/>
                <w:szCs w:val="2"/>
                <w:color w:val="auto"/>
              </w:rPr>
            </w:pPr>
          </w:p>
        </w:tc>
        <w:tc>
          <w:tcPr>
            <w:tcW w:w="820" w:type="dxa"/>
            <w:vAlign w:val="bottom"/>
            <w:tcBorders>
              <w:left w:val="single" w:sz="8" w:color="0000FF"/>
            </w:tcBorders>
            <w:shd w:val="clear" w:color="auto" w:fill="0000FF"/>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90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60" w:type="dxa"/>
            <w:vAlign w:val="bottom"/>
            <w:tcBorders>
              <w:left w:val="single" w:sz="8" w:color="0000FF"/>
            </w:tcBorders>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600" w:type="dxa"/>
            <w:vAlign w:val="bottom"/>
            <w:tcBorders>
              <w:right w:val="single" w:sz="8" w:color="CCEEFF"/>
            </w:tcBorders>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w w:val="93"/>
              </w:rPr>
              <w:t>Item 13.</w:t>
            </w:r>
          </w:p>
        </w:tc>
        <w:tc>
          <w:tcPr>
            <w:tcW w:w="520" w:type="dxa"/>
            <w:vAlign w:val="bottom"/>
            <w:tcBorders>
              <w:left w:val="single" w:sz="8" w:color="CCEEFF"/>
            </w:tcBorders>
            <w:shd w:val="clear" w:color="auto" w:fill="CCEEFF"/>
          </w:tcPr>
          <w:p>
            <w:pPr>
              <w:spacing w:after="0"/>
              <w:rPr>
                <w:sz w:val="16"/>
                <w:szCs w:val="16"/>
                <w:color w:val="auto"/>
              </w:rPr>
            </w:pPr>
          </w:p>
        </w:tc>
        <w:tc>
          <w:tcPr>
            <w:tcW w:w="7160" w:type="dxa"/>
            <w:vAlign w:val="bottom"/>
            <w:gridSpan w:val="18"/>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600" w:type="dxa"/>
            <w:vAlign w:val="bottom"/>
            <w:gridSpan w:val="2"/>
            <w:shd w:val="clear" w:color="auto" w:fill="CCEEFF"/>
          </w:tcPr>
          <w:p>
            <w:pPr>
              <w:spacing w:after="0"/>
              <w:rPr>
                <w:sz w:val="16"/>
                <w:szCs w:val="16"/>
                <w:color w:val="auto"/>
              </w:rPr>
            </w:pPr>
          </w:p>
        </w:tc>
        <w:tc>
          <w:tcPr>
            <w:tcW w:w="1340" w:type="dxa"/>
            <w:vAlign w:val="bottom"/>
            <w:gridSpan w:val="3"/>
            <w:shd w:val="clear" w:color="auto" w:fill="CCEEFF"/>
          </w:tcPr>
          <w:p>
            <w:pPr>
              <w:jc w:val="center"/>
              <w:ind w:left="472"/>
              <w:spacing w:after="0" w:line="195" w:lineRule="exact"/>
              <w:rPr>
                <w:sz w:val="20"/>
                <w:szCs w:val="20"/>
                <w:color w:val="auto"/>
              </w:rPr>
            </w:pPr>
            <w:r>
              <w:rPr>
                <w:rFonts w:ascii="Times New Roman" w:cs="Times New Roman" w:eastAsia="Times New Roman" w:hAnsi="Times New Roman"/>
                <w:sz w:val="18"/>
                <w:szCs w:val="18"/>
                <w:color w:val="0000FF"/>
                <w:w w:val="99"/>
              </w:rPr>
              <w:t>67</w:t>
            </w:r>
          </w:p>
        </w:tc>
      </w:tr>
      <w:tr>
        <w:trPr>
          <w:trHeight w:val="40"/>
        </w:trPr>
        <w:tc>
          <w:tcPr>
            <w:tcW w:w="20" w:type="dxa"/>
            <w:vAlign w:val="bottom"/>
            <w:shd w:val="clear" w:color="auto" w:fill="CCEE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520" w:type="dxa"/>
            <w:vAlign w:val="bottom"/>
            <w:tcBorders>
              <w:left w:val="single" w:sz="8" w:color="CCEEFF"/>
            </w:tcBorders>
            <w:shd w:val="clear" w:color="auto" w:fill="CCEE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2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260" w:type="dxa"/>
            <w:vAlign w:val="bottom"/>
            <w:tcBorders>
              <w:left w:val="single" w:sz="8" w:color="0000FF"/>
            </w:tcBorders>
            <w:shd w:val="clear" w:color="auto" w:fill="0000FF"/>
          </w:tcPr>
          <w:p>
            <w:pPr>
              <w:spacing w:after="0"/>
              <w:rPr>
                <w:sz w:val="3"/>
                <w:szCs w:val="3"/>
                <w:color w:val="auto"/>
              </w:rPr>
            </w:pPr>
          </w:p>
        </w:tc>
        <w:tc>
          <w:tcPr>
            <w:tcW w:w="800" w:type="dxa"/>
            <w:vAlign w:val="bottom"/>
            <w:tcBorders>
              <w:right w:val="single" w:sz="8" w:color="0000FF"/>
            </w:tcBorders>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76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52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90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60" w:type="dxa"/>
            <w:vAlign w:val="bottom"/>
            <w:tcBorders>
              <w:left w:val="single" w:sz="8" w:color="0000FF"/>
            </w:tcBorders>
            <w:shd w:val="clear" w:color="auto" w:fill="CCEEFF"/>
          </w:tcPr>
          <w:p>
            <w:pPr>
              <w:spacing w:after="0"/>
              <w:rPr>
                <w:sz w:val="3"/>
                <w:szCs w:val="3"/>
                <w:color w:val="auto"/>
              </w:rPr>
            </w:pPr>
          </w:p>
        </w:tc>
      </w:tr>
      <w:tr>
        <w:trPr>
          <w:trHeight w:val="195"/>
        </w:trPr>
        <w:tc>
          <w:tcPr>
            <w:tcW w:w="20" w:type="dxa"/>
            <w:vAlign w:val="bottom"/>
          </w:tcPr>
          <w:p>
            <w:pPr>
              <w:spacing w:after="0"/>
              <w:rPr>
                <w:sz w:val="16"/>
                <w:szCs w:val="16"/>
                <w:color w:val="auto"/>
              </w:rPr>
            </w:pPr>
          </w:p>
        </w:tc>
        <w:tc>
          <w:tcPr>
            <w:tcW w:w="600" w:type="dxa"/>
            <w:vAlign w:val="bottom"/>
            <w:gridSpan w:val="2"/>
          </w:tcPr>
          <w:p>
            <w:pPr>
              <w:spacing w:after="0" w:line="186" w:lineRule="exact"/>
              <w:rPr>
                <w:sz w:val="20"/>
                <w:szCs w:val="20"/>
                <w:color w:val="auto"/>
              </w:rPr>
            </w:pPr>
            <w:r>
              <w:rPr>
                <w:rFonts w:ascii="Times New Roman" w:cs="Times New Roman" w:eastAsia="Times New Roman" w:hAnsi="Times New Roman"/>
                <w:sz w:val="18"/>
                <w:szCs w:val="18"/>
                <w:color w:val="0000FF"/>
                <w:w w:val="93"/>
              </w:rPr>
              <w:t>Item 14.</w:t>
            </w:r>
          </w:p>
        </w:tc>
        <w:tc>
          <w:tcPr>
            <w:tcW w:w="520" w:type="dxa"/>
            <w:vAlign w:val="bottom"/>
          </w:tcPr>
          <w:p>
            <w:pPr>
              <w:spacing w:after="0"/>
              <w:rPr>
                <w:sz w:val="16"/>
                <w:szCs w:val="16"/>
                <w:color w:val="auto"/>
              </w:rPr>
            </w:pPr>
          </w:p>
        </w:tc>
        <w:tc>
          <w:tcPr>
            <w:tcW w:w="5340" w:type="dxa"/>
            <w:vAlign w:val="bottom"/>
            <w:gridSpan w:val="16"/>
          </w:tcPr>
          <w:p>
            <w:pPr>
              <w:spacing w:after="0" w:line="186"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3420" w:type="dxa"/>
            <w:vAlign w:val="bottom"/>
            <w:gridSpan w:val="4"/>
          </w:tcPr>
          <w:p>
            <w:pPr>
              <w:spacing w:after="0"/>
              <w:rPr>
                <w:sz w:val="16"/>
                <w:szCs w:val="16"/>
                <w:color w:val="auto"/>
              </w:rPr>
            </w:pPr>
          </w:p>
        </w:tc>
        <w:tc>
          <w:tcPr>
            <w:tcW w:w="1340" w:type="dxa"/>
            <w:vAlign w:val="bottom"/>
            <w:gridSpan w:val="3"/>
          </w:tcPr>
          <w:p>
            <w:pPr>
              <w:jc w:val="center"/>
              <w:ind w:left="472"/>
              <w:spacing w:after="0" w:line="186" w:lineRule="exact"/>
              <w:rPr>
                <w:sz w:val="20"/>
                <w:szCs w:val="20"/>
                <w:color w:val="auto"/>
              </w:rPr>
            </w:pPr>
            <w:r>
              <w:rPr>
                <w:rFonts w:ascii="Times New Roman" w:cs="Times New Roman" w:eastAsia="Times New Roman" w:hAnsi="Times New Roman"/>
                <w:sz w:val="18"/>
                <w:szCs w:val="18"/>
                <w:color w:val="0000FF"/>
                <w:w w:val="99"/>
              </w:rPr>
              <w:t>67</w:t>
            </w:r>
          </w:p>
        </w:tc>
      </w:tr>
      <w:tr>
        <w:trPr>
          <w:trHeight w:val="262"/>
        </w:trPr>
        <w:tc>
          <w:tcPr>
            <w:tcW w:w="20" w:type="dxa"/>
            <w:vAlign w:val="bottom"/>
            <w:shd w:val="clear" w:color="auto" w:fill="CCEEFF"/>
          </w:tcPr>
          <w:p>
            <w:pPr>
              <w:spacing w:after="0"/>
              <w:rPr>
                <w:sz w:val="22"/>
                <w:szCs w:val="22"/>
                <w:color w:val="auto"/>
              </w:rPr>
            </w:pPr>
          </w:p>
        </w:tc>
        <w:tc>
          <w:tcPr>
            <w:tcW w:w="500" w:type="dxa"/>
            <w:vAlign w:val="bottom"/>
            <w:tcBorders>
              <w:top w:val="single" w:sz="8" w:color="0000FF"/>
            </w:tcBorders>
            <w:shd w:val="clear" w:color="auto" w:fill="CCEEFF"/>
          </w:tcPr>
          <w:p>
            <w:pPr>
              <w:spacing w:after="0"/>
              <w:rPr>
                <w:sz w:val="22"/>
                <w:szCs w:val="22"/>
                <w:color w:val="auto"/>
              </w:rPr>
            </w:pPr>
          </w:p>
        </w:tc>
        <w:tc>
          <w:tcPr>
            <w:tcW w:w="100" w:type="dxa"/>
            <w:vAlign w:val="bottom"/>
            <w:tcBorders>
              <w:top w:val="single" w:sz="8" w:color="0000FF"/>
              <w:right w:val="single" w:sz="8" w:color="CCEEFF"/>
            </w:tcBorders>
            <w:shd w:val="clear" w:color="auto" w:fill="CCEEFF"/>
          </w:tcPr>
          <w:p>
            <w:pPr>
              <w:spacing w:after="0"/>
              <w:rPr>
                <w:sz w:val="22"/>
                <w:szCs w:val="22"/>
                <w:color w:val="auto"/>
              </w:rPr>
            </w:pPr>
          </w:p>
        </w:tc>
        <w:tc>
          <w:tcPr>
            <w:tcW w:w="520" w:type="dxa"/>
            <w:vAlign w:val="bottom"/>
            <w:tcBorders>
              <w:left w:val="single" w:sz="8" w:color="CCEEFF"/>
            </w:tcBorders>
            <w:shd w:val="clear" w:color="auto" w:fill="CCEEFF"/>
          </w:tcPr>
          <w:p>
            <w:pPr>
              <w:spacing w:after="0"/>
              <w:rPr>
                <w:sz w:val="22"/>
                <w:szCs w:val="22"/>
                <w:color w:val="auto"/>
              </w:rPr>
            </w:pPr>
          </w:p>
        </w:tc>
        <w:tc>
          <w:tcPr>
            <w:tcW w:w="120" w:type="dxa"/>
            <w:vAlign w:val="bottom"/>
            <w:tcBorders>
              <w:top w:val="single" w:sz="8" w:color="0000FF"/>
            </w:tcBorders>
            <w:shd w:val="clear" w:color="auto" w:fill="CCEEFF"/>
          </w:tcPr>
          <w:p>
            <w:pPr>
              <w:spacing w:after="0"/>
              <w:rPr>
                <w:sz w:val="22"/>
                <w:szCs w:val="22"/>
                <w:color w:val="auto"/>
              </w:rPr>
            </w:pPr>
          </w:p>
        </w:tc>
        <w:tc>
          <w:tcPr>
            <w:tcW w:w="500" w:type="dxa"/>
            <w:vAlign w:val="bottom"/>
            <w:tcBorders>
              <w:top w:val="single" w:sz="8" w:color="0000FF"/>
            </w:tcBorders>
            <w:shd w:val="clear" w:color="auto" w:fill="CCEEFF"/>
          </w:tcPr>
          <w:p>
            <w:pPr>
              <w:spacing w:after="0"/>
              <w:rPr>
                <w:sz w:val="22"/>
                <w:szCs w:val="22"/>
                <w:color w:val="auto"/>
              </w:rPr>
            </w:pPr>
          </w:p>
        </w:tc>
        <w:tc>
          <w:tcPr>
            <w:tcW w:w="100" w:type="dxa"/>
            <w:vAlign w:val="bottom"/>
            <w:tcBorders>
              <w:top w:val="single" w:sz="8" w:color="0000FF"/>
              <w:right w:val="single" w:sz="8" w:color="CCEEFF"/>
            </w:tcBorders>
            <w:shd w:val="clear" w:color="auto" w:fill="CCEEFF"/>
          </w:tcPr>
          <w:p>
            <w:pPr>
              <w:spacing w:after="0"/>
              <w:rPr>
                <w:sz w:val="22"/>
                <w:szCs w:val="22"/>
                <w:color w:val="auto"/>
              </w:rPr>
            </w:pPr>
          </w:p>
        </w:tc>
        <w:tc>
          <w:tcPr>
            <w:tcW w:w="160" w:type="dxa"/>
            <w:vAlign w:val="bottom"/>
            <w:tcBorders>
              <w:top w:val="single" w:sz="8" w:color="0000FF"/>
              <w:left w:val="single" w:sz="8" w:color="CCEEFF"/>
            </w:tcBorders>
            <w:shd w:val="clear" w:color="auto" w:fill="CCEEFF"/>
          </w:tcPr>
          <w:p>
            <w:pPr>
              <w:spacing w:after="0"/>
              <w:rPr>
                <w:sz w:val="22"/>
                <w:szCs w:val="22"/>
                <w:color w:val="auto"/>
              </w:rPr>
            </w:pPr>
          </w:p>
        </w:tc>
        <w:tc>
          <w:tcPr>
            <w:tcW w:w="100" w:type="dxa"/>
            <w:vAlign w:val="bottom"/>
            <w:tcBorders>
              <w:top w:val="single" w:sz="8" w:color="0000FF"/>
            </w:tcBorders>
            <w:shd w:val="clear" w:color="auto" w:fill="CCEEFF"/>
          </w:tcPr>
          <w:p>
            <w:pPr>
              <w:spacing w:after="0"/>
              <w:rPr>
                <w:sz w:val="22"/>
                <w:szCs w:val="22"/>
                <w:color w:val="auto"/>
              </w:rPr>
            </w:pPr>
          </w:p>
        </w:tc>
        <w:tc>
          <w:tcPr>
            <w:tcW w:w="320" w:type="dxa"/>
            <w:vAlign w:val="bottom"/>
            <w:tcBorders>
              <w:top w:val="single" w:sz="8" w:color="0000FF"/>
              <w:right w:val="single" w:sz="8" w:color="CCEEFF"/>
            </w:tcBorders>
            <w:shd w:val="clear" w:color="auto" w:fill="CCEEFF"/>
          </w:tcPr>
          <w:p>
            <w:pPr>
              <w:spacing w:after="0"/>
              <w:rPr>
                <w:sz w:val="22"/>
                <w:szCs w:val="22"/>
                <w:color w:val="auto"/>
              </w:rPr>
            </w:pPr>
          </w:p>
        </w:tc>
        <w:tc>
          <w:tcPr>
            <w:tcW w:w="220" w:type="dxa"/>
            <w:vAlign w:val="bottom"/>
            <w:tcBorders>
              <w:top w:val="single" w:sz="8" w:color="0000FF"/>
            </w:tcBorders>
            <w:shd w:val="clear" w:color="auto" w:fill="CCEEFF"/>
          </w:tcPr>
          <w:p>
            <w:pPr>
              <w:spacing w:after="0"/>
              <w:rPr>
                <w:sz w:val="22"/>
                <w:szCs w:val="22"/>
                <w:color w:val="auto"/>
              </w:rPr>
            </w:pPr>
          </w:p>
        </w:tc>
        <w:tc>
          <w:tcPr>
            <w:tcW w:w="220" w:type="dxa"/>
            <w:vAlign w:val="bottom"/>
            <w:tcBorders>
              <w:top w:val="single" w:sz="8" w:color="0000FF"/>
            </w:tcBorders>
            <w:shd w:val="clear" w:color="auto" w:fill="CCEEFF"/>
          </w:tcPr>
          <w:p>
            <w:pPr>
              <w:spacing w:after="0"/>
              <w:rPr>
                <w:sz w:val="22"/>
                <w:szCs w:val="22"/>
                <w:color w:val="auto"/>
              </w:rPr>
            </w:pPr>
          </w:p>
        </w:tc>
        <w:tc>
          <w:tcPr>
            <w:tcW w:w="260" w:type="dxa"/>
            <w:vAlign w:val="bottom"/>
            <w:tcBorders>
              <w:top w:val="single" w:sz="8" w:color="0000FF"/>
              <w:left w:val="single" w:sz="8" w:color="CCEEFF"/>
            </w:tcBorders>
            <w:shd w:val="clear" w:color="auto" w:fill="CCEEFF"/>
          </w:tcPr>
          <w:p>
            <w:pPr>
              <w:spacing w:after="0"/>
              <w:rPr>
                <w:sz w:val="22"/>
                <w:szCs w:val="22"/>
                <w:color w:val="auto"/>
              </w:rPr>
            </w:pPr>
          </w:p>
        </w:tc>
        <w:tc>
          <w:tcPr>
            <w:tcW w:w="800" w:type="dxa"/>
            <w:vAlign w:val="bottom"/>
            <w:tcBorders>
              <w:top w:val="single" w:sz="8" w:color="0000FF"/>
              <w:right w:val="single" w:sz="8" w:color="CCEEFF"/>
            </w:tcBorders>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820" w:type="dxa"/>
            <w:vAlign w:val="bottom"/>
            <w:tcBorders>
              <w:left w:val="single" w:sz="8" w:color="CCEEFF"/>
            </w:tcBorders>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900" w:type="dxa"/>
            <w:vAlign w:val="bottom"/>
            <w:tcBorders>
              <w:right w:val="single" w:sz="8" w:color="CCEEFF"/>
            </w:tcBorders>
            <w:shd w:val="clear" w:color="auto" w:fill="CCEEFF"/>
          </w:tcPr>
          <w:p>
            <w:pPr>
              <w:spacing w:after="0"/>
              <w:rPr>
                <w:sz w:val="22"/>
                <w:szCs w:val="22"/>
                <w:color w:val="auto"/>
              </w:rPr>
            </w:pPr>
          </w:p>
        </w:tc>
        <w:tc>
          <w:tcPr>
            <w:tcW w:w="80" w:type="dxa"/>
            <w:vAlign w:val="bottom"/>
            <w:tcBorders>
              <w:top w:val="single" w:sz="8" w:color="0000FF"/>
            </w:tcBorders>
            <w:shd w:val="clear" w:color="auto" w:fill="CCEEFF"/>
          </w:tcPr>
          <w:p>
            <w:pPr>
              <w:spacing w:after="0"/>
              <w:rPr>
                <w:sz w:val="22"/>
                <w:szCs w:val="22"/>
                <w:color w:val="auto"/>
              </w:rPr>
            </w:pPr>
          </w:p>
        </w:tc>
        <w:tc>
          <w:tcPr>
            <w:tcW w:w="360" w:type="dxa"/>
            <w:vAlign w:val="bottom"/>
            <w:tcBorders>
              <w:left w:val="single" w:sz="8" w:color="CCEEFF"/>
            </w:tcBorders>
            <w:shd w:val="clear" w:color="auto" w:fill="CCEEFF"/>
          </w:tcPr>
          <w:p>
            <w:pPr>
              <w:spacing w:after="0"/>
              <w:rPr>
                <w:sz w:val="22"/>
                <w:szCs w:val="22"/>
                <w:color w:val="auto"/>
              </w:rPr>
            </w:pPr>
          </w:p>
        </w:tc>
      </w:tr>
      <w:tr>
        <w:trPr>
          <w:trHeight w:val="225"/>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740" w:type="dxa"/>
            <w:vAlign w:val="bottom"/>
            <w:gridSpan w:val="7"/>
          </w:tcPr>
          <w:p>
            <w:pPr>
              <w:jc w:val="center"/>
              <w:ind w:right="3800"/>
              <w:spacing w:after="0"/>
              <w:rPr>
                <w:sz w:val="20"/>
                <w:szCs w:val="20"/>
                <w:color w:val="auto"/>
              </w:rPr>
            </w:pPr>
            <w:r>
              <w:rPr>
                <w:rFonts w:ascii="Times New Roman" w:cs="Times New Roman" w:eastAsia="Times New Roman" w:hAnsi="Times New Roman"/>
                <w:sz w:val="18"/>
                <w:szCs w:val="18"/>
                <w:b w:val="1"/>
                <w:bCs w:val="1"/>
                <w:color w:val="auto"/>
                <w:w w:val="95"/>
              </w:rPr>
              <w:t>PART IV</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52"/>
        </w:trPr>
        <w:tc>
          <w:tcPr>
            <w:tcW w:w="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520" w:type="dxa"/>
            <w:vAlign w:val="bottom"/>
            <w:tcBorders>
              <w:left w:val="single" w:sz="8" w:color="CCEEFF"/>
            </w:tcBorders>
            <w:shd w:val="clear" w:color="auto" w:fill="CCEEFF"/>
          </w:tcPr>
          <w:p>
            <w:pPr>
              <w:spacing w:after="0"/>
              <w:rPr>
                <w:sz w:val="21"/>
                <w:szCs w:val="21"/>
                <w:color w:val="auto"/>
              </w:rPr>
            </w:pPr>
          </w:p>
        </w:tc>
        <w:tc>
          <w:tcPr>
            <w:tcW w:w="620" w:type="dxa"/>
            <w:vAlign w:val="bottom"/>
            <w:gridSpan w:val="2"/>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160" w:type="dxa"/>
            <w:vAlign w:val="bottom"/>
            <w:tcBorders>
              <w:lef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60" w:type="dxa"/>
            <w:vAlign w:val="bottom"/>
            <w:tcBorders>
              <w:left w:val="single" w:sz="8" w:color="CCEEFF"/>
            </w:tcBorders>
            <w:shd w:val="clear" w:color="auto" w:fill="CCEEFF"/>
          </w:tcPr>
          <w:p>
            <w:pPr>
              <w:spacing w:after="0"/>
              <w:rPr>
                <w:sz w:val="21"/>
                <w:szCs w:val="21"/>
                <w:color w:val="auto"/>
              </w:rPr>
            </w:pPr>
          </w:p>
        </w:tc>
        <w:tc>
          <w:tcPr>
            <w:tcW w:w="800" w:type="dxa"/>
            <w:vAlign w:val="bottom"/>
            <w:tcBorders>
              <w:right w:val="single" w:sz="8" w:color="CCEEFF"/>
            </w:tcBorders>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20" w:type="dxa"/>
            <w:vAlign w:val="bottom"/>
            <w:tcBorders>
              <w:left w:val="single" w:sz="8" w:color="CCEEFF"/>
            </w:tcBorders>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tcBorders>
              <w:left w:val="single" w:sz="8" w:color="CCEEFF"/>
            </w:tcBorders>
            <w:shd w:val="clear" w:color="auto" w:fill="CCEEFF"/>
          </w:tcPr>
          <w:p>
            <w:pPr>
              <w:spacing w:after="0"/>
              <w:rPr>
                <w:sz w:val="21"/>
                <w:szCs w:val="21"/>
                <w:color w:val="auto"/>
              </w:rPr>
            </w:pPr>
          </w:p>
        </w:tc>
      </w:tr>
      <w:tr>
        <w:trPr>
          <w:trHeight w:val="185"/>
        </w:trPr>
        <w:tc>
          <w:tcPr>
            <w:tcW w:w="20" w:type="dxa"/>
            <w:vAlign w:val="bottom"/>
          </w:tcPr>
          <w:p>
            <w:pPr>
              <w:spacing w:after="0"/>
              <w:rPr>
                <w:sz w:val="16"/>
                <w:szCs w:val="16"/>
                <w:color w:val="auto"/>
              </w:rPr>
            </w:pPr>
          </w:p>
        </w:tc>
        <w:tc>
          <w:tcPr>
            <w:tcW w:w="600" w:type="dxa"/>
            <w:vAlign w:val="bottom"/>
            <w:gridSpan w:val="2"/>
          </w:tcPr>
          <w:p>
            <w:pPr>
              <w:spacing w:after="0" w:line="186" w:lineRule="exact"/>
              <w:rPr>
                <w:sz w:val="20"/>
                <w:szCs w:val="20"/>
                <w:color w:val="auto"/>
              </w:rPr>
            </w:pPr>
            <w:r>
              <w:rPr>
                <w:rFonts w:ascii="Times New Roman" w:cs="Times New Roman" w:eastAsia="Times New Roman" w:hAnsi="Times New Roman"/>
                <w:sz w:val="18"/>
                <w:szCs w:val="18"/>
                <w:color w:val="0000FF"/>
                <w:w w:val="93"/>
              </w:rPr>
              <w:t>Item 15.</w:t>
            </w:r>
          </w:p>
        </w:tc>
        <w:tc>
          <w:tcPr>
            <w:tcW w:w="520" w:type="dxa"/>
            <w:vAlign w:val="bottom"/>
          </w:tcPr>
          <w:p>
            <w:pPr>
              <w:spacing w:after="0"/>
              <w:rPr>
                <w:sz w:val="16"/>
                <w:szCs w:val="16"/>
                <w:color w:val="auto"/>
              </w:rPr>
            </w:pPr>
          </w:p>
        </w:tc>
        <w:tc>
          <w:tcPr>
            <w:tcW w:w="3100" w:type="dxa"/>
            <w:vAlign w:val="bottom"/>
            <w:gridSpan w:val="11"/>
          </w:tcPr>
          <w:p>
            <w:pPr>
              <w:spacing w:after="0" w:line="186" w:lineRule="exact"/>
              <w:rPr>
                <w:sz w:val="20"/>
                <w:szCs w:val="20"/>
                <w:color w:val="auto"/>
              </w:rPr>
            </w:pPr>
            <w:r>
              <w:rPr>
                <w:rFonts w:ascii="Times New Roman" w:cs="Times New Roman" w:eastAsia="Times New Roman" w:hAnsi="Times New Roman"/>
                <w:sz w:val="18"/>
                <w:szCs w:val="18"/>
                <w:color w:val="0000FF"/>
                <w:w w:val="97"/>
              </w:rPr>
              <w:t>Exhibits and Financial Statement Schedules</w:t>
            </w:r>
          </w:p>
        </w:tc>
        <w:tc>
          <w:tcPr>
            <w:tcW w:w="5660" w:type="dxa"/>
            <w:vAlign w:val="bottom"/>
            <w:gridSpan w:val="9"/>
          </w:tcPr>
          <w:p>
            <w:pPr>
              <w:spacing w:after="0"/>
              <w:rPr>
                <w:sz w:val="16"/>
                <w:szCs w:val="16"/>
                <w:color w:val="auto"/>
              </w:rPr>
            </w:pPr>
          </w:p>
        </w:tc>
        <w:tc>
          <w:tcPr>
            <w:tcW w:w="1340" w:type="dxa"/>
            <w:vAlign w:val="bottom"/>
            <w:gridSpan w:val="3"/>
          </w:tcPr>
          <w:p>
            <w:pPr>
              <w:jc w:val="center"/>
              <w:ind w:left="472"/>
              <w:spacing w:after="0" w:line="186" w:lineRule="exact"/>
              <w:rPr>
                <w:sz w:val="20"/>
                <w:szCs w:val="20"/>
                <w:color w:val="auto"/>
              </w:rPr>
            </w:pPr>
            <w:r>
              <w:rPr>
                <w:rFonts w:ascii="Times New Roman" w:cs="Times New Roman" w:eastAsia="Times New Roman" w:hAnsi="Times New Roman"/>
                <w:sz w:val="18"/>
                <w:szCs w:val="18"/>
                <w:color w:val="0000FF"/>
                <w:w w:val="99"/>
              </w:rPr>
              <w:t>68</w:t>
            </w:r>
          </w:p>
        </w:tc>
      </w:tr>
      <w:tr>
        <w:trPr>
          <w:trHeight w:val="30"/>
        </w:trPr>
        <w:tc>
          <w:tcPr>
            <w:tcW w:w="2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60" w:type="dxa"/>
            <w:vAlign w:val="bottom"/>
            <w:tcBorders>
              <w:left w:val="single" w:sz="8" w:color="0000FF"/>
            </w:tcBorders>
            <w:shd w:val="clear" w:color="auto" w:fill="0000FF"/>
          </w:tcPr>
          <w:p>
            <w:pPr>
              <w:spacing w:after="0"/>
              <w:rPr>
                <w:sz w:val="2"/>
                <w:szCs w:val="2"/>
                <w:color w:val="auto"/>
              </w:rPr>
            </w:pPr>
          </w:p>
        </w:tc>
        <w:tc>
          <w:tcPr>
            <w:tcW w:w="800" w:type="dxa"/>
            <w:vAlign w:val="bottom"/>
            <w:tcBorders>
              <w:righ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90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60" w:type="dxa"/>
            <w:vAlign w:val="bottom"/>
            <w:tcBorders>
              <w:left w:val="single" w:sz="8" w:color="0000FF"/>
            </w:tcBorders>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600" w:type="dxa"/>
            <w:vAlign w:val="bottom"/>
            <w:tcBorders>
              <w:right w:val="single" w:sz="8" w:color="CCEEFF"/>
            </w:tcBorders>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w w:val="93"/>
              </w:rPr>
              <w:t>Item 16.</w:t>
            </w:r>
          </w:p>
        </w:tc>
        <w:tc>
          <w:tcPr>
            <w:tcW w:w="520" w:type="dxa"/>
            <w:vAlign w:val="bottom"/>
            <w:tcBorders>
              <w:left w:val="single" w:sz="8" w:color="CCEEFF"/>
            </w:tcBorders>
            <w:shd w:val="clear" w:color="auto" w:fill="CCEEFF"/>
          </w:tcPr>
          <w:p>
            <w:pPr>
              <w:spacing w:after="0"/>
              <w:rPr>
                <w:sz w:val="16"/>
                <w:szCs w:val="16"/>
                <w:color w:val="auto"/>
              </w:rPr>
            </w:pPr>
          </w:p>
        </w:tc>
        <w:tc>
          <w:tcPr>
            <w:tcW w:w="1520" w:type="dxa"/>
            <w:vAlign w:val="bottom"/>
            <w:gridSpan w:val="7"/>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w w:val="96"/>
              </w:rPr>
              <w:t>Form 10-K Summary</w:t>
            </w:r>
          </w:p>
        </w:tc>
        <w:tc>
          <w:tcPr>
            <w:tcW w:w="1580" w:type="dxa"/>
            <w:vAlign w:val="bottom"/>
            <w:gridSpan w:val="4"/>
            <w:shd w:val="clear" w:color="auto" w:fill="CCEEFF"/>
          </w:tcPr>
          <w:p>
            <w:pPr>
              <w:spacing w:after="0"/>
              <w:rPr>
                <w:sz w:val="16"/>
                <w:szCs w:val="16"/>
                <w:color w:val="auto"/>
              </w:rPr>
            </w:pPr>
          </w:p>
        </w:tc>
        <w:tc>
          <w:tcPr>
            <w:tcW w:w="5660" w:type="dxa"/>
            <w:vAlign w:val="bottom"/>
            <w:gridSpan w:val="9"/>
            <w:shd w:val="clear" w:color="auto" w:fill="CCEEFF"/>
          </w:tcPr>
          <w:p>
            <w:pPr>
              <w:spacing w:after="0"/>
              <w:rPr>
                <w:sz w:val="16"/>
                <w:szCs w:val="16"/>
                <w:color w:val="auto"/>
              </w:rPr>
            </w:pPr>
          </w:p>
        </w:tc>
        <w:tc>
          <w:tcPr>
            <w:tcW w:w="1340" w:type="dxa"/>
            <w:vAlign w:val="bottom"/>
            <w:gridSpan w:val="3"/>
            <w:shd w:val="clear" w:color="auto" w:fill="CCEEFF"/>
          </w:tcPr>
          <w:p>
            <w:pPr>
              <w:jc w:val="center"/>
              <w:ind w:left="472"/>
              <w:spacing w:after="0" w:line="195" w:lineRule="exact"/>
              <w:rPr>
                <w:sz w:val="20"/>
                <w:szCs w:val="20"/>
                <w:color w:val="auto"/>
              </w:rPr>
            </w:pPr>
            <w:r>
              <w:rPr>
                <w:rFonts w:ascii="Times New Roman" w:cs="Times New Roman" w:eastAsia="Times New Roman" w:hAnsi="Times New Roman"/>
                <w:sz w:val="18"/>
                <w:szCs w:val="18"/>
                <w:color w:val="0000FF"/>
                <w:w w:val="99"/>
              </w:rPr>
              <w:t>71</w:t>
            </w:r>
          </w:p>
        </w:tc>
      </w:tr>
      <w:tr>
        <w:trPr>
          <w:trHeight w:val="40"/>
        </w:trPr>
        <w:tc>
          <w:tcPr>
            <w:tcW w:w="20" w:type="dxa"/>
            <w:vAlign w:val="bottom"/>
            <w:shd w:val="clear" w:color="auto" w:fill="CCEE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520" w:type="dxa"/>
            <w:vAlign w:val="bottom"/>
            <w:tcBorders>
              <w:left w:val="single" w:sz="8" w:color="CCEEFF"/>
            </w:tcBorders>
            <w:shd w:val="clear" w:color="auto" w:fill="CCEE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2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800" w:type="dxa"/>
            <w:vAlign w:val="bottom"/>
            <w:tcBorders>
              <w:righ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90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60" w:type="dxa"/>
            <w:vAlign w:val="bottom"/>
            <w:tcBorders>
              <w:left w:val="single" w:sz="8" w:color="0000FF"/>
            </w:tcBorders>
            <w:shd w:val="clear" w:color="auto" w:fill="CCEEFF"/>
          </w:tcPr>
          <w:p>
            <w:pPr>
              <w:spacing w:after="0"/>
              <w:rPr>
                <w:sz w:val="3"/>
                <w:szCs w:val="3"/>
                <w:color w:val="auto"/>
              </w:rPr>
            </w:pPr>
          </w:p>
        </w:tc>
      </w:tr>
      <w:tr>
        <w:trPr>
          <w:trHeight w:val="186"/>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520" w:type="dxa"/>
            <w:vAlign w:val="bottom"/>
            <w:gridSpan w:val="7"/>
          </w:tcPr>
          <w:p>
            <w:pPr>
              <w:spacing w:after="0" w:line="186" w:lineRule="exact"/>
              <w:rPr>
                <w:sz w:val="20"/>
                <w:szCs w:val="20"/>
                <w:color w:val="auto"/>
              </w:rPr>
            </w:pPr>
            <w:r>
              <w:rPr>
                <w:rFonts w:ascii="Times New Roman" w:cs="Times New Roman" w:eastAsia="Times New Roman" w:hAnsi="Times New Roman"/>
                <w:sz w:val="18"/>
                <w:szCs w:val="18"/>
                <w:color w:val="0000FF"/>
              </w:rPr>
              <w:t>Signatures</w:t>
            </w:r>
          </w:p>
        </w:tc>
        <w:tc>
          <w:tcPr>
            <w:tcW w:w="7240" w:type="dxa"/>
            <w:vAlign w:val="bottom"/>
            <w:gridSpan w:val="13"/>
          </w:tcPr>
          <w:p>
            <w:pPr>
              <w:spacing w:after="0"/>
              <w:rPr>
                <w:sz w:val="16"/>
                <w:szCs w:val="16"/>
                <w:color w:val="auto"/>
              </w:rPr>
            </w:pPr>
          </w:p>
        </w:tc>
        <w:tc>
          <w:tcPr>
            <w:tcW w:w="1340" w:type="dxa"/>
            <w:vAlign w:val="bottom"/>
            <w:gridSpan w:val="3"/>
          </w:tcPr>
          <w:p>
            <w:pPr>
              <w:jc w:val="center"/>
              <w:ind w:left="472"/>
              <w:spacing w:after="0" w:line="186" w:lineRule="exact"/>
              <w:rPr>
                <w:sz w:val="20"/>
                <w:szCs w:val="20"/>
                <w:color w:val="auto"/>
              </w:rPr>
            </w:pPr>
            <w:r>
              <w:rPr>
                <w:rFonts w:ascii="Times New Roman" w:cs="Times New Roman" w:eastAsia="Times New Roman" w:hAnsi="Times New Roman"/>
                <w:sz w:val="18"/>
                <w:szCs w:val="18"/>
                <w:color w:val="0000FF"/>
                <w:w w:val="99"/>
              </w:rPr>
              <w:t>72</w:t>
            </w: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ON FORWARD-LOOKING STATEMENTS</w:t>
      </w:r>
    </w:p>
    <w:p>
      <w:pPr>
        <w:spacing w:after="0" w:line="113"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7"/>
          <w:szCs w:val="17"/>
          <w:color w:val="auto"/>
        </w:rPr>
        <w:t>Forward-looking statements, within the meaning of Section 27A of the Securities Act of 1933, as amended, and Section 21E of the Securities Exchange Act of 1934, as amended (the “Exchange Act”), are made throughout this report, including statements regarding unanticipated developments that negatively impact our common stock. These forward-looking statements are sometimes identified from the use of forward-looking words such as “believe,” “should,” “could,” “potential,” “continue,” “expect,” “project,” “estimate,” “predict,” “anticipate,” “aim,” “intend,” “plan,” “forecast,” “target,” “is likely,” “will,” “can,” “may” or “would” or the negative of these terms or similar expressions elsewhere in this report. Our financial condition, results of operations and cash flows may differ materially from those in the forward-looking statements. Such statements are based on management’s current views and assumptions and involve risks and uncertainties that could affect expected results. Those risks and uncertainties include, but are not limited to, the following:</w:t>
      </w:r>
    </w:p>
    <w:p>
      <w:pPr>
        <w:spacing w:after="0" w:line="68" w:lineRule="exact"/>
        <w:rPr>
          <w:sz w:val="20"/>
          <w:szCs w:val="20"/>
          <w:color w:val="auto"/>
        </w:rPr>
      </w:pPr>
    </w:p>
    <w:p>
      <w:pPr>
        <w:ind w:left="640" w:hanging="316"/>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sales from our ready-to-drink (“RTD”) protein shakes;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compete in our product categories and our ability to retain our market position and favorable perceptions of our brands;</w:t>
      </w:r>
    </w:p>
    <w:p>
      <w:pPr>
        <w:spacing w:after="0" w:line="111"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or inefficiencies in our supply chain, including as a result of our reliance on third-party suppliers or manufacturers for the manufacturing of many of our products, pandemics and other outbreaks of contagious diseases, labor shortages, fires and evacuations related thereto, changes in weather conditions, natural disasters, agricultural diseases and pests and other events beyond our control;</w:t>
      </w:r>
    </w:p>
    <w:p>
      <w:pPr>
        <w:spacing w:after="0" w:line="7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third-party contract manufacturers for the manufacture of most of our products, including one manufacturer for nearly half of our RTD protein shakes;</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third-party contract manufacturers to produce an amount of our products that enables us to meet customer and consumer demand for the products;</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a limited number of third-party suppliers to provide certain ingredients and packaging;</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volatility in the cost or availability of inputs to our business (including freight, raw materials, packaging, energy, labor and other supplies);</w:t>
      </w:r>
    </w:p>
    <w:p>
      <w:pPr>
        <w:spacing w:after="0" w:line="122" w:lineRule="exact"/>
        <w:rPr>
          <w:rFonts w:ascii="Times New Roman" w:cs="Times New Roman" w:eastAsia="Times New Roman" w:hAnsi="Times New Roman"/>
          <w:sz w:val="17"/>
          <w:szCs w:val="17"/>
          <w:color w:val="auto"/>
        </w:rPr>
      </w:pPr>
    </w:p>
    <w:p>
      <w:pPr>
        <w:ind w:left="640" w:hanging="316"/>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anticipate and respond to changes in consumer and customer preferences and behaviors and introduce new products;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existing market penetration and enter into new markets;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in our distribution channels;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 significant reduction of purchases by or the bankruptcy of a major customer;</w:t>
      </w:r>
    </w:p>
    <w:p>
      <w:pPr>
        <w:spacing w:after="0" w:line="111"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regulatory factors, such as compliance with existing laws and regulations, as well as new laws and regulations and changes to existing laws and regulations and interpretations thereof, affecting our business, including current and future laws and regulations regarding food safety, advertising, labeling, tax matters and environmental matters;</w:t>
      </w:r>
    </w:p>
    <w:p>
      <w:pPr>
        <w:spacing w:after="0" w:line="7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business due to changes in our promotional activities and seasonality;</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net selling prices of our products and manage promotional activities with respect to our products;</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obtain additional financing (including both secured and unsecured debt) and our ability to service our outstanding debt (including covenants that restrict the operation of our business);</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market data and attributes and related information;</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critical accounting estimates;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or unfavorable economic conditions that limit customer and consumer demand for our products or increase our costs;</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ongoing relationship with Post Holdings, Inc. (“Post”) following our separation from Post and Post’s distribution of our stock to its shareholders (the “Spin-off”), including our obligations under various agreements with Post;</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conflicting interests or the appearance of conflicting interests resulting from certain of our directors also serving as officers or directors of Post;</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previously completed Spin-off;</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ultimate impact litigation or other regulatory matters may have on us;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international business;</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and other assets and to continue to use third-party intellectual property subject to intellectual property licenses;</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business disruptions and reputational damage associated with technology failures, cybersecurity incidents and corruption of our data privacy protections;</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in the carrying value of goodwill or other intangible assets or other long-lived assets;</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complete and integrate or otherwise effectively execute acquisitions or other strategic transactions and effectively manage our growth;</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talented personnel, employee absenteeism, labor strikes, work stoppages or unionization efforts;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satisfy the requirements of Section 404 of the Sarbanes-Oxley Act of 2002;</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differences in our actual operating results from any guidance we may give regarding our performance; and</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included under “Risk Factors” in Item 1A of this report.</w:t>
      </w:r>
    </w:p>
    <w:p>
      <w:pPr>
        <w:spacing w:after="0" w:line="11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Moreover, we undertake no obligation to update publicly any forward-looking statements for any reason after the date of this report to conform these statements to actual results or to changes in our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4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are subject to a variety of risks and uncertainties, including industry and operating risks, financial and economic risks, legal and regulatory risks, risks related to our relationship with Post, risks related to ownership of our Common Stock and certain general risks, which could have a material adverse effect on our business, financial condition, results of operations and cash flows. Risks that we deem material are described in Item 1A, “Risk Factors” of this report. These risks include, but are not limited to, the following:</w:t>
      </w:r>
    </w:p>
    <w:p>
      <w:pPr>
        <w:spacing w:after="0" w:line="74" w:lineRule="exact"/>
        <w:rPr>
          <w:sz w:val="20"/>
          <w:szCs w:val="20"/>
          <w:color w:val="auto"/>
        </w:rPr>
      </w:pPr>
    </w:p>
    <w:p>
      <w:pPr>
        <w:ind w:left="640" w:hanging="316"/>
        <w:spacing w:after="0" w:line="274"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substantial amount of our net sales comes from our RTD protein shakes, and a decrease in sales of our RTD protein shakes would adversely affect our business, financial condition, results of operations and cash flows.</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category with strong competition.</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supply chain and changes in weather conditions could have an adverse effect on our business, financial condition, results of operations and cash flows.</w:t>
      </w:r>
    </w:p>
    <w:p>
      <w:pPr>
        <w:spacing w:after="0" w:line="57"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third-party contract manufacturers for the manufacture of most of our products, including one manufacturer for nearly half of our RTD protein shakes. Our business could suffer if we do not continue to contract with key third-party manufacturers or as a result of a third-party contract manufacturer’s inability to produce our products for us in the quantities required, on time or to our specifications.</w:t>
      </w:r>
    </w:p>
    <w:p>
      <w:pPr>
        <w:spacing w:after="0" w:line="71"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a limited number of suppliers for certain equipment, ingredients and packaging materials, the price and availability of ingredients and packaging materials, higher freight costs and higher energy costs could negatively impact our business, financial condition, results of operations and cash flows.</w:t>
      </w:r>
    </w:p>
    <w:p>
      <w:pPr>
        <w:spacing w:after="0" w:line="7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identify changing consumer and customer preferences and behaviors and develop and offer products to meet these preferences.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may be adversely impacted if consumers do not maintain favorable perceptions of our brands.</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or unfavorable economic conditions, including during periods of high inflation, could limit consumer and customer demand for our products, increase our costs or otherwise adversely affect us.</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and profit growth are dependent upon our ability to expand existing market penetration and enter into new markets.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in our distribution channels, and competitive, economic and other pressures facing our customers, may hurt our profit margins.</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a significant reduction of purchases by or bankruptcy of a major customer may adversely affect our business, financial condition, results of operations and cash flows.</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Violations of laws or regulations by us or our third-party contract manufacturers, as well as new laws or regulations or changes to existing laws or regulations, could adversely affect our business.</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business due to changes in our promotional activities and seasonality may have an adverse impact on our financial condition, results of operations and cash flows.</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substantial debt, which could have a negative impact on our financing options and liquidity position and could adversely affect our business.</w:t>
      </w:r>
    </w:p>
    <w:p>
      <w:pPr>
        <w:spacing w:after="0" w:line="122" w:lineRule="exact"/>
        <w:rPr>
          <w:rFonts w:ascii="Times New Roman" w:cs="Times New Roman" w:eastAsia="Times New Roman" w:hAnsi="Times New Roman"/>
          <w:sz w:val="17"/>
          <w:szCs w:val="17"/>
          <w:color w:val="auto"/>
        </w:rPr>
      </w:pPr>
    </w:p>
    <w:p>
      <w:pPr>
        <w:ind w:left="640" w:hanging="316"/>
        <w:spacing w:after="0" w:line="274"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borrowing costs and access to capital and credit markets could be adversely affected by a downgrade or potential downgrade of our credit ratings.</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and global capital and credit market issues, including those that have arisen as a result of heightened inflation, could negatively affect our liquidity, increase our costs of borrowing and disrupt the operations of our suppliers and customers.</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overlapping directors and management with Post, which may lead to conflicting interests or the appearance of conflicting interests.</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certificate of incorporation and bylaws and provisions of Delaware law may discourage or prevent strategic transactions, including a takeover of us, even if such transaction would be beneficial to our stockholders.</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responsible for United States federal tax liabilities that relate to the Spin-off.</w:t>
      </w:r>
    </w:p>
    <w:p>
      <w:pPr>
        <w:spacing w:after="0" w:line="111" w:lineRule="exact"/>
        <w:rPr>
          <w:rFonts w:ascii="Times New Roman" w:cs="Times New Roman" w:eastAsia="Times New Roman" w:hAnsi="Times New Roman"/>
          <w:sz w:val="18"/>
          <w:szCs w:val="18"/>
          <w:color w:val="auto"/>
        </w:rPr>
      </w:pPr>
    </w:p>
    <w:p>
      <w:pPr>
        <w:ind w:left="640" w:right="20" w:hanging="316"/>
        <w:spacing w:after="0" w:line="274"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all or a portion of the Spin-off does not qualify as a tax-free transaction for any reason, including because any of the factual statements or representations in the legal opinions are incomplete or untrue, Post may recognize a substantial</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gain for U.S. federal income tax purposes, and we may incur indemnification or other liabilities to Post as a result.</w:t>
      </w:r>
    </w:p>
    <w:p>
      <w:pPr>
        <w:spacing w:after="0" w:line="111" w:lineRule="exact"/>
        <w:rPr>
          <w:sz w:val="20"/>
          <w:szCs w:val="20"/>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and future litigation and claims may impair our reputation or lead us to incur significant costs.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operations subject us to additional risks.</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rights are valuable and any inability to protect them, or termination of our material intellectual property licenses, could reduce the value of our products and brands and have a material adverse effect on our business.</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failures, cybersecurity incidents and corruption of our data privacy protections could disrupt our operations and negatively impact our business.</w:t>
      </w:r>
    </w:p>
    <w:p>
      <w:pPr>
        <w:spacing w:after="0" w:line="57"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in the carrying value of intangible assets or other long-lived assets could negatively impact our financial condition and results of operations. If our goodwill or other intangible assets or other long-lived assets become impaired, we will be required to record impairment charges, which may be significant.</w:t>
      </w:r>
    </w:p>
    <w:p>
      <w:pPr>
        <w:spacing w:after="0" w:line="7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pursue acquisitions or other strategic transactions, we may not be able to successfully consummate favorable transactions or successfully integrate acquired businesses.</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operating results may differ significantly from our guidance and our forward-looking statements.</w:t>
      </w:r>
    </w:p>
    <w:p>
      <w:pPr>
        <w:spacing w:after="0" w:line="111"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operate successfully if we are unable to recruit, hire, retain and develop key personnel and a qualified and diverse workforce. In addition, temporary workforce disruptions or the inability of our employees to safely perform their jobs for any reason, including as a result of illness, could adversely impact our business, financial condition, results of operations and cash flows.</w:t>
      </w:r>
    </w:p>
    <w:p>
      <w:pPr>
        <w:spacing w:after="0" w:line="72"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Additional risks and uncertainties not presently known to us or that we currently deem immaterial also may impair our business,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1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13" w:lineRule="exact"/>
        <w:rPr>
          <w:sz w:val="20"/>
          <w:szCs w:val="20"/>
          <w:color w:val="auto"/>
        </w:rPr>
      </w:pPr>
    </w:p>
    <w:p>
      <w:pPr>
        <w:jc w:val="both"/>
        <w:ind w:firstLine="318"/>
        <w:spacing w:after="0" w:line="266" w:lineRule="auto"/>
        <w:rPr>
          <w:sz w:val="20"/>
          <w:szCs w:val="20"/>
          <w:color w:val="auto"/>
        </w:rPr>
      </w:pPr>
      <w:r>
        <w:rPr>
          <w:rFonts w:ascii="Times New Roman" w:cs="Times New Roman" w:eastAsia="Times New Roman" w:hAnsi="Times New Roman"/>
          <w:sz w:val="17"/>
          <w:szCs w:val="17"/>
          <w:color w:val="auto"/>
        </w:rPr>
        <w:t>BellRing Brands, Inc. (formerly known as BellRing Distribution, LLC) (“BellRing”) was formed in the State of Delaware on October 20, 2021 as a wholly-owned subsidiary of Post Holdings, Inc. (“Post”) for the purpose of effecting the separation of BellRing Intermediate Holdings, Inc. (formerly known as BellRing Brands, Inc.) (“Old BellRing”) from Post. Under a transaction agreement and plan of merger (the “Transaction Agreement”) that we entered into on October 26, 2021 and amended as of February 28, 2022, with Post, Old BellRing and our subsidiary BellRing Merger Sub Corporation (“Merger Sub”), Post distributed approximately 80.1% of its interest in us to Post’s shareholders and Merger Sub merged with and into Old BellRing, with Old BellRing surviving and becoming our subsidiary. On March 10, 2022, as a result of the completion of the transactions provided for under the Transaction Agreement (including the “Separation” and “Distribution”, each defined below), we became a new public holding company and the successor registrant to Old BellRing. In this report, we refer to the transactions undertaken pursuant to the Transaction Agreement as the “Spin-off.” The Spin-off is described in more detail below.</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1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 xml:space="preserve">We are a leader in the global convenient nutrition category, aiming to enhance the lives of our consumers by providing them with nutritious, great-tasting products they can enjoy throughout the day. Our primary brands,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Dymatize</w:t>
      </w:r>
      <w:r>
        <w:rPr>
          <w:rFonts w:ascii="Times New Roman" w:cs="Times New Roman" w:eastAsia="Times New Roman" w:hAnsi="Times New Roman"/>
          <w:sz w:val="18"/>
          <w:szCs w:val="18"/>
          <w:color w:val="auto"/>
        </w:rPr>
        <w:t>, target a broad range of consumers and compete in all major product forms, including ready-to-drink (“RTD”) protein shakes and powders. Our products are distributed across a diverse network of channels including club, food, drug and mass (“FDM”), eCommerce, specialty and convenience.</w:t>
      </w:r>
    </w:p>
    <w:p>
      <w:pPr>
        <w:spacing w:after="0" w:line="7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have organically grown our net sales from $1,666.8 million in our year ended September 30, 2023 to $2,316.6 million in our year ended September 30, 2025. Over the same period, net earnings increased from $165.5 million in our year ended September 30, 2023 to $216.2 million in our year ended September 30, 2025.</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Spin-off</w:t>
      </w:r>
    </w:p>
    <w:p>
      <w:pPr>
        <w:spacing w:after="0" w:line="113"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Pursuant to the Transaction Agreement and in connection with a series of corporate separation transactions, on March 9, 2022, Post contributed to us (i) all of its nonvoting common units of BellRing Brands, LLC (“BellRing LLC”) and its sole outstanding share of Old BellRing’s Class B common stock, $0.01 par value per share (the “Old BellRing Class B Common Stock” and with Old BellRing’s Class A common stock, $0.01 par value per share (the “Old BellRing Class A Common Stock”), collectively, the “Old BellRing Common Stock”)) and (ii) $550.4 million in cash, in exchange for Post’s right to receive $840.0 million in aggregate principal amount of our 7.00% Senior Notes due 2030 and limited liability company interests in us (prior to our conversion to a Delaware corporation, as described below).</w:t>
      </w:r>
    </w:p>
    <w:p>
      <w:pPr>
        <w:spacing w:after="0" w:line="7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On March 10, 2022, we converted into a Delaware corporation and changed our name to “BellRing Brands, Inc.”, and Post distributed an aggregate of 78.1 million, or 80.1%, of its shares of our common stock, $0.01 par value per share (the “BellRing Common Stock”) to its shareholders in a pro-rata distribution (the “Distribution”). Post shareholders received 1.267788 shares of BellRing Common Stock for every one share of Post common stock held as of the record date for the Distribution. No fractional shares of BellRing Common Stock were issued, and instead, cash in lieu of any fractional shares was paid to Post shareholders.</w:t>
      </w:r>
    </w:p>
    <w:p>
      <w:pPr>
        <w:spacing w:after="0" w:line="7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Also on March 10, 2022, upon completion of the Distribution, Merger Sub merged with and into Old BellRing (the “Merger”), with Old BellRing continuing as the surviving corporation and becoming our wholly-owned subsidiary. Under the Merger, each outstanding share of Old BellRing Class A Common Stock was converted into one share of BellRing Common Stock and $2.97 in cash, resulting in $115.5 million in total consideration paid to Old BellRing Class A common stockholders pursuant to the Merger.</w:t>
      </w:r>
    </w:p>
    <w:p>
      <w:pPr>
        <w:spacing w:after="0" w:line="7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a result of the Spin-off, we became the new public parent company of, and successor issuer to, Old BellRing, and shares of our BellRing Common Stock were deemed to be registered under Section 12(b) of the Exchange Act, pursuant to Rule 12g-3(a) promulgated thereunder.</w:t>
      </w:r>
    </w:p>
    <w:p>
      <w:pPr>
        <w:spacing w:after="0" w:line="5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Immediately following the Spin-off, Post owned approximately 14.2% of BellRing Common Stock and the former holders of Old BellRing Class A Common Stock owned approximately 28.5% of BellRing Common Stock. As a result of the Spin-off, the dual class voting structure of Old BellRing was eliminated. As of both September 30, 2025 and 2024, Post had no ownership of BellRing Common Stock.</w:t>
      </w:r>
    </w:p>
    <w:p>
      <w:pPr>
        <w:spacing w:after="0" w:line="7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Unless otherwise indicated or the context otherwise requires, all references in this report to “BellRing,” “we,” “our,” “us,” “the Company” and “our Company” refer to (1) Old BellRing and its consolidated subsidiaries during the periods prior to the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completion of the Spin-off, including BellRing LLC, Premier Nutrition Company, LLC (“Premier Nutrition”), Dymatize Enterprises, LLC (“Dymatize”), Supreme Protein, LLC (“Supreme Protein”), the </w:t>
      </w:r>
      <w:r>
        <w:rPr>
          <w:rFonts w:ascii="Times New Roman" w:cs="Times New Roman" w:eastAsia="Times New Roman" w:hAnsi="Times New Roman"/>
          <w:sz w:val="18"/>
          <w:szCs w:val="18"/>
          <w:i w:val="1"/>
          <w:iCs w:val="1"/>
          <w:color w:val="auto"/>
        </w:rPr>
        <w:t>PowerBar</w:t>
      </w:r>
      <w:r>
        <w:rPr>
          <w:rFonts w:ascii="Times New Roman" w:cs="Times New Roman" w:eastAsia="Times New Roman" w:hAnsi="Times New Roman"/>
          <w:sz w:val="18"/>
          <w:szCs w:val="18"/>
          <w:color w:val="auto"/>
        </w:rPr>
        <w:t xml:space="preserve"> brand and Active Nutrition International GmbH (“Active Nutrition International”) and (2) us and our consolidated subsidiaries during the periods subsequent to the Spin-off, including, BellRing LLC, Premier Nutrition, Dymatize, Supreme Protein, Active Nutrition International and Premier Nutrition Canada, Inc., in each case, unless otherwise stated or the context otherwise indicates.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History prior to the Spin-off</w:t>
      </w:r>
    </w:p>
    <w:p>
      <w:pPr>
        <w:spacing w:after="0" w:line="113"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 xml:space="preserve">Prior to completion of the Spin-off, and subsequent to Old BellRing’s initial public offering (the “Old BellRing IPO”), which was completed in October 2019, our subsidiary BellRing LLC was the holder of Post’s active nutrition business, which had been comprised of Premier Nutrition, Dymatize, the </w:t>
      </w:r>
      <w:r>
        <w:rPr>
          <w:rFonts w:ascii="Times New Roman" w:cs="Times New Roman" w:eastAsia="Times New Roman" w:hAnsi="Times New Roman"/>
          <w:sz w:val="18"/>
          <w:szCs w:val="18"/>
          <w:i w:val="1"/>
          <w:iCs w:val="1"/>
          <w:color w:val="auto"/>
        </w:rPr>
        <w:t xml:space="preserve">PowerBar </w:t>
      </w:r>
      <w:r>
        <w:rPr>
          <w:rFonts w:ascii="Times New Roman" w:cs="Times New Roman" w:eastAsia="Times New Roman" w:hAnsi="Times New Roman"/>
          <w:sz w:val="18"/>
          <w:szCs w:val="18"/>
          <w:color w:val="auto"/>
        </w:rPr>
        <w:t>brand and Active Nutrition International. The members of BellRing LLC were Post and Old BellRing. Old BellRing held the voting membership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 of BellRing LLC (which represented the power to appoint and remove the members of the board of managers of BellRing LLC and no economic interest). Post held one share of the Old BellRing Class B Common Stock, which represented 67% of the voting power of the common stock of Old BellRing, with the holders of Old BellRing Class A Common Stock holding 33% of the voting power. Immediately prior to completion of the Spin-off, Post owned 71.5% of the economic interests in BellRing LLC, and Old BellRing (and, indirectly, the holders of the Old BellRing Class A Common Stock) owned 28.5% of the economic interests in BellRing LLC. Old BellRing, as a holding company, had no material assets other than its ownership of BellRing LLC units and its indirect interests in the subsidiaries of BellRing LLC.</w:t>
      </w:r>
    </w:p>
    <w:p>
      <w:pPr>
        <w:spacing w:after="0" w:line="8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 xml:space="preserve">Post had acquired the businesses that comprised its active nutrition business in a series of transactions during 2013, 2014 and 2015. In its fiscal year ended September 30, 2013, Post acquired Premier Nutrition Corporation, which, at the time, was a marketer and distributor of high-quality protein shakes and nutrition bars under the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brand and nutritional supplements under the </w:t>
      </w:r>
      <w:r>
        <w:rPr>
          <w:rFonts w:ascii="Times New Roman" w:cs="Times New Roman" w:eastAsia="Times New Roman" w:hAnsi="Times New Roman"/>
          <w:sz w:val="18"/>
          <w:szCs w:val="18"/>
          <w:i w:val="1"/>
          <w:iCs w:val="1"/>
          <w:color w:val="auto"/>
        </w:rPr>
        <w:t>Joint Juice</w:t>
      </w:r>
      <w:r>
        <w:rPr>
          <w:rFonts w:ascii="Times New Roman" w:cs="Times New Roman" w:eastAsia="Times New Roman" w:hAnsi="Times New Roman"/>
          <w:sz w:val="18"/>
          <w:szCs w:val="18"/>
          <w:color w:val="auto"/>
        </w:rPr>
        <w:t xml:space="preserve"> brand. Effective September 30, 2019, Premier Nutrition Corporation converted to a limited liability company and changed its corporate name to Premier Nutrition Company, LLC.</w:t>
      </w:r>
    </w:p>
    <w:p>
      <w:pPr>
        <w:spacing w:after="0" w:line="7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 xml:space="preserve">In its fiscal year ended September 30, 2014, Post acquired Dymatize, which, at the time, was a manufacturer and marketer of high-quality protein powders and nutritional supplements under the </w:t>
      </w:r>
      <w:r>
        <w:rPr>
          <w:rFonts w:ascii="Times New Roman" w:cs="Times New Roman" w:eastAsia="Times New Roman" w:hAnsi="Times New Roman"/>
          <w:sz w:val="18"/>
          <w:szCs w:val="18"/>
          <w:i w:val="1"/>
          <w:iCs w:val="1"/>
          <w:color w:val="auto"/>
        </w:rPr>
        <w:t>Dymatize</w:t>
      </w:r>
      <w:r>
        <w:rPr>
          <w:rFonts w:ascii="Times New Roman" w:cs="Times New Roman" w:eastAsia="Times New Roman" w:hAnsi="Times New Roman"/>
          <w:sz w:val="18"/>
          <w:szCs w:val="18"/>
          <w:color w:val="auto"/>
        </w:rPr>
        <w:t xml:space="preserve"> brand and nutrition bars under the </w:t>
      </w:r>
      <w:r>
        <w:rPr>
          <w:rFonts w:ascii="Times New Roman" w:cs="Times New Roman" w:eastAsia="Times New Roman" w:hAnsi="Times New Roman"/>
          <w:sz w:val="18"/>
          <w:szCs w:val="18"/>
          <w:i w:val="1"/>
          <w:iCs w:val="1"/>
          <w:color w:val="auto"/>
        </w:rPr>
        <w:t>Supreme Protein</w:t>
      </w:r>
      <w:r>
        <w:rPr>
          <w:rFonts w:ascii="Times New Roman" w:cs="Times New Roman" w:eastAsia="Times New Roman" w:hAnsi="Times New Roman"/>
          <w:sz w:val="18"/>
          <w:szCs w:val="18"/>
          <w:color w:val="auto"/>
        </w:rPr>
        <w:t xml:space="preserve"> brand.</w:t>
      </w:r>
    </w:p>
    <w:p>
      <w:pPr>
        <w:spacing w:after="0" w:line="55"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color w:val="auto"/>
        </w:rPr>
        <w:t xml:space="preserve">In its fiscal year ended September 30, 2015, Post acquired the </w:t>
      </w:r>
      <w:r>
        <w:rPr>
          <w:rFonts w:ascii="Times New Roman" w:cs="Times New Roman" w:eastAsia="Times New Roman" w:hAnsi="Times New Roman"/>
          <w:sz w:val="18"/>
          <w:szCs w:val="18"/>
          <w:i w:val="1"/>
          <w:iCs w:val="1"/>
          <w:color w:val="auto"/>
        </w:rPr>
        <w:t>PowerBar</w:t>
      </w:r>
      <w:r>
        <w:rPr>
          <w:rFonts w:ascii="Times New Roman" w:cs="Times New Roman" w:eastAsia="Times New Roman" w:hAnsi="Times New Roman"/>
          <w:sz w:val="18"/>
          <w:szCs w:val="18"/>
          <w:color w:val="auto"/>
        </w:rPr>
        <w:t xml:space="preserve"> brand and Active Nutrition International (then known as Powerbar Europe GmbH). The </w:t>
      </w:r>
      <w:r>
        <w:rPr>
          <w:rFonts w:ascii="Times New Roman" w:cs="Times New Roman" w:eastAsia="Times New Roman" w:hAnsi="Times New Roman"/>
          <w:sz w:val="18"/>
          <w:szCs w:val="18"/>
          <w:i w:val="1"/>
          <w:iCs w:val="1"/>
          <w:color w:val="auto"/>
        </w:rPr>
        <w:t>PowerBar</w:t>
      </w:r>
      <w:r>
        <w:rPr>
          <w:rFonts w:ascii="Times New Roman" w:cs="Times New Roman" w:eastAsia="Times New Roman" w:hAnsi="Times New Roman"/>
          <w:sz w:val="18"/>
          <w:szCs w:val="18"/>
          <w:color w:val="auto"/>
        </w:rPr>
        <w:t xml:space="preserve"> brand was founded in 1986.</w:t>
      </w:r>
    </w:p>
    <w:p>
      <w:pPr>
        <w:spacing w:after="0" w:line="54" w:lineRule="exact"/>
        <w:rPr>
          <w:sz w:val="20"/>
          <w:szCs w:val="20"/>
          <w:color w:val="auto"/>
        </w:rPr>
      </w:pPr>
    </w:p>
    <w:p>
      <w:pPr>
        <w:jc w:val="right"/>
        <w:ind w:right="8980"/>
        <w:spacing w:after="0"/>
        <w:rPr>
          <w:sz w:val="20"/>
          <w:szCs w:val="20"/>
          <w:color w:val="auto"/>
        </w:rPr>
      </w:pPr>
      <w:r>
        <w:rPr>
          <w:rFonts w:ascii="Times New Roman" w:cs="Times New Roman" w:eastAsia="Times New Roman" w:hAnsi="Times New Roman"/>
          <w:sz w:val="17"/>
          <w:szCs w:val="17"/>
          <w:b w:val="1"/>
          <w:bCs w:val="1"/>
          <w:color w:val="auto"/>
        </w:rPr>
        <w:t>Our Organizational Structure</w:t>
      </w:r>
    </w:p>
    <w:p>
      <w:pPr>
        <w:spacing w:after="0" w:line="125" w:lineRule="exact"/>
        <w:rPr>
          <w:sz w:val="20"/>
          <w:szCs w:val="20"/>
          <w:color w:val="auto"/>
        </w:rPr>
      </w:pPr>
    </w:p>
    <w:p>
      <w:pPr>
        <w:jc w:val="right"/>
        <w:ind w:right="9040"/>
        <w:spacing w:after="0"/>
        <w:rPr>
          <w:sz w:val="20"/>
          <w:szCs w:val="20"/>
          <w:color w:val="auto"/>
        </w:rPr>
      </w:pPr>
      <w:r>
        <w:rPr>
          <w:rFonts w:ascii="Times New Roman" w:cs="Times New Roman" w:eastAsia="Times New Roman" w:hAnsi="Times New Roman"/>
          <w:sz w:val="18"/>
          <w:szCs w:val="18"/>
          <w:color w:val="auto"/>
        </w:rPr>
        <w:t>As a result of the Spin-off:</w:t>
      </w:r>
    </w:p>
    <w:p>
      <w:pPr>
        <w:spacing w:after="0" w:line="111" w:lineRule="exact"/>
        <w:rPr>
          <w:sz w:val="20"/>
          <w:szCs w:val="20"/>
          <w:color w:val="auto"/>
        </w:rPr>
      </w:pPr>
    </w:p>
    <w:p>
      <w:pPr>
        <w:ind w:left="640" w:hanging="316"/>
        <w:spacing w:after="0" w:line="274"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became the new public parent company of, and successor issuer to, Old BellRing, and shares of our BellRing Common Stock were deemed to be registered under Section 12(b) of the Exchange Act, pursuant to Rule 12g-3(a) promulgated thereunder.</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Old BellRing is our wholly-owned subsidiary.</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membership interests in BellRing LLC were contributed to Old BellRing and Old BellRing is the sole equity member of BellRing LLC.</w:t>
      </w:r>
    </w:p>
    <w:p>
      <w:pPr>
        <w:spacing w:after="0" w:line="11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Immediately following the Spin-off, Post owned 19,397,339 shares, or approximately 14.2%, of BellRing Common Stock. On August 11, 2022, Post disposed of 14,800,000 shares of BellRing Common Stock, and on November 25, 2022, Post disposed of its remaining 4,597,339 shares of BellRing Common Stock. Post had no ownership of BellRing Common Stock as of September 30, 2025 or 2024.</w:t>
      </w:r>
    </w:p>
    <w:p>
      <w:pPr>
        <w:spacing w:after="0" w:line="7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See “Risk Factors” included in Item 1A of this report and Notes 1 and 13 within “Notes to Consolidated Financial Statements” included in Item 8 of this report for more information about the Spin-off.</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Industry</w:t>
      </w:r>
    </w:p>
    <w:p>
      <w:pPr>
        <w:spacing w:after="0" w:line="113"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We operate in the global convenient nutrition category, a rapidly-growing and on-trend category within the food and beverage industry. The U.S. is our primary market and is the largest and most developed market in the world for our category. We believe the U.S. convenient nutrition category can be broken down into four key consumer need states as defined by our management: everyday nutrition, adult nutrition, sports nutrition and weight management.</w:t>
      </w:r>
    </w:p>
    <w:p>
      <w:pPr>
        <w:spacing w:after="0" w:line="51"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color w:val="auto"/>
        </w:rPr>
        <w:t xml:space="preserve">While we believe most brands in the convenient nutrition category are positioned to appeal to consumers primarily in one need state,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has developed brand equities and product value propositions to appeal to a broad range of consumer need states. We primarily compete in the everyday nutrition and sports nutrition consumer need states, but also appeal to the adult nutrition and weight management consumer need states. We define everyday nutrition as nutritious products that can be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 xml:space="preserve">consumed throughout the day as part of a healthy lifestyle. Our </w:t>
      </w:r>
      <w:r>
        <w:rPr>
          <w:rFonts w:ascii="Times New Roman" w:cs="Times New Roman" w:eastAsia="Times New Roman" w:hAnsi="Times New Roman"/>
          <w:sz w:val="18"/>
          <w:szCs w:val="18"/>
          <w:i w:val="1"/>
          <w:iCs w:val="1"/>
          <w:color w:val="auto"/>
        </w:rPr>
        <w:t>Dymatize</w:t>
      </w:r>
      <w:r>
        <w:rPr>
          <w:rFonts w:ascii="Times New Roman" w:cs="Times New Roman" w:eastAsia="Times New Roman" w:hAnsi="Times New Roman"/>
          <w:sz w:val="18"/>
          <w:szCs w:val="18"/>
          <w:color w:val="auto"/>
        </w:rPr>
        <w:t xml:space="preserve"> brand is focused primarily on sports nutrition, which we define as consumers looking to supplement sports endurance and strength training needs.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Brand Overview</w:t>
      </w:r>
    </w:p>
    <w:p>
      <w:pPr>
        <w:spacing w:after="0" w:line="111"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color w:val="auto"/>
        </w:rPr>
        <w:t xml:space="preserve">Our primary brands, based on fiscal 2025 sales, are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Dymatize</w:t>
      </w:r>
      <w:r>
        <w:rPr>
          <w:rFonts w:ascii="Times New Roman" w:cs="Times New Roman" w:eastAsia="Times New Roman" w:hAnsi="Times New Roman"/>
          <w:sz w:val="18"/>
          <w:szCs w:val="18"/>
          <w:color w:val="auto"/>
        </w:rPr>
        <w:t xml:space="preserve">. Together our brands cover the major product forms in the convenient nutrition category and appeal to a broad range of consumer need states. Our percentage of net sales by brand for our year ended September 30, 2025 were as follows: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85.9%; </w:t>
      </w:r>
      <w:r>
        <w:rPr>
          <w:rFonts w:ascii="Times New Roman" w:cs="Times New Roman" w:eastAsia="Times New Roman" w:hAnsi="Times New Roman"/>
          <w:sz w:val="18"/>
          <w:szCs w:val="18"/>
          <w:i w:val="1"/>
          <w:iCs w:val="1"/>
          <w:color w:val="auto"/>
        </w:rPr>
        <w:t>Dymatize</w:t>
      </w:r>
      <w:r>
        <w:rPr>
          <w:rFonts w:ascii="Times New Roman" w:cs="Times New Roman" w:eastAsia="Times New Roman" w:hAnsi="Times New Roman"/>
          <w:sz w:val="18"/>
          <w:szCs w:val="18"/>
          <w:color w:val="auto"/>
        </w:rPr>
        <w:t>, 12.1%; and other, 2.0%.</w:t>
      </w:r>
    </w:p>
    <w:p>
      <w:pPr>
        <w:spacing w:after="0" w:line="6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Two product forms accounted for the substantial majority of our fiscal 2025 net sales. In our year ended September 30, 2025, RTD protein shakes were 81.7% of our net sales, and powders were 15.8% of our net sales.</w:t>
      </w:r>
    </w:p>
    <w:p>
      <w:pPr>
        <w:spacing w:after="0" w:line="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Premier Protein</w:t>
      </w:r>
    </w:p>
    <w:p>
      <w:pPr>
        <w:spacing w:after="0" w:line="113"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 xml:space="preserve">Our largest brand, </w:t>
      </w:r>
      <w:r>
        <w:rPr>
          <w:rFonts w:ascii="Times New Roman" w:cs="Times New Roman" w:eastAsia="Times New Roman" w:hAnsi="Times New Roman"/>
          <w:sz w:val="17"/>
          <w:szCs w:val="17"/>
          <w:i w:val="1"/>
          <w:iCs w:val="1"/>
          <w:color w:val="auto"/>
        </w:rPr>
        <w:t>Premier Protein</w:t>
      </w:r>
      <w:r>
        <w:rPr>
          <w:rFonts w:ascii="Times New Roman" w:cs="Times New Roman" w:eastAsia="Times New Roman" w:hAnsi="Times New Roman"/>
          <w:sz w:val="17"/>
          <w:szCs w:val="17"/>
          <w:color w:val="auto"/>
        </w:rPr>
        <w:t xml:space="preserve">, is a leading mainstream, lifestyle brand. </w:t>
      </w:r>
      <w:r>
        <w:rPr>
          <w:rFonts w:ascii="Times New Roman" w:cs="Times New Roman" w:eastAsia="Times New Roman" w:hAnsi="Times New Roman"/>
          <w:sz w:val="17"/>
          <w:szCs w:val="17"/>
          <w:i w:val="1"/>
          <w:iCs w:val="1"/>
          <w:color w:val="auto"/>
        </w:rPr>
        <w:t>Premier Protein</w:t>
      </w:r>
      <w:r>
        <w:rPr>
          <w:rFonts w:ascii="Times New Roman" w:cs="Times New Roman" w:eastAsia="Times New Roman" w:hAnsi="Times New Roman"/>
          <w:sz w:val="17"/>
          <w:szCs w:val="17"/>
          <w:color w:val="auto"/>
        </w:rPr>
        <w:t xml:space="preserve">’s product portfolio consists primarily of RTD protein shakes and protein powders. </w:t>
      </w:r>
      <w:r>
        <w:rPr>
          <w:rFonts w:ascii="Times New Roman" w:cs="Times New Roman" w:eastAsia="Times New Roman" w:hAnsi="Times New Roman"/>
          <w:sz w:val="17"/>
          <w:szCs w:val="17"/>
          <w:i w:val="1"/>
          <w:iCs w:val="1"/>
          <w:color w:val="auto"/>
        </w:rPr>
        <w:t>Premier Protein</w:t>
      </w:r>
      <w:r>
        <w:rPr>
          <w:rFonts w:ascii="Times New Roman" w:cs="Times New Roman" w:eastAsia="Times New Roman" w:hAnsi="Times New Roman"/>
          <w:sz w:val="17"/>
          <w:szCs w:val="17"/>
          <w:color w:val="auto"/>
        </w:rPr>
        <w:t xml:space="preserve">’s flagship RTD protein shakes are available in diverse flavors and contain 30 grams of protein and 160 calories. They are gluten- and soy-free, low in sugar and fat and fortified with vitamins and minerals. Our RTD protein shakes are formulated to deliver great-tasting, leading protein levels while maintaining one of the leanest nutritional profiles in the category (as measured by sugar and calorie content). </w:t>
      </w:r>
      <w:r>
        <w:rPr>
          <w:rFonts w:ascii="Times New Roman" w:cs="Times New Roman" w:eastAsia="Times New Roman" w:hAnsi="Times New Roman"/>
          <w:sz w:val="17"/>
          <w:szCs w:val="17"/>
          <w:i w:val="1"/>
          <w:iCs w:val="1"/>
          <w:color w:val="auto"/>
        </w:rPr>
        <w:t>Premier Protein</w:t>
      </w:r>
      <w:r>
        <w:rPr>
          <w:rFonts w:ascii="Times New Roman" w:cs="Times New Roman" w:eastAsia="Times New Roman" w:hAnsi="Times New Roman"/>
          <w:sz w:val="17"/>
          <w:szCs w:val="17"/>
          <w:color w:val="auto"/>
        </w:rPr>
        <w:t>’s powder portfolio consists primarily of 100% whey protein products. We believe the product profile appeals to consumers across age ranges in all four need states.</w:t>
      </w:r>
    </w:p>
    <w:p>
      <w:pPr>
        <w:spacing w:after="0" w:line="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Dymatize</w:t>
      </w:r>
    </w:p>
    <w:p>
      <w:pPr>
        <w:spacing w:after="0" w:line="113"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Dymatize</w:t>
      </w:r>
      <w:r>
        <w:rPr>
          <w:rFonts w:ascii="Times New Roman" w:cs="Times New Roman" w:eastAsia="Times New Roman" w:hAnsi="Times New Roman"/>
          <w:sz w:val="18"/>
          <w:szCs w:val="18"/>
          <w:color w:val="auto"/>
        </w:rPr>
        <w:t xml:space="preserve"> brand is a market leader targeting fitness enthusiasts who value the brand for its science-based product development, athletic performance focus and great taste. The brand’s portfolio includes an assortment of sports nutrition products, including protein powders. The majority of </w:t>
      </w:r>
      <w:r>
        <w:rPr>
          <w:rFonts w:ascii="Times New Roman" w:cs="Times New Roman" w:eastAsia="Times New Roman" w:hAnsi="Times New Roman"/>
          <w:sz w:val="18"/>
          <w:szCs w:val="18"/>
          <w:i w:val="1"/>
          <w:iCs w:val="1"/>
          <w:color w:val="auto"/>
        </w:rPr>
        <w:t>Dymatize</w:t>
      </w:r>
      <w:r>
        <w:rPr>
          <w:rFonts w:ascii="Times New Roman" w:cs="Times New Roman" w:eastAsia="Times New Roman" w:hAnsi="Times New Roman"/>
          <w:sz w:val="18"/>
          <w:szCs w:val="18"/>
          <w:color w:val="auto"/>
        </w:rPr>
        <w:t xml:space="preserve">’s sales are generated through protein powders. Our protein powder portfolio consists of three primary products: </w:t>
      </w:r>
      <w:r>
        <w:rPr>
          <w:rFonts w:ascii="Times New Roman" w:cs="Times New Roman" w:eastAsia="Times New Roman" w:hAnsi="Times New Roman"/>
          <w:sz w:val="18"/>
          <w:szCs w:val="18"/>
          <w:i w:val="1"/>
          <w:iCs w:val="1"/>
          <w:color w:val="auto"/>
        </w:rPr>
        <w:t>ISO.100</w:t>
      </w:r>
      <w:r>
        <w:rPr>
          <w:rFonts w:ascii="Times New Roman" w:cs="Times New Roman" w:eastAsia="Times New Roman" w:hAnsi="Times New Roman"/>
          <w:sz w:val="18"/>
          <w:szCs w:val="18"/>
          <w:color w:val="auto"/>
        </w:rPr>
        <w:t xml:space="preserve"> made with hydrolyzed 100% Whey Protein Isolate, </w:t>
      </w:r>
      <w:r>
        <w:rPr>
          <w:rFonts w:ascii="Times New Roman" w:cs="Times New Roman" w:eastAsia="Times New Roman" w:hAnsi="Times New Roman"/>
          <w:sz w:val="18"/>
          <w:szCs w:val="18"/>
          <w:i w:val="1"/>
          <w:iCs w:val="1"/>
          <w:color w:val="auto"/>
        </w:rPr>
        <w:t>Elite 100% Whey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Super Mass Gainer. ISO.100</w:t>
      </w:r>
      <w:r>
        <w:rPr>
          <w:rFonts w:ascii="Times New Roman" w:cs="Times New Roman" w:eastAsia="Times New Roman" w:hAnsi="Times New Roman"/>
          <w:sz w:val="18"/>
          <w:szCs w:val="18"/>
          <w:color w:val="auto"/>
        </w:rPr>
        <w:t xml:space="preserve">, the brand’s flagship product, has a global reach with sales in more than seventy-five countries. In addition to </w:t>
      </w:r>
      <w:r>
        <w:rPr>
          <w:rFonts w:ascii="Times New Roman" w:cs="Times New Roman" w:eastAsia="Times New Roman" w:hAnsi="Times New Roman"/>
          <w:sz w:val="18"/>
          <w:szCs w:val="18"/>
          <w:i w:val="1"/>
          <w:iCs w:val="1"/>
          <w:color w:val="auto"/>
        </w:rPr>
        <w:t>ISO.100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Dymatize</w:t>
      </w:r>
      <w:r>
        <w:rPr>
          <w:rFonts w:ascii="Times New Roman" w:cs="Times New Roman" w:eastAsia="Times New Roman" w:hAnsi="Times New Roman"/>
          <w:sz w:val="18"/>
          <w:szCs w:val="18"/>
          <w:color w:val="auto"/>
        </w:rPr>
        <w:t xml:space="preserve"> offers a suite of products to meet the needs of athletes.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Customers</w:t>
      </w:r>
    </w:p>
    <w:p>
      <w:pPr>
        <w:spacing w:after="0" w:line="11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customers are predominantly club stores, FDM retailers, online retailers, specialty retailers, convenience stores and distributors. We sell our products domestically and in more than ninety countries globally. Our U.S. business represented 88.1% of our net sales in our year ended September 30, 2025, and our international business represented 11.9% of our net sales in our year ended September 30, 2025.</w:t>
      </w:r>
    </w:p>
    <w:p>
      <w:pPr>
        <w:spacing w:after="0" w:line="7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largest customers, Walmart (which includes its affiliates, including Sam’s Club), Costco and Amazon, accounted for approximately 74.0% of our net sales in our year ended September 30, 2025. No other customer accounted for more than 10% of our fiscal 2025 net sales.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Marketing and Distribution</w:t>
      </w:r>
    </w:p>
    <w:p>
      <w:pPr>
        <w:spacing w:after="0" w:line="11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the U.S., we utilize a direct sales force in multiple channels, including club, FDM, specialty and eCommerce. We also sell through a broker network for customers in the convenience and regional grocery channels, and through distributors for the foodservice and military channels. In international markets, we sell our products through a combination of direct sales to retailers and to third-party distributors. We utilize a direct sales force in key markets in Western Europe for multiple channels, including specialty, FDM and eCommerce. We also sell through distributors in the specialty channel.</w:t>
      </w:r>
    </w:p>
    <w:p>
      <w:pPr>
        <w:spacing w:after="0" w:line="7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maintain a dedicated multi-faceted and consumer-driven marketing strategy for each of our primary brands, tailoring initiatives to each brand’s target audience. Each of our brands maintains a presence across all major social media platforms.</w:t>
      </w:r>
    </w:p>
    <w:p>
      <w:pPr>
        <w:spacing w:after="0" w:line="53" w:lineRule="exact"/>
        <w:rPr>
          <w:sz w:val="20"/>
          <w:szCs w:val="20"/>
          <w:color w:val="auto"/>
        </w:rPr>
      </w:pPr>
    </w:p>
    <w:p>
      <w:pPr>
        <w:jc w:val="both"/>
        <w:ind w:firstLine="318"/>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Premier Protein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’s marketing strategy is aimed at accelerating the brand’s positioning as a lifestyle brand for mainstream consumers.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’s marketing initiatives are focused on increasing awareness to drive product trial and adoption as well as expanding household penetration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among this group of consumers.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employs a broad media strategy, which includes digital media, search marketing, television, in-store marketing and demos and online dedicated programming. As part of its marketing strategy,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leverages its fans’ enthusiasm for the brand to spread the word of our products. The brand utilizes an influencer marketing program called “Premier Shakers” that leverages Brand Ambassadors — a collection of micro-influencers and content creators - to create social content, community, and awareness for the brand.</w:t>
      </w:r>
    </w:p>
    <w:p>
      <w:pPr>
        <w:spacing w:after="0" w:line="68" w:lineRule="exact"/>
        <w:rPr>
          <w:sz w:val="20"/>
          <w:szCs w:val="20"/>
          <w:color w:val="auto"/>
        </w:rPr>
      </w:pPr>
    </w:p>
    <w:p>
      <w:pPr>
        <w:jc w:val="both"/>
        <w:ind w:firstLine="318"/>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Dymatize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Dymatize</w:t>
      </w:r>
      <w:r>
        <w:rPr>
          <w:rFonts w:ascii="Times New Roman" w:cs="Times New Roman" w:eastAsia="Times New Roman" w:hAnsi="Times New Roman"/>
          <w:sz w:val="18"/>
          <w:szCs w:val="18"/>
          <w:color w:val="auto"/>
        </w:rPr>
        <w:t>’s marketing strategy is focused on retailer-specific programs, online and specialty print media and social media. Social media is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high-touch medium that resonates with </w:t>
      </w:r>
      <w:r>
        <w:rPr>
          <w:rFonts w:ascii="Times New Roman" w:cs="Times New Roman" w:eastAsia="Times New Roman" w:hAnsi="Times New Roman"/>
          <w:sz w:val="18"/>
          <w:szCs w:val="18"/>
          <w:i w:val="1"/>
          <w:iCs w:val="1"/>
          <w:color w:val="auto"/>
        </w:rPr>
        <w:t>Dymatize</w:t>
      </w:r>
      <w:r>
        <w:rPr>
          <w:rFonts w:ascii="Times New Roman" w:cs="Times New Roman" w:eastAsia="Times New Roman" w:hAnsi="Times New Roman"/>
          <w:sz w:val="18"/>
          <w:szCs w:val="18"/>
          <w:color w:val="auto"/>
        </w:rPr>
        <w:t>’s core fitness-focused consumers. The brand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also utilizes a social media influencer model, the “Squad,” engaging with athletes. This team promotes product usage via personal social media channels to drive awareness for the brand among its target demographic.</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products are distributed through a network of third-party common carriers.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1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continue to improve and expand our product offerings with new flavors, ingredients, packaging, product forms and process development technologies. We leverage our dedicated market research, consumer insights and innovation teams, supplemented by leading design firms, product development companies, third-party flavor houses and consultants.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Supply Chain</w:t>
      </w:r>
    </w:p>
    <w:p>
      <w:pPr>
        <w:spacing w:after="0" w:line="109"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b w:val="1"/>
          <w:bCs w:val="1"/>
          <w:i w:val="1"/>
          <w:iCs w:val="1"/>
          <w:color w:val="auto"/>
        </w:rPr>
        <w:t>Raw Materials</w:t>
      </w:r>
      <w:r>
        <w:rPr>
          <w:rFonts w:ascii="Times New Roman" w:cs="Times New Roman" w:eastAsia="Times New Roman" w:hAnsi="Times New Roman"/>
          <w:sz w:val="18"/>
          <w:szCs w:val="18"/>
          <w:color w:val="auto"/>
        </w:rPr>
        <w:t>. Raw materials used in our business consist of ingredients and packaging materials purchased from local, regional and international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suppliers. Our principal ingredients include milk-based, whey-based and soy-based proteins, protein blends, sweeteners and vitamin and mineral blends. Our primary packaging materials include aseptic foil and plastic lined cardboard cartons, flexible and rigid plastic film and containers, beverage packaging and corrugate. We purchase our raw materials in accordance with rigorous standards to assure food quality and safety. Supply availability and prices paid for raw materials can fluctuate widely due to external factors, such as economic climate, commodity market prices, pandemics and other outbreaks of contagious diseases, weather conditions, labor disputes, governmental programs, regulations and trade and tariff policies, industry consolidation, energy shortages, transportation delays, currency fluctuations and other unforeseen circumstances. During fiscal 2025, inflationary pressures on milk-based protein costs eased while whey-based protein costs and other costs, such as packaging and manufacturing, continued to face inflationary pressures. We continuously monitor supply and cost trends of these raw materials to enable us to obtain ingredients and packaging needed for our products.</w:t>
      </w:r>
    </w:p>
    <w:p>
      <w:pPr>
        <w:spacing w:after="0" w:line="8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Under the terms of an agreement with our largest protein powder supplier, Premier Nutrition is required to purchase a minimum periodic volume of protein powder and has the right (but not the obligation) to order quantities in excess of such minimum amount provided the supplier has the capacity and the ability to produce such additional quantities. The agreement also contains detailed provisions regarding the product specifications and quality standards for the raw materials to be provided by the supplier, the rights of a party in the event the other party does not comply with its obligations under the agreement and other customary contractual terms and conditions. The agreement expires on June 30, 2028.</w:t>
      </w:r>
    </w:p>
    <w:p>
      <w:pPr>
        <w:spacing w:after="0" w:line="75" w:lineRule="exact"/>
        <w:rPr>
          <w:sz w:val="20"/>
          <w:szCs w:val="20"/>
          <w:color w:val="auto"/>
        </w:rPr>
      </w:pPr>
    </w:p>
    <w:p>
      <w:pPr>
        <w:jc w:val="both"/>
        <w:ind w:firstLine="318"/>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Energy. </w:t>
      </w:r>
      <w:r>
        <w:rPr>
          <w:rFonts w:ascii="Times New Roman" w:cs="Times New Roman" w:eastAsia="Times New Roman" w:hAnsi="Times New Roman"/>
          <w:sz w:val="18"/>
          <w:szCs w:val="18"/>
          <w:color w:val="auto"/>
        </w:rPr>
        <w:t>Electricity and steam are used in the facilities that manufacture our products. In addition, considerable amounts of diesel fuel are used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connection with the distribution of our products.</w:t>
      </w:r>
    </w:p>
    <w:p>
      <w:pPr>
        <w:spacing w:after="0" w:line="50" w:lineRule="exact"/>
        <w:rPr>
          <w:sz w:val="20"/>
          <w:szCs w:val="20"/>
          <w:color w:val="auto"/>
        </w:rPr>
      </w:pPr>
    </w:p>
    <w:p>
      <w:pPr>
        <w:jc w:val="both"/>
        <w:ind w:firstLine="31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Manufacturing</w:t>
      </w:r>
      <w:r>
        <w:rPr>
          <w:rFonts w:ascii="Times New Roman" w:cs="Times New Roman" w:eastAsia="Times New Roman" w:hAnsi="Times New Roman"/>
          <w:sz w:val="18"/>
          <w:szCs w:val="18"/>
          <w:color w:val="auto"/>
        </w:rPr>
        <w:t>. We primarily engage third-party contract manufacturers in North America and the European Union (the “E.U.”). to produce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products. We receive products from our third-party contract manufacturers for an agreed-upon tolling charge for each item produced as well as other costs, sometimes including capital reimbursement. Most of our relationships with our third-party contract manufacturers include minimum volume commitments, whereby the third-party contract manufacturer has committed to produce, and we have committed to purchase, a minimum quantity of product. We own a manufacturing plant in Voerde, Germany that supplies nutrition bars and gels primarily for the E.U., Switzerland and the United Kingdom (the “U.K.”).</w:t>
      </w:r>
    </w:p>
    <w:p>
      <w:pPr>
        <w:spacing w:after="0" w:line="7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regularly monitor the capacity and performance of our third-party contract manufacturing partners and suppliers and qualify new contract manufacturing partners and suppliers as needed. Given the growth profile of our primary products, we continuously plan for incremental capacity, including expanding production with our existing third-party contract manufacturing partners in fiscal 2025, and review additional strategic alternatives to support our business.</w:t>
      </w:r>
    </w:p>
    <w:p>
      <w:pPr>
        <w:spacing w:after="0" w:line="74"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 xml:space="preserve">From three separate and geographically diverse manufacturing locations, our largest third-party contract manufacturer provided approximately 46.3% of our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RTD shake supply for our year ended September 30, 2025. Under the terms of a manufacturing agreement with the third-party contract manufacturer, Premier Nutrition is required to purchase a minimum quarterly order volume of RTD protein shakes and has the right (but not the obligation) to order quantities in excess of a monthly minimum amount provided the third-party contract manufacturer has the capacity and the ability to produce such additional quantities. In addition, under the terms of the manufacturing agreement, the third-party contract manufacturer has committed to produce a quarterly minimum volume of RTD protein shakes. The manufacturing agreement also contains detailed provisions regarding the product specifications and quality standards for the products to be manufactured and packaged by the third-party contract manufacturer, the tolling charges for each item produced (and certain other costs) to be paid by Premier Nutrition (and related payment terms), shipping and storage obligations, the rights of a party in the event the other party does not comply with its obligations under the manufacturing agreement and other customary contractual terms and conditions. This agreement expires on December 31, 2030.</w:t>
      </w:r>
    </w:p>
    <w:p>
      <w:pPr>
        <w:spacing w:after="0" w:line="8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regularly evaluate our contract manufacturing arrangements to ensure the cost-effective manufacturing of our products. We select our manufacturing partners based on expertise, quality, cost and location. Our quality assurance team frequently monitors manufacturing partners to ensure our partners meet our rigorous processing and quality standards, detailed in our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Quality Expectations Manual, including requirements for third-party certification of Good Manufacturing Practices. Our owned production plant in Voerde, Germany is additionally certified to one of the international Food Safety Standards (FSSC 22.000, IFS or BRC), SMETA 4-pillars (Labour, Environment, Health and Safety, Business Ethics) and ISO 45001 (Health and Safety).</w:t>
      </w:r>
    </w:p>
    <w:p>
      <w:pPr>
        <w:spacing w:after="0" w:line="68" w:lineRule="exact"/>
        <w:rPr>
          <w:sz w:val="20"/>
          <w:szCs w:val="20"/>
          <w:color w:val="auto"/>
        </w:rPr>
      </w:pPr>
    </w:p>
    <w:p>
      <w:pPr>
        <w:jc w:val="both"/>
        <w:ind w:firstLine="318"/>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Distribution</w:t>
      </w:r>
      <w:r>
        <w:rPr>
          <w:rFonts w:ascii="Times New Roman" w:cs="Times New Roman" w:eastAsia="Times New Roman" w:hAnsi="Times New Roman"/>
          <w:sz w:val="17"/>
          <w:szCs w:val="17"/>
          <w:color w:val="auto"/>
        </w:rPr>
        <w:t>. In North America, our products typically are shipped directly from our third-party contract manufacturers to a network of third-party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warehouses. Products are distributed from third-party warehouses to customer distribution centers or retail stores or are exported by our distribution partners to international customers. Occasionally, we ship products directly from our third-party contract manufacturers to our customers’ distribution centers.</w:t>
      </w:r>
    </w:p>
    <w:p>
      <w:pPr>
        <w:spacing w:after="0" w:line="5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maintain one third-party warehouse location in Germany, which receives products from our production facility located in Voerde, Germany or directly from our third-party contract manufacturers. Our branded products are distributed from third-party warehouses to customer distribution centers or retail stores or are exported to international customers.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13"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convenient nutrition category in which we operate is highly competitive and highly sensitive to both pricing and promotion. We compete with other brands, including private label and store brand products, and with many nutritional food and beverage players. We have numerous competitors of varying sizes, including manufacturers of other branded food and beverage products, as well as manufacturers of private label products. Some of our competitors have substantially more financial, marketing and other resources than us. Competition in our industry is based on, among other things, product quality, taste, functional benefits, nutritional value and ingredients, convenience, brand loyalty and positioning, product variety, product packaging, shelf space, price, promotional activities and the ability to identify and satisfy dynamic, emerging consumer preferences. Our principal strategies for competing in our industry include strong and impactful marketing to build awareness of our products, effective customer relationship management, category insights, superior product quality and food safety, product innovation, an efficient supply chain and competitive pricing. We expect the industry we operate in to remain highly competitive for the foreseeable future.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1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experience seasonal fluctuations in our net sales and earnings before interest, taxes, depreciation and amortization (“EBITDA”) because of consumer spending patterns and timing of our key retailers’ promotional activity. Historically, our first fiscal quarter is seasonally low for net sales for all brands driven by a slowdown of consumption of our products during the holiday season. Sales are typically higher throughout the remainder of the fiscal year as a result of stronger consumer demand in the second quarter of our fiscal year, promotional activity at key retailers and organic growth of the business. Seasonal fluctuations in our net sales and EBITDA may not be the same in the future as they have been historically.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 and Intellectual Property</w:t>
      </w:r>
    </w:p>
    <w:p>
      <w:pPr>
        <w:spacing w:after="0" w:line="11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 xml:space="preserve">We own or have licenses to use a number of trademarks that are critical to the success of our business. Our key trademarks include </w:t>
      </w:r>
      <w:r>
        <w:rPr>
          <w:rFonts w:ascii="Times New Roman" w:cs="Times New Roman" w:eastAsia="Times New Roman" w:hAnsi="Times New Roman"/>
          <w:sz w:val="18"/>
          <w:szCs w:val="18"/>
          <w:i w:val="1"/>
          <w:iCs w:val="1"/>
          <w:color w:val="auto"/>
        </w:rPr>
        <w:t>BellRing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BellRing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Brands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Premier Protein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Premier Nutrition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Dymatize</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ISO.100</w:t>
      </w:r>
      <w:r>
        <w:rPr>
          <w:rFonts w:ascii="Times New Roman" w:cs="Times New Roman" w:eastAsia="Times New Roman" w:hAnsi="Times New Roman"/>
          <w:sz w:val="18"/>
          <w:szCs w:val="18"/>
          <w:color w:val="auto"/>
        </w:rPr>
        <w:t>®, each of which we own, as well as trademarks that we license from third parties,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such as </w:t>
      </w:r>
      <w:r>
        <w:rPr>
          <w:rFonts w:ascii="Times New Roman" w:cs="Times New Roman" w:eastAsia="Times New Roman" w:hAnsi="Times New Roman"/>
          <w:sz w:val="18"/>
          <w:szCs w:val="18"/>
          <w:i w:val="1"/>
          <w:iCs w:val="1"/>
          <w:color w:val="auto"/>
        </w:rPr>
        <w:t>Pebbles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Dunkin</w:t>
      </w:r>
      <w:r>
        <w:rPr>
          <w:rFonts w:ascii="Times New Roman" w:cs="Times New Roman" w:eastAsia="Times New Roman" w:hAnsi="Times New Roman"/>
          <w:sz w:val="18"/>
          <w:szCs w:val="18"/>
          <w:color w:val="auto"/>
        </w:rPr>
        <w:t>®. Our owned trademarks are, in most cases, protected through registration in the U.S. or Germany, as well as in many other countries where the related brands or products are sold. We also own, or have applications pending, for patents in the U.S. and other countries. While our patent portfolio as a whole is material to our business, no one patent or group of related patents is material to our business. In addition, we have copyrights, proprietary trade secrets, technology, know-how processes and other intellectual property rights that are not registered.</w:t>
      </w:r>
    </w:p>
    <w:p>
      <w:pPr>
        <w:spacing w:after="0" w:line="8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rely on a combination of trademark law, copyright law, trade secrets, non-disclosure and confidentiality agreements and provisions in agreements and other measures to establish and protect our proprietary rights to our products, packaging, processes and intellectual property.</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Governmental Regulation and Environmental Matters</w:t>
      </w:r>
    </w:p>
    <w:p>
      <w:pPr>
        <w:spacing w:after="0" w:line="11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are subject to regulation by federal, state and local governmental entities and agencies in the U.S., as well as similar regulations in Canada, Mexico, Europe and other international locations, including food safety laws, labor and employment laws, laws governing advertising, privacy laws, consumer protection regulations, worker health and safety regulations, environmental laws and regulations and other laws and regulations.</w:t>
      </w:r>
    </w:p>
    <w:p>
      <w:pPr>
        <w:spacing w:after="0" w:line="7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products are regulated in the U.S. either as food or dietary supplements, which internationally may be regulated as pharmaceuticals or other health food categories. As a producer and distributor of goods for human consumption, we must comply with stringent production, storage, recordkeeping, distribution, packaging, labeling and marketing standards established by the Food and Drug Administration (the “FDA”), the U.S. Department of Agriculture (the “USDA”), the Federal Trade Commission and state and local agencies in the U.S. We also must comply with standards established by similar regulatory agencies in Canada, Mexico, the E.U. and elsewhere. In addition, some of our products are produced and marketed under</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contract as part of special certification programs such as organic, kosher or non-GMO, and must comply with the strict standards of federal, state and third-party certifying organizations. Products that do not meet regulatory or third-party standards may be considered adulterated or misbranded and subject to withdrawal or recall. Additionally, following the adoption of the Food Safety Modernization Act in the U.S. and the Safe Foods for Canadians Act in Canada, the FDA and the Canadian Food Inspection Agency continue to implement additional regulations focused on prevention of food contamination, more frequent inspection of high-risk facilities, increased record-keeping and improved tracing of food.</w:t>
      </w:r>
    </w:p>
    <w:p>
      <w:pPr>
        <w:spacing w:after="0" w:line="7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manufacturing facility in Germany is subject to certain safety regulations, including the German Occupational Safety and Health Regulation. These regulations require us to comply with certain manufacturing safety standards to protect our employees from accidents. Additionally, some of the food commodities on which our business relies are subject to governmental agricultural programs (e.g., subsidies and import/export regulations), which have substantial effects on the prices and supplies of these commodities.</w:t>
      </w:r>
    </w:p>
    <w:p>
      <w:pPr>
        <w:spacing w:after="0" w:line="74"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In addition, our operations are subject to various federal, state and foreign laws and regulations regarding data privacy, data protection and data security, including the General Data Protection Regulation, the E.U.’s retained law version of the General Data Protection Regulation, the E.U.-U.S. Data Privacy Framework and the California Consumer Privacy Act, as amended by the California Privacy Rights Act, each of which applies to certain aspects of our business and regulate how businesses collect, use and protect personal information obtained from data subjects. As a company with international operations, we also are subject to laws, rules and regulations in the U.S. and other countries related to anti-corruption, antitrust and competition and economic sanctions.</w:t>
      </w:r>
    </w:p>
    <w:p>
      <w:pPr>
        <w:spacing w:after="0" w:line="62"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business also is subject to various federal, state and local laws and regulations with respect to environmental matters, including air quality, wastewater and storm water management, waste handling, recycling and disposal and other regulations intended to protect public health and the environment. In the U.S., the laws and regulations include the Clean Air Act, the Clean Water Act, the Resource Conservation and Recovery Act and the California Safe Drinking Water and Toxic Enforcement Act (“Proposition 65”), among others. Internationally, our operations, including our manufacturing facility in Germany, are subject to local and national regulations similar to those applicable to us in the U.S. We have made, and will continue to make, expenditures to ensure compliance with environmental regulations.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1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have approximately 530 employees as of November 1, 2025. Of these employees, approximately 350 are in the U.S., approximately 170 are in Germany and approximately 10 are in other countries. Our people are critical to our success and we prioritize providing a safe, rewarding and respectful workplace where our people are provided with opportunities to pursue career paths based on capabilities, performance and mindset. We adhere to our Code of Conduct, which sets forth a commitment to our stakeholders, including our employees, to operate with integrity and mutual respect.</w:t>
      </w:r>
    </w:p>
    <w:p>
      <w:pPr>
        <w:spacing w:after="0" w:line="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Health and Safety</w:t>
      </w:r>
    </w:p>
    <w:p>
      <w:pPr>
        <w:spacing w:after="0" w:line="11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are committed to maintaining a healthy and safe workplace for our employees. In our Voerde, Germany manufacturing facility, we have a comprehensive safety and risk management system in place that incorporates rigorous safety standards and practices, employee and leadership training to ensure consistent implementation of our safety protocols and periodic internal and external audits to evaluate our compliance with these policies.</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Talent Acquisition, Development, Engagement and Retention</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Acquiring, developing, engaging and retaining a talented workforce is key to accomplishing our goals and achieving business results.</w:t>
      </w:r>
    </w:p>
    <w:p>
      <w:pPr>
        <w:spacing w:after="0" w:line="11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talent acquisition processes include employee training on interview skills and processes to improve our candidate selection process. For candidate selection roundtables, we have a trained, disinterested employee sit in to help mitigate any instances of bias of any form in the selection discussion.</w:t>
      </w:r>
    </w:p>
    <w:p>
      <w:pPr>
        <w:spacing w:after="0" w:line="5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Providing development opportunities and resources for our employees is another key factor in our human capital strategy. We offer a variety of training and development programs and platforms for employees at all levels of our organization, including monthly development trainings for all employees along with separate interactive trainings for people leaders of all levels.</w:t>
      </w:r>
    </w:p>
    <w:p>
      <w:pPr>
        <w:spacing w:after="0" w:line="7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check in with our employees through regular engagement surveys, small group and one-on-one discussions, and then we act on those survey and discussion results, as appropriate. Employee-led groups, opportunities to participate in informal wellness activities and philanthropic work are informed by what issues our employees identify as important to them. We measure our progress and take additional actions, as needed. We communicate transparently with our employees about the organization to keep our employees informed and highly engaged.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Several times a year, we connect our newer employees to our values and culture by conducting two-day in-person workshops where they can learn about, discuss and engage with these topics to more fully appreciate our unique culture. In addition, we invite esteemed speakers to our Emeryville offices and partner with outside experts to engage our employees in an interactive workshop format to further drive engagement with timely workplace initiatives.</w:t>
      </w:r>
    </w:p>
    <w:p>
      <w:pPr>
        <w:spacing w:after="0" w:line="17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strive to develop and implement compensation and benefits policies and programs that support our business goals, benchmark and maintain competitiveness, promote shared fiscal responsibility among the Company and our employees, strategically align talent within our organization and reward performance, while also managing the costs of such policies and programs. We provide our employees with competitive fixed and/or variable pay and, for eligible employees, we currently provide access to medical, dental and life insurance benefits, disability coverage, a 401(k) plan and employee assistance programs - including mental health - among other benefits.</w:t>
      </w:r>
    </w:p>
    <w:p>
      <w:pPr>
        <w:spacing w:after="0" w:line="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Belonging</w:t>
      </w:r>
    </w:p>
    <w:p>
      <w:pPr>
        <w:spacing w:after="0" w:line="11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foster a culture of belonging where everyone is able to do the best work of their professional lives and where each individual feels connected to our company purpose and values, as well as each other. We also provide interactive anti-harassment training for both supervisory and non-supervisory employees taught by outside experts. Our Board of Directors receives periodic updates regarding our belonging efforts.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Social and Governance</w:t>
      </w:r>
    </w:p>
    <w:p>
      <w:pPr>
        <w:spacing w:after="0" w:line="113"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recognize the importance of Environmental, Social and Governance (“ESG”) issues for all of our stakeholders and we are committed to incorporating ESG principles into our business strategies and organizational culture. The Audit Committee of our Board of Directors provides direction with respect to the evolving priorities of our ESG initiatives and receives quarterly reports with respect to the progress the Company is making against its objectives. We have an Executive Sustainability Steering Committee comprised of senior leaders within our organization, which provides guidance on goals and strategies and makes recommendations on disclosure and reporting guidelines. We also have a Sustainability Operations Committee comprised of technical experts within key business functions that meets regularly to implement programs and track progress on key objectives. We report to our stakeholders with respect to the results of our ESG initiatives on an annual basis in our Impact Report.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13"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make available, free of charge, through our website (www.bellring.com) reports we file with, or furnish to, the Securities and Exchange Commission (the “SEC”), including our annual reports on Forms 10-K, quarterly reports on Forms 10-Q, current reports on Forms 8-K and amendments to those reports filed or furnished pursuant to Section 13(a) or 15(d) of the Exchange Act as soon as reasonably practicable after we electronically file such material with, or furnish such material to, the SEC. The SEC maintains an internet site containing these reports, proxy and information statements and other information regarding issuers that file electronically with the SEC at http://www.sec.gov. Our Corporate Governance Guidelines, our Code of Conduct and the charters of the Audit and Corporate Governance and Compensation Committees of our Board of Directors also are available on our website, where they can be printed free of charge. All of these documents also are available to stockholders at no charge upon request sent to BellRing’s corporate secretary (2503 S. Hanley Road, St. Louis, Missouri 63144-2503, Telephone: 314-644-7600). The information and other content contained on our website are not part of (or incorporated by reference in) this report or any other document we file with the SEC.</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section below provides information regarding our executive officers as of November 18, 2025:</w:t>
      </w:r>
    </w:p>
    <w:p>
      <w:pPr>
        <w:spacing w:after="0" w:line="109"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i w:val="1"/>
          <w:iCs w:val="1"/>
          <w:color w:val="auto"/>
        </w:rPr>
        <w:t>Darcy H. Davenport</w:t>
      </w:r>
      <w:r>
        <w:rPr>
          <w:rFonts w:ascii="Times New Roman" w:cs="Times New Roman" w:eastAsia="Times New Roman" w:hAnsi="Times New Roman"/>
          <w:sz w:val="18"/>
          <w:szCs w:val="18"/>
          <w:color w:val="auto"/>
        </w:rPr>
        <w:t>, age 52, has served as our President and Chief Executive Officer since September 2019 and has served as a member of our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since the completion of our initial public offering (the “IPO”). Until the completion of the IPO, Ms. Davenport served as President of Post’s active nutrition business since October 2017 and as President of Premier Nutrition, which became a subsidiary of BellRing Inc. upon completion of our IPO, since November 2016. Ms. Davenport previously served as General Manager of Premier Nutrition from October 2014 to November 2016 and Vice President of Marketing from October 2011 to October 2014. Prior to joining Premier Nutrition, Ms. Davenport served as Director of Brand Marketing at Joint Juice, Inc., a liquid dietary supplement manufacturer, from May 2009 to October 2011, when it combined with Premier Nutrition. Ms. Davenport has served as a member of the board of directors of Blentech Corporation, a company focusing on developing custom-made, food processing solutions including equipment, integrated systems and software, since January 2010. Ms. Davenport earned her undergraduate degree from Princeton University and her MBA from New York University’s Leonard N. Stern School of Business.</w:t>
      </w:r>
    </w:p>
    <w:p>
      <w:pPr>
        <w:spacing w:after="0" w:line="81"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Paul A. Rode</w:t>
      </w:r>
      <w:r>
        <w:rPr>
          <w:rFonts w:ascii="Times New Roman" w:cs="Times New Roman" w:eastAsia="Times New Roman" w:hAnsi="Times New Roman"/>
          <w:sz w:val="18"/>
          <w:szCs w:val="18"/>
          <w:color w:val="auto"/>
        </w:rPr>
        <w:t>, age 55, has served as our Chief Financial Officer since September 2019 and serves as our principal financial officer and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officer. Mr. Rode served as Chief Financial Officer of Post’s active nutrition business from</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May 2015 until the completion of our IPO and as Chief Financial Officer of Consumer Brands, a prior reporting segment of Post, from November 2014 to May 2015. Mr. Rode previously served as Vice President, Finance of Post from January 2014 to November 2014 and Vice President, Corporate Development of Post from October 2013 to January 2014. Prior to joining Post, Mr. Rode served as Vice President, Corporate Controller of Ralcorp Holdings, Inc., which was a publicly traded consumer products company and the former parent company of Post, from February 2010 to September 2013. Mr. Rode earned his undergraduate degree from the University of Kentucky and his MBA from Northwestern University’s Kellogg School of Management.</w:t>
      </w:r>
    </w:p>
    <w:p>
      <w:pPr>
        <w:spacing w:after="0" w:line="77"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i w:val="1"/>
          <w:iCs w:val="1"/>
          <w:color w:val="auto"/>
        </w:rPr>
        <w:t>Douglas J. Cornille</w:t>
      </w:r>
      <w:r>
        <w:rPr>
          <w:rFonts w:ascii="Times New Roman" w:cs="Times New Roman" w:eastAsia="Times New Roman" w:hAnsi="Times New Roman"/>
          <w:sz w:val="17"/>
          <w:szCs w:val="17"/>
          <w:color w:val="auto"/>
        </w:rPr>
        <w:t>, age 53, has served as Chief Growth Officer of Premier Nutrition, a subsidiary of ours, since November 2021. Prior to that, he served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 Senior Vice President, Marketing of Premier Nutrition since July 2015. Prior to joining Premier Nutrition, Mr. Cornille was Brand Director at Clif Bar &amp; Company, a manufacturer of various food products, from August 2011 to July 2015 and was Senior Brand Manager at Dreyer’s Grand Ice Cream Holdings, Inc., a manufacturer of ice cream and frozen yogurt, from September 2003 to August 2011. Mr. Cornille earned his undergraduate degree from Rhodes College and attended Oxford University, St. John’s College. Mr. Cornille earned his MBA from Duke University - The Fuqua School of Business.</w:t>
      </w:r>
    </w:p>
    <w:p>
      <w:pPr>
        <w:spacing w:after="0" w:line="62"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i w:val="1"/>
          <w:iCs w:val="1"/>
          <w:color w:val="auto"/>
        </w:rPr>
        <w:t>Craig L. Rosenthal</w:t>
      </w:r>
      <w:r>
        <w:rPr>
          <w:rFonts w:ascii="Times New Roman" w:cs="Times New Roman" w:eastAsia="Times New Roman" w:hAnsi="Times New Roman"/>
          <w:sz w:val="18"/>
          <w:szCs w:val="18"/>
          <w:color w:val="auto"/>
        </w:rPr>
        <w:t>, age 54, has served as our Chief Legal Officer, Chief Compliance Officer and Secretary since September 2023 and, prior to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our Senior Vice President, General Counsel and Secretary since August 2019. Prior to joining BellRing, Mr. Rosenthal was an attorney at Husch Blackwell LLP from May 2019 to August 2019. From January 2018 to May 2019, while complying with the terms of a non-competition agreement entered into with a previous employer that expired in March 2019, Mr. Rosenthal provided legal counsel regarding business transactions to small businesses and individuals. Mr. Rosenthal served as Senior Vice President-Law and Assistant Secretary at Altice USA, Inc., a publicly traded broadband communications and video services provider, from June 2016 to December 2017. Prior to that, Mr. Rosenthal was Senior Vice President, General Counsel and Secretary at Cequel Communications, LLC dba Suddenlink Communications, a telecommunications and technology company, from 2005 to June 2016, when it was acquired by Altice USA, Inc. Previously, Mr. Rosenthal was an attorney at Husch &amp; Eppenberger LLC (now Husch Blackwell LLP). Mr. Rosenthal earned his undergraduate degree from the University of Missouri-Columbia and juris doctorate from Washington University School of Law.</w:t>
      </w:r>
    </w:p>
    <w:p>
      <w:pPr>
        <w:spacing w:after="0" w:line="8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Robin Singh, </w:t>
      </w:r>
      <w:r>
        <w:rPr>
          <w:rFonts w:ascii="Times New Roman" w:cs="Times New Roman" w:eastAsia="Times New Roman" w:hAnsi="Times New Roman"/>
          <w:sz w:val="18"/>
          <w:szCs w:val="18"/>
          <w:color w:val="auto"/>
        </w:rPr>
        <w:t>age 56, has served as Senior Vice President, Operations of Premier Nutrition, a subsidiary of ours, since March 2019. Prior to joining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Premier Nutrition, Mr. Singh held various senior leadership positions at Mondelez International, Inc., a publicly traded multinational snack food company, from 1996 until March 2019, including Vice President of Operations from July 2018 to March 2019, Director of Supply Chain Strategy and Supply Chain Reinvention North America from February 2016 to July 2018, and Director of Supply Planning North America from January 2014 to January 2016. Mr. Singh received his Honors Bachelor of Science from the University of Guelph, Ontario and a certificate in the Ivey Operations Program from the Richard Ivey School of Business at the University of Western Ontario.</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1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addition to the information discussed elsewhere in this report, the following risks and uncertainties, some of which have occurred and any of which may occur in the future, could have a material adverse effect on our business, financial condition, results of operations and cash flows. Although the risks below are organized by heading, and each risk is described separately, many of the risks are interrelated. Additional risks and uncertainties not presently known to us or that we currently deem immaterial also may impair our business, financial condition, results of operations and cash flows.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and Operating Risks</w:t>
      </w:r>
    </w:p>
    <w:p>
      <w:pPr>
        <w:spacing w:after="0" w:line="10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A substantial amount of our net sales comes from our RTD protein shakes, and a decrease in sales of our RTD protein shakes would adversely affect our business, financial condition, results of operations and cash flows.</w:t>
      </w:r>
    </w:p>
    <w:p>
      <w:pPr>
        <w:spacing w:after="0" w:line="5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A substantial amount of our net sales is derived from our RTD protein shakes. Sales of our RTD protein shakes represented approximately 81.7% of our net sales in our year ended September 30, 2025. We believe that sales of our RTD protein shakes will continue to constitute a substantial amount of our net sales for the foreseeable future. Our business, financial condition, results of operations and cash flows would be harmed by a decline in the market for our RTD protein shakes, increased competition in the market for those products, disruptions in our ability to produce those products, whether due to manufacturer inability, supply chain failures or otherwise, or our failure or inability to provide sufficient investment to support and market those products as needed to maintain or grow their competitive position or to achieve more widespread market acceptance.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category with strong competition.</w:t>
      </w:r>
    </w:p>
    <w:p>
      <w:pPr>
        <w:spacing w:after="0" w:line="115"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7"/>
          <w:szCs w:val="17"/>
          <w:color w:val="auto"/>
        </w:rPr>
        <w:t>The convenient nutrition category in which we operate is highly competitive. We compete with other brands in the convenient nutrition category and with many nutritional food and beverage players, as well as manufacturers of private label and store brand products. Many of our competitors offer products similar to our products, or a wider range of products than we offer, and may offer their products at more competitive prices than we do. Competition in our industry is based on, among other things, product quality, taste, functional benefits, nutritional value and ingredients, convenience, brand loyalty and positioning, product variety, product packaging, shelf space, price, promotional activities and the ability to identify and satisfy dynamic, emerging consumer preferences. Some of our principal competitors have substantially more financial, marketing and other resources than we have. A strong competitive response from one or more of our competitors to our marketplace efforts, or a shift in consumer preferences to competitors’ products, could result in us reducing pricing, increasing marketing or other expenditures or losing market share. Competitive pressures also may restrict our ability to increase our prices, including in response to cost increases. Our profits could decrease if a reduction in prices or increased costs are not counterbalanced with increased sales volume. In addition, our competitors are increasingly using social media networks and digital media platforms to advertise products. If we are unable to use social media and digital media platforms effectively to advertise our products, it could adversely affect our business, financial condition, results of operations and cash flows.</w:t>
      </w:r>
    </w:p>
    <w:p>
      <w:pPr>
        <w:spacing w:after="0" w:line="6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Disruption of our supply chain and changes in weather conditions could have an adverse effect on our business, financial condition, results of operations and cash flows.</w:t>
      </w:r>
    </w:p>
    <w:p>
      <w:pPr>
        <w:spacing w:after="0" w:line="5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Our ability to make, move and sell products in coordination with our suppliers, third-party contract manufacturers and distributors is critical to our success. Damage or disruption to our collective supply, manufacturing or distribution capabilities resulting from weather, freight carrier availability, any potential effects of climate change, natural disaster, pandemics or other outbreaks of contagious diseases, governmental restrictions or mandates, labor shortages, border closures, freight carrier availability, agricultural diseases, fires or evacuations related thereto, explosions, cyber incidents, terrorism, strikes or other labor unrest, repairs or enhancements at facilities manufacturing or delivering our products or other reasons could impair our ability to source inputs or manufacture, sell or timely deliver our products. During fiscal 2022, the COVID-19 pandemic impacted our operations, including causing disruptions in our supply chain.</w:t>
      </w:r>
    </w:p>
    <w:p>
      <w:pPr>
        <w:spacing w:after="0" w:line="81"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 xml:space="preserve">Changes in weather conditions and natural disasters, such as fires, floods, droughts, frosts, hurricanes, earthquakes, tornadoes, insect infestations and plant disease, also may affect the cost and supply of commodities used as raw materials, including milk-based, whey-based and soy-based proteins, protein blends, sweeteners and vitamin and mineral blends. Further, as we rely on a limited number of third-party suppliers to provide certain ingredients and packaging materials, and one supplier for the majority of our milk-based protein, adverse events affecting such suppliers may limit our ability to obtain such raw materials, or alternatives for these raw materials, at competitive prices, or at all. For example, for our year ended September 30, 2025, approximately 46.3% of our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RTD shake supply came from our largest third-party contract manufacturer, with approximately 28.0% of our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RTD shake supply manufactured at a single facility. In addition, production of the RTD protein shakes in the 11 ounce size by our third-party contract manufacturers requires packaging that we currently are sourcing from only one supplier, and equipment that our third-party contract manufacturers are currently sourcing from the same supplier. Our supply of packaging for our 11 ounce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RTD protein shakes from this supplier comes primarily from three of its locations. Further, a majority of production of our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RTD protein shakes in the 11.5</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ounce size are currently sourced from a single facility of a third-party contract manufacturer. Competitors can be affected differently by weather conditions and natural disasters depending on the location of their suppliers and operations.</w:t>
      </w:r>
    </w:p>
    <w:p>
      <w:pPr>
        <w:spacing w:after="0" w:line="5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third-party contract manufacturers for the manufacture of most of our products, including one manufacturer for nearly half of our RTD protein shakes. Our business could suffer if we do not continue to contract with key third-party manufacturers or as a result of a third-party contract manufacturer’s inability to produce our products for us in the quantities required, on time or to our specifications.</w:t>
      </w:r>
    </w:p>
    <w:p>
      <w:pPr>
        <w:spacing w:after="0" w:line="68"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7"/>
          <w:szCs w:val="17"/>
          <w:color w:val="auto"/>
        </w:rPr>
        <w:t xml:space="preserve">All of our RTD protein shakes and most of our other products are manufactured by independent third-party contract manufacturers. For our year ended September 30, 2025, approximately 46.3% of our </w:t>
      </w:r>
      <w:r>
        <w:rPr>
          <w:rFonts w:ascii="Times New Roman" w:cs="Times New Roman" w:eastAsia="Times New Roman" w:hAnsi="Times New Roman"/>
          <w:sz w:val="17"/>
          <w:szCs w:val="17"/>
          <w:i w:val="1"/>
          <w:iCs w:val="1"/>
          <w:color w:val="auto"/>
        </w:rPr>
        <w:t>Premier Protein</w:t>
      </w:r>
      <w:r>
        <w:rPr>
          <w:rFonts w:ascii="Times New Roman" w:cs="Times New Roman" w:eastAsia="Times New Roman" w:hAnsi="Times New Roman"/>
          <w:sz w:val="17"/>
          <w:szCs w:val="17"/>
          <w:color w:val="auto"/>
        </w:rPr>
        <w:t xml:space="preserve"> RTD shake supply came from a single manufacturer and approximately 28.0% from a single facility of that manufacturer. Further, a majority of production of our </w:t>
      </w:r>
      <w:r>
        <w:rPr>
          <w:rFonts w:ascii="Times New Roman" w:cs="Times New Roman" w:eastAsia="Times New Roman" w:hAnsi="Times New Roman"/>
          <w:sz w:val="17"/>
          <w:szCs w:val="17"/>
          <w:i w:val="1"/>
          <w:iCs w:val="1"/>
          <w:color w:val="auto"/>
        </w:rPr>
        <w:t>Premier Protein</w:t>
      </w:r>
      <w:r>
        <w:rPr>
          <w:rFonts w:ascii="Times New Roman" w:cs="Times New Roman" w:eastAsia="Times New Roman" w:hAnsi="Times New Roman"/>
          <w:sz w:val="17"/>
          <w:szCs w:val="17"/>
          <w:color w:val="auto"/>
        </w:rPr>
        <w:t xml:space="preserve"> RTD protein shakes in the 11.5 ounce size are currently sourced from a single facility of a third-party contract manufacturer. Although we have added additional third-party contract manufacturers of our </w:t>
      </w:r>
      <w:r>
        <w:rPr>
          <w:rFonts w:ascii="Times New Roman" w:cs="Times New Roman" w:eastAsia="Times New Roman" w:hAnsi="Times New Roman"/>
          <w:sz w:val="17"/>
          <w:szCs w:val="17"/>
          <w:i w:val="1"/>
          <w:iCs w:val="1"/>
          <w:color w:val="auto"/>
        </w:rPr>
        <w:t>Premier Protein</w:t>
      </w:r>
      <w:r>
        <w:rPr>
          <w:rFonts w:ascii="Times New Roman" w:cs="Times New Roman" w:eastAsia="Times New Roman" w:hAnsi="Times New Roman"/>
          <w:sz w:val="17"/>
          <w:szCs w:val="17"/>
          <w:color w:val="auto"/>
        </w:rPr>
        <w:t xml:space="preserve"> RTD shakes to our third-party contract manufacturing network, if one or more of our third-party contract manufacturers is unable to meet our supply requirements, it could have a material adverse impact on our business, financial condition, results of operations and cash flows. In fiscal 2019, a former third-party contract manufacturer that we had expected to produce less than 10% of our RTD protein shakes for that year did not produce as we expected, which resulted in our termination of our agreement with it. Also, if we experience significant increases in demand for our products, as we did beginning in the second quarter of fiscal 2021 through fiscal 2023, we and these third-party contract manufacturers may not be able to obtain in a timely manner the equipment, ingredients or packaging materials required to manufacture our products and allocate sufficient capacity to us in order to meet our requirements, fill our orders in a timely manner or meet our quality standards. Further, as we did in fiscal 2022 through fiscal 2024, we may experience operational difficulties with any of these third-party contract manufacturers, such as limitations on production capacity, failure to meet our quantity requirements, including as a result of pandemics or other outbreaks of contagious diseases, increases in manufacturing costs, errors in complying with product specifications, insufficient quality control and failure to meet production deadlines. In fiscal 2022, fiscal 2023 and into fiscal 2024, we had to limit our stock-keeping units (“SKUs”) and place one or more of our products on allocation. In addition, we rely in part on our third-party contract manufacturers to maintain the quality of our products. The failure or inability of our third-party contract manufacturers to comply with the specifications and requirements of our products could result in product withdrawal or recall, which could materially and adversely affect our reputation and subject us to significant liability should the consumption of any of our products cause or be claimed to cause illness or physical harm. For example, in fiscal 2022, a third-party manufacturer that produced less than 2% of our </w:t>
      </w:r>
      <w:r>
        <w:rPr>
          <w:rFonts w:ascii="Times New Roman" w:cs="Times New Roman" w:eastAsia="Times New Roman" w:hAnsi="Times New Roman"/>
          <w:sz w:val="17"/>
          <w:szCs w:val="17"/>
          <w:i w:val="1"/>
          <w:iCs w:val="1"/>
          <w:color w:val="auto"/>
        </w:rPr>
        <w:t xml:space="preserve">Premier Protein </w:t>
      </w:r>
      <w:r>
        <w:rPr>
          <w:rFonts w:ascii="Times New Roman" w:cs="Times New Roman" w:eastAsia="Times New Roman" w:hAnsi="Times New Roman"/>
          <w:sz w:val="17"/>
          <w:szCs w:val="17"/>
          <w:color w:val="auto"/>
        </w:rPr>
        <w:t>RTD protein shakes initiated a recall of all products manufactured in one of its facilities, including our</w:t>
      </w:r>
      <w:r>
        <w:rPr>
          <w:rFonts w:ascii="Times New Roman" w:cs="Times New Roman" w:eastAsia="Times New Roman" w:hAnsi="Times New Roman"/>
          <w:sz w:val="17"/>
          <w:szCs w:val="17"/>
          <w:i w:val="1"/>
          <w:iCs w:val="1"/>
          <w:color w:val="auto"/>
        </w:rPr>
        <w:t xml:space="preserve"> Premier Protein </w:t>
      </w:r>
      <w:r>
        <w:rPr>
          <w:rFonts w:ascii="Times New Roman" w:cs="Times New Roman" w:eastAsia="Times New Roman" w:hAnsi="Times New Roman"/>
          <w:sz w:val="17"/>
          <w:szCs w:val="17"/>
          <w:color w:val="auto"/>
        </w:rPr>
        <w:t>RTD protein shakes.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inability of third-party contract manufacturers to ship orders in a timely manner, in desirable quantities or to meet our safety, quality and social compliance standards or regulatory requirements could have a material adverse impact on our business, financial condition, results of operations and cash flows. Additionally, our business could be adversely affected if any of these third parties fail to comply with governmental regulations applicable to the manufacturing of our products or if any of these third parties cease doing business with us or go out of business.</w:t>
      </w:r>
    </w:p>
    <w:p>
      <w:pPr>
        <w:spacing w:after="0" w:line="287"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7"/>
          <w:szCs w:val="17"/>
          <w:color w:val="auto"/>
        </w:rPr>
        <w:t xml:space="preserve">Certain of our relationships with these third parties are subject to minimum volume commitments, whereby the third-party contract manufacturer has committed to produce, and we have committed to purchase, a minimum quantity of product, and we or the contract manufacturer may alternatively pay the other a mostly fixed amount rather than produce or purchase the minimum quantities. Despite the minimum volume commitments, we may nonetheless experience situations where such manufacturers are unable to fulfill their minimum volume obligations under our agreements or cannot produce sufficient amounts of product to meet consumer demand. For example, due to (i) better than expected volume growth for our </w:t>
      </w:r>
      <w:r>
        <w:rPr>
          <w:rFonts w:ascii="Times New Roman" w:cs="Times New Roman" w:eastAsia="Times New Roman" w:hAnsi="Times New Roman"/>
          <w:sz w:val="17"/>
          <w:szCs w:val="17"/>
          <w:i w:val="1"/>
          <w:iCs w:val="1"/>
          <w:color w:val="auto"/>
        </w:rPr>
        <w:t>Premier Protein</w:t>
      </w:r>
      <w:r>
        <w:rPr>
          <w:rFonts w:ascii="Times New Roman" w:cs="Times New Roman" w:eastAsia="Times New Roman" w:hAnsi="Times New Roman"/>
          <w:sz w:val="17"/>
          <w:szCs w:val="17"/>
          <w:color w:val="auto"/>
        </w:rPr>
        <w:t xml:space="preserve"> RTD shakes and </w:t>
      </w:r>
      <w:r>
        <w:rPr>
          <w:rFonts w:ascii="Times New Roman" w:cs="Times New Roman" w:eastAsia="Times New Roman" w:hAnsi="Times New Roman"/>
          <w:sz w:val="17"/>
          <w:szCs w:val="17"/>
          <w:i w:val="1"/>
          <w:iCs w:val="1"/>
          <w:color w:val="auto"/>
        </w:rPr>
        <w:t>Dymatize</w:t>
      </w:r>
      <w:r>
        <w:rPr>
          <w:rFonts w:ascii="Times New Roman" w:cs="Times New Roman" w:eastAsia="Times New Roman" w:hAnsi="Times New Roman"/>
          <w:sz w:val="17"/>
          <w:szCs w:val="17"/>
          <w:color w:val="auto"/>
        </w:rPr>
        <w:t xml:space="preserve"> powders in fiscal 2022 and, as to </w:t>
      </w:r>
      <w:r>
        <w:rPr>
          <w:rFonts w:ascii="Times New Roman" w:cs="Times New Roman" w:eastAsia="Times New Roman" w:hAnsi="Times New Roman"/>
          <w:sz w:val="17"/>
          <w:szCs w:val="17"/>
          <w:i w:val="1"/>
          <w:iCs w:val="1"/>
          <w:color w:val="auto"/>
        </w:rPr>
        <w:t>Premier Protein</w:t>
      </w:r>
      <w:r>
        <w:rPr>
          <w:rFonts w:ascii="Times New Roman" w:cs="Times New Roman" w:eastAsia="Times New Roman" w:hAnsi="Times New Roman"/>
          <w:sz w:val="17"/>
          <w:szCs w:val="17"/>
          <w:color w:val="auto"/>
        </w:rPr>
        <w:t xml:space="preserve"> RTD shakes in fiscal 2023, (ii) delays in production and planned incremental production capacity by our third-party contract manufacturer network and (iii) in the case of </w:t>
      </w:r>
      <w:r>
        <w:rPr>
          <w:rFonts w:ascii="Times New Roman" w:cs="Times New Roman" w:eastAsia="Times New Roman" w:hAnsi="Times New Roman"/>
          <w:sz w:val="17"/>
          <w:szCs w:val="17"/>
          <w:i w:val="1"/>
          <w:iCs w:val="1"/>
          <w:color w:val="auto"/>
        </w:rPr>
        <w:t>Dymatize</w:t>
      </w:r>
      <w:r>
        <w:rPr>
          <w:rFonts w:ascii="Times New Roman" w:cs="Times New Roman" w:eastAsia="Times New Roman" w:hAnsi="Times New Roman"/>
          <w:sz w:val="17"/>
          <w:szCs w:val="17"/>
          <w:color w:val="auto"/>
        </w:rPr>
        <w:t xml:space="preserve"> powders, whey protein availability, our customer demand exceeded our available capacity and resulted in </w:t>
      </w:r>
      <w:r>
        <w:rPr>
          <w:rFonts w:ascii="Times New Roman" w:cs="Times New Roman" w:eastAsia="Times New Roman" w:hAnsi="Times New Roman"/>
          <w:sz w:val="17"/>
          <w:szCs w:val="17"/>
          <w:i w:val="1"/>
          <w:iCs w:val="1"/>
          <w:color w:val="auto"/>
        </w:rPr>
        <w:t>Premier Protein</w:t>
      </w:r>
      <w:r>
        <w:rPr>
          <w:rFonts w:ascii="Times New Roman" w:cs="Times New Roman" w:eastAsia="Times New Roman" w:hAnsi="Times New Roman"/>
          <w:sz w:val="17"/>
          <w:szCs w:val="17"/>
          <w:color w:val="auto"/>
        </w:rPr>
        <w:t xml:space="preserve"> RTD shakes and </w:t>
      </w:r>
      <w:r>
        <w:rPr>
          <w:rFonts w:ascii="Times New Roman" w:cs="Times New Roman" w:eastAsia="Times New Roman" w:hAnsi="Times New Roman"/>
          <w:sz w:val="17"/>
          <w:szCs w:val="17"/>
          <w:i w:val="1"/>
          <w:iCs w:val="1"/>
          <w:color w:val="auto"/>
        </w:rPr>
        <w:t>Dymatize</w:t>
      </w:r>
      <w:r>
        <w:rPr>
          <w:rFonts w:ascii="Times New Roman" w:cs="Times New Roman" w:eastAsia="Times New Roman" w:hAnsi="Times New Roman"/>
          <w:sz w:val="17"/>
          <w:szCs w:val="17"/>
          <w:color w:val="auto"/>
        </w:rPr>
        <w:t xml:space="preserve"> powders inventories below acceptable levels during fiscal 2021 and </w:t>
      </w:r>
      <w:r>
        <w:rPr>
          <w:rFonts w:ascii="Times New Roman" w:cs="Times New Roman" w:eastAsia="Times New Roman" w:hAnsi="Times New Roman"/>
          <w:sz w:val="17"/>
          <w:szCs w:val="17"/>
          <w:i w:val="1"/>
          <w:iCs w:val="1"/>
          <w:color w:val="auto"/>
        </w:rPr>
        <w:t>Premier Protein</w:t>
      </w:r>
      <w:r>
        <w:rPr>
          <w:rFonts w:ascii="Times New Roman" w:cs="Times New Roman" w:eastAsia="Times New Roman" w:hAnsi="Times New Roman"/>
          <w:sz w:val="17"/>
          <w:szCs w:val="17"/>
          <w:color w:val="auto"/>
        </w:rPr>
        <w:t xml:space="preserve"> RTD shakes inventories below acceptable levels in fiscal 2022, fiscal 2023 and into fiscal 2024. If we need to replace an existing third-party contract manufacturer, our products may not be available when required on acceptable terms, or at all. Also, if demand for our products is significantly below our expectations, we may be obligated to pay penalties to our third-party contract manufacturers for failing to purchase contracted minimum purchase quantities.</w:t>
      </w:r>
    </w:p>
    <w:p>
      <w:pPr>
        <w:spacing w:after="0" w:line="6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reliance on a limited number of suppliers for certain equipment, ingredients and packaging materials, the price and availability of ingredients and packaging materials, higher freight costs and higher energy costs could negatively impact our business, financial condition, results of operations and cash flows.</w:t>
      </w:r>
    </w:p>
    <w:p>
      <w:pPr>
        <w:spacing w:after="0" w:line="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rely on a limited number of third-party suppliers to provide certain equipment, ingredients and packaging materials used in our business. The primary ingredients used in our business include milk-based, whey-based and soy-based proteins, protein blends, sweeteners and vitamin and mineral blends, and one supplier provides the majority of our milk-based protein. The supply and price of these ingredients are subject to market conditions and are influenced by many factors beyond our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 xml:space="preserve">control, including inflation and increased demand, labor shortages, animal feed costs, weather patterns affecting ingredient production, governmental programs, regulations and trade and tariff policies and pandemics or other outbreaks of contagious diseases. Our milk-based and whey-based protein costs have increased and may continue to increase due to factors such as inflation and increased demand, labor shortages, animal feed costs, weather patterns affecting ingredient production, governmental programs and regulations and pandemics or other outbreaks of contagious diseases,. Our primary packaging materials include aseptic foil and plastic lined cardboard cartons, flexible and rigid plastic film and containers, beverage packaging and corrugate. We utilize a sole supplier for the aseptic packaging for, and our third-party contract manufacturers use equipment from the same sole supplier to manufacture, our </w:t>
      </w:r>
      <w:r>
        <w:rPr>
          <w:rFonts w:ascii="Times New Roman" w:cs="Times New Roman" w:eastAsia="Times New Roman" w:hAnsi="Times New Roman"/>
          <w:sz w:val="17"/>
          <w:szCs w:val="17"/>
          <w:i w:val="1"/>
          <w:iCs w:val="1"/>
          <w:color w:val="auto"/>
        </w:rPr>
        <w:t>Premier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Protein </w:t>
      </w:r>
      <w:r>
        <w:rPr>
          <w:rFonts w:ascii="Times New Roman" w:cs="Times New Roman" w:eastAsia="Times New Roman" w:hAnsi="Times New Roman"/>
          <w:sz w:val="17"/>
          <w:szCs w:val="17"/>
          <w:color w:val="auto"/>
        </w:rPr>
        <w:t>RTD shakes in the 11 ounce size. Although we maintain relationships with suppliers with the objective of ensuring that we have adequate sources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supply of such ingredients and packaging materials, increases in demand for such items, both within our industry and in general, can result in shortages and higher costs. Our suppliers may not be able to meet our delivery schedules, we may lose a significant or sole supplier, a supplier may not be able to meet performance and quality specifications and we may not be able to purchase such items at a competitive cost. Further, the supply and price of these inputs are subject to market conditions and are impacted by many factors beyond our control, including inflation and increased demand, labor shortages, weather conditions, natural disasters, governmental programs, regulations and trade and tariff policies and pandemics and other outbreaks of contagious diseases. Our freight costs have increased and may continue to increase due to factors such as inflation and increased demand, labor shortages, increased fuel costs, limited carrier availability, increased compliance costs associated with new or changing government regulations, pandemics or other outbreaks of contagious diseases. Higher prices for natural gas, propane, electricity and fuel also may increase our ingredient, production and delivery costs. Historically, the prices of certain of our raw materials, energy and other supplies used in our business have fluctuated widely. In addition, we have experienced shortages of certain of our raw materials, which result in us paying increased costs for such inputs and impact our ability to produce our products.</w:t>
      </w:r>
    </w:p>
    <w:p>
      <w:pPr>
        <w:spacing w:after="0" w:line="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prices charged for our products may not reflect changes in our input costs at the time they occur, or at all. Changes in input costs have, and may in the future, limit our ability to maintain existing margins and may have a material adverse effect on our business, financial condition, results of operations and cash flows. While we try to manage the impact of increases in certain of these costs by locking in prices on quantities required to meet our anticipated production requirements, if we fail, or are unable, to hedge and prices subsequently increase, or if we institute a hedge and prices subsequently decrease, our costs may be greater than anticipated or greater than our competitors’ costs, and our business, financial condition, results of operations and cash flows could be adversely affected.</w:t>
      </w:r>
    </w:p>
    <w:p>
      <w:pPr>
        <w:spacing w:after="0" w:line="79"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Certain of our relationships with third-party ingredient and packaging suppliers are subject to minimum volume commitments, whereby the third-party supplier has committed to sell, and we have committed to purchase, minimum quantities and we or, in some cases the third-party supplier, may alternatively pay the other a mostly fixed amount rather than sell or purchase the minimum quantities. Despite the minimum volume commitments, we may nonetheless experience situations where such third-party suppliers are unable to fulfill their minimum volume obligations under our agreements or cannot provide sufficient amounts ingredients or packaging to meet consumer demand for our products. If we need to replace an existing third-party supplier, our products may not be available when required on acceptable terms, or at all. Also, if demand for our products is significantly below our expectations, we may be obligated to pay penalties to our third-party suppliers for failing to purchase contracted minimum purchase quantities.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must identify changing consumer and customer preferences and behaviors and develop and offer products to meet these preferences.</w:t>
      </w:r>
    </w:p>
    <w:p>
      <w:pPr>
        <w:spacing w:after="0" w:line="11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Consumer and customer preferences and behaviors evolve over time due to a variety of factors. The success of our business depends on our ability to identify these changing preferences and behaviors, to distinguish between short-term trends and long-term changes in such preferences and behaviors, and to continue to develop and offer products that appeal to consumers and customers through the sales channels that they prefer. Consumer preference and behavior changes include dietary trends, attention to different nutritional aspects of foods and beverages, acceptance and the use of weight management medication, consumer in-home and on-the-go consumption patterns, preferences for certain sales channels, concerns regarding the health effects of certain foods and beverages, attention to sourcing practices relating to ingredients, animal welfare concerns, environmental concerns regarding packaging and attention to other social and governance aspects of our Company and operations. Several of our customers have announced goals to transition to recyclable, compostable or reusable packaging. These changing preferences and requirements could require us to use specially sourced ingredients and packaging types that may be more difficult to source or entail a higher cost or incremental capital investment which we may not be able to pass on to customers.</w:t>
      </w:r>
    </w:p>
    <w:p>
      <w:pPr>
        <w:spacing w:after="0" w:line="8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Consumers are increasingly shopping through eCommerce websites and mobile commerce applications. If we are unable to effectively compete in the expanding eCommerce market or maintain the data analytics capabilities needed to generate actionable commercial insights, our business performance may be impacted, which may negatively impact our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Emerging science and theories regarding health are constantly evolving, and products or methods of eating once considered healthy may over time become disfavored by consumers or no longer be perceived as healthy. Approaches regarding healthy lifestyles also are the subject of numerous studies and publications, often with differing views and opinions, some of which may be adverse to us. The growing acceptance and use of medication to manage weight could negatively affect the demand for many types of food in general, including our products. In order to respond to new and evolving consumer and customer demands, achieve market acceptance and keep pace with new nutritional, technological and other developments, we must constantly introduce new and innovative products into the market. We may not be successful in developing, introducing on a timely basis or marketing any new or enhanced products, and specifically, the initial sales volumes for new or enhanced products may not reach anticipated levels, we may be required to engage in extensive marketing efforts to promote such products, the costs of developing and promoting such products may exceed our expectations and such products may not perform as expected. Further, certain ingredients used in our products may become negatively perceived by consumers, resulting in decreased demand for our products or reformulation of existing products to remove such ingredients, which may negatively affect taste or other qualities. Prolonged negative perceptions concerning the health implications of certain food and beverage products could influence consumer preferences and acceptance of some of our products and marketing programs.</w:t>
      </w:r>
    </w:p>
    <w:p>
      <w:pPr>
        <w:spacing w:after="0" w:line="8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Although we strive to respond to consumer or customer preferences and social expectations, we may not be successful in these efforts. Any significant changes in consumer or customer preferences or our inability to anticipate or react, or effectively introduce new products in response, to such changes could result in reduced demand for our products, which could negatively impact our business, financial condition, results of operations and cash flows.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may be adversely impacted if consumers do not maintain favorable perceptions of our brands.</w:t>
      </w:r>
    </w:p>
    <w:p>
      <w:pPr>
        <w:spacing w:after="0" w:line="115"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Maintaining and continually enhancing the value of our brands is critical to the success of our business. Brand value is based in large part on consumer perceptions. Brand value could diminish significantly due to a number of factors, including our products becoming unavailable to consumers, our failure to maintain the quality of our products, the failure of our products to deliver consistently positive consumer experiences, adverse publicity about our or our suppliers’ or third-party contract manufacturers’ business practices, our products, packaging or ingredients, concerns about food safety, real or perceived health concerns regarding our products or consumer perception that we have acted in an irresponsible manner. Consumer demand for our products also may be impacted by changes in the level of advertising or promotional support. We may need to increase our marketing and advertising spending in order to maintain and increase customer and consumer awareness, protect and grow our existing market share or to promote new products, which could impact our business, financial condition, results of operations and cash flows. However, an increase in our marketing and advertising efforts may not maintain our current reputation or lead to an increase in brand awareness. Negative perceptions of the food and beverage industry as a whole, or the convenient nutrition category, may heighten attention from consumers, third parties, the media, governments, stockholders and other stakeholders to such factors and could adversely affect our brand image. The growing use of social and digital media by consumers, us and third parties increases the speed and extent that information or misinformation and opinions can be shared. Negative posts or comments about us, our brands, products or packaging or the food and beverage industry generally on social or digital media (whether factual or not) or security breaches related to use of our social media could seriously damage our brands and reputation. If we do not maintain favorable perceptions of our products and our brands, or if we experience a loss of consumer confidence in our brands, our business, financial condition, results of operations and cash flows could be adversely impacted.</w:t>
      </w:r>
    </w:p>
    <w:p>
      <w:pPr>
        <w:spacing w:after="0" w:line="91"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In addition, our success in maintaining and enhancing our brand image depends on our ability to anticipate change and adapt to a rapidly changing marketing and media environment, including our increasing reliance on social media and online, digital and mobile dissemination of marketing and advertising campaigns and the increasing accessibility and speed of dissemination of information. Furthermore, third parties may sell counterfeit or imitation versions of our products that are inferior or pose safety risks. If consumers confuse these counterfeit products for our products or have a bad experience with the counterfeit brand, they might refrain from purchasing our brands in the future, which could harm our brand image and sales. If we do not successfully maintain and enhance our reputation and brand health, then our brands, product sales, financial condition, results of operations and cash flows could be materially and adversely affected.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sales and profit growth are dependent upon our ability to expand existing market penetration and enter into new markets.</w:t>
      </w:r>
    </w:p>
    <w:p>
      <w:pPr>
        <w:spacing w:after="0" w:line="11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Successful growth depends on our ability to add new customers, enter into new markets, expand the number of products sold through existing customers and enhance our product portfolio. This growth includes expanding the number of our products retailers offer for sale, our product placement and our ability to secure additional shelf or retail space for our products, as well as increased access to online platforms to sell our products. The expansion of our business depends on our ability to obtain new, or expand our business with existing, customers, such as club, FDM, eCommerce, convenience and specialty customers. Our failure to successfully add new customers, enter into new markets, expand the number of products sold through existing</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customers and enhance our product portfolio could have a material adverse effect on our business, financial condition, results of operations and cash flows.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Consolidation in our distribution channels, and competitive, economic and other pressures facing our customers, may hurt our profit margins.</w:t>
      </w:r>
    </w:p>
    <w:p>
      <w:pPr>
        <w:spacing w:after="0" w:line="11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Over the past several years, our channels have undergone significant consolidations and certain customers are gaining market share. As this trend continues and such customers grow larger, they have sought, and may continue to seek, to use their position to improve their profitability through improved efficiency, lower pricing, increased reliance on their own brand name products, increased emphasis on generic and other value brands and increased promotional programs. If we are unable to respond to these requirements, our profitability or volume growth could be negatively impacted. Additionally, if any of our customers are consolidated with another entity and the surviving entity of any such consolidation is not a customer or decides to discontinue purchasing our products, we may lose significant amounts of our preexisting business with the acquired customer. Further, the economic and competitive landscape for our customers is constantly changing, such as the emergence of new sales channels, and our customers’ responses to those changes could impact our business. Consolidation in our channels also increases the risk that adverse changes to our customers’ business operations or financial performance would have a material adverse effect on us.</w:t>
      </w:r>
    </w:p>
    <w:p>
      <w:pPr>
        <w:spacing w:after="0" w:line="7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our products become contaminated or adulterated, or if they are misbranded or mislabeled, we might need to recall or withdraw those items and we may experience product liability claims.</w:t>
      </w:r>
    </w:p>
    <w:p>
      <w:pPr>
        <w:spacing w:after="0" w:line="54"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 xml:space="preserve">Selling food products, beverages and nutritional supplements involves a number of legal and other risks, including contamination, spoilage, degradation, tampering, mislabeling or other adulteration. Additionally, many of the raw materials used to make certain of our products, particularly milk-based protein, are vulnerable to spoilage and contamination by naturally occurring molds and pathogens, such as salmonella, and pests. These pathogens may survive in our products as a result of improper handling by customers or consumers. We do not have control over handling procedures once our products have been shipped for distribution. We may need to recall or withdraw some or all of our products if they become damaged, contaminated, adulterated, mislabeled or misbranded, whether caused by us or someone in our manufacturing or supply chain. For example, in fiscal 2022, a third-party manufacturer that produced less than 2% of our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RTD protein shakes initiated a recall of all products manufactured in one of its facilities, including our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RTD protein shakes. A recall or withdrawal could result in destruction of product ingredients and inventory, negative publicity, temporary plant closings for us or our third-party contract manufacturers, supply chain interruption, substantial costs of compliance or remediation, fines and increased scrutiny by federal, state and foreign regulatory agencies. New scientific discoveries regarding microbes and food manufacturing may bring additional risks and latent liability. Should consumption of any product cause injury, we may be liable for monetary damages as a result of a judgment against us. In addition, adverse publicity, including claims, whether or not valid, that our products or ingredients are unsafe or of poor quality, may discourage customers or consumers from buying our products or cause production and delivery disruptions. Although we have various insurance programs in place and may have rights to indemnification in certain situations, any of these events or a loss of customer or consumer confidence could have an adverse effect on our business, financial condition, results of operations and cash flows.</w:t>
      </w:r>
    </w:p>
    <w:p>
      <w:pPr>
        <w:spacing w:after="0" w:line="8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Loss of, a significant reduction of purchases by or bankruptcy of a major customer may adversely affect our business, financial condition, results of operations and cash flows.</w:t>
      </w:r>
    </w:p>
    <w:p>
      <w:pPr>
        <w:spacing w:after="0" w:line="5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 limited number of customer accounts represents a large percentage of our combined net sales. Our largest customers, Walmart and its affiliates (which includes Sam’s Club), Costco and Amazon, accounted for approximately 74.0% of our net sales in our year ended September 30, 2025.</w:t>
      </w:r>
    </w:p>
    <w:p>
      <w:pPr>
        <w:spacing w:after="0" w:line="57"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7"/>
          <w:szCs w:val="17"/>
          <w:color w:val="auto"/>
        </w:rPr>
        <w:t>The success of our business depends, in part, on our ability to maintain our level of sales and product distribution through the club, FDM, eCommerce, specialty and convenience channels. The competition to supply products to these high-volume customers is intense. Currently, we do not have material long-term supply agreements with our customers, and our customers frequently reevaluate the products they carry. A decision by our major customers to decrease the amount of product purchased from us, including in response to shifts in consumer purchasing or traffic trends, sell another brand on an exclusive or priority basis or change the manner of doing business with us could reduce our revenues and materially adversely affect our business, financial condition, results of operations and cash flows. Our customers also may offer branded and private label products that compete directly with our products for retail shelf space and consumer purchases. Accordingly, there is a risk that our customers may give higher priority to their own products or to the products of our competitors. In the event of a loss of any of our large customers, a significant reduction of purchases by any of our large customers or the bankruptcy or serious financial difficulty of any of our large customers, our business, financial condition, results of operations and cash flows may be adversely affected.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Fluctuations in our business due to changes in our promotional activities and seasonality may have an adverse impact on our financial condition, results of operations and cash flows.</w:t>
      </w:r>
    </w:p>
    <w:p>
      <w:pPr>
        <w:spacing w:after="0" w:line="5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periodically offer a variety of sales and promotional incentives to our customers and consumers. Our net sales and profitability are impacted by the introduction and discontinuance of such sales and promotion incentives. In addition, we have experienced and expect to continue to experience fluctuations in our quarterly results of operations due to the seasonal nature of our business. Seasonality could cause our results of operations for an interim financial period to fluctuate and not be indicative of our full year results. Seasonality also impacts relative revenue and profitability of each quarter of the year, both on a quarter-to-quarter and year-over-year basis. If we fail to effectively manage our inventories, fluctuations in business as a result of promotional activities and seasonality may have an adverse impact on our financial condition, results of operations and cash flows.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operations subject us to additional risks.</w:t>
      </w:r>
    </w:p>
    <w:p>
      <w:pPr>
        <w:spacing w:after="0" w:line="11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are subject to a number of risks related to doing business internationally, any of which could significantly harm our financial and operational performance. These risks include:</w:t>
      </w:r>
    </w:p>
    <w:p>
      <w:pPr>
        <w:spacing w:after="0" w:line="57" w:lineRule="exact"/>
        <w:rPr>
          <w:sz w:val="20"/>
          <w:szCs w:val="20"/>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transfer of funds to and from foreign countries, including potentially negative tax consequences;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changes in tariffs, quotas, trade barriers or other export or import restrictions;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changes in local regulatory requirements that impact our ability to sell our products in that country;</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foreign exchange controls and currency exchange rates;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associated with cross-border product distribution;</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outbreak of a contagious disease, which may cause us or our distributors, third-party contract manufacturers, vendors or customers to temporarily suspend our or their respective operations in the affected city or country;</w:t>
      </w:r>
    </w:p>
    <w:p>
      <w:pPr>
        <w:spacing w:after="0" w:line="57" w:lineRule="exact"/>
        <w:rPr>
          <w:rFonts w:ascii="Times New Roman" w:cs="Times New Roman" w:eastAsia="Times New Roman" w:hAnsi="Times New Roman"/>
          <w:sz w:val="18"/>
          <w:szCs w:val="18"/>
          <w:color w:val="auto"/>
        </w:rPr>
      </w:pPr>
    </w:p>
    <w:p>
      <w:pPr>
        <w:ind w:left="640" w:right="20" w:hanging="316"/>
        <w:spacing w:after="0" w:line="274"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exposure to general market and economic conditions, political and economic uncertainty and volatility and other events, including social unrest, government shutdowns, terrorist activity, acts of war and travel restrictions, outside of the U.S.;</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U.S. laws and regulations affecting operations outside of the U.S., including anti-corruption regulations (such as the U.S. Foreign Corrupt Practices Act), and changes to such laws and regulations;</w:t>
      </w:r>
    </w:p>
    <w:p>
      <w:pPr>
        <w:spacing w:after="0" w:line="57" w:lineRule="exact"/>
        <w:rPr>
          <w:rFonts w:ascii="Times New Roman" w:cs="Times New Roman" w:eastAsia="Times New Roman" w:hAnsi="Times New Roman"/>
          <w:sz w:val="18"/>
          <w:szCs w:val="18"/>
          <w:color w:val="auto"/>
        </w:rPr>
      </w:pPr>
    </w:p>
    <w:p>
      <w:pPr>
        <w:jc w:val="both"/>
        <w:ind w:left="640" w:hanging="316"/>
        <w:spacing w:after="0" w:line="255"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treaties, antitrust and competition laws, data privacy laws (including the General Data Protection Regulation and the E.U.’s General Data Protection Regulation and the E.U.-U.S. Data Privacy Framework), anti-corruption laws (including the U.K. Bribery Act), food safety and marketing laws and other regulatory requirements and a variety of other local, national and multi-national regulations and laws in multiple jurisdictions and changes to such laws and regulations;</w:t>
      </w:r>
    </w:p>
    <w:p>
      <w:pPr>
        <w:spacing w:after="0" w:line="7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changes in foreign tax treaties and policies, changes in the mix of earnings in countries with differing statutory tax rates, changes in the valuation of deferred tax assets and liabilities, changes in tax laws or their interpretations or tax audit implications;</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difficulty and costs of maintaining effective data security;</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difficulty of enforcing intellectual property and contractual rights;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risk of uncollectible accounts and longer collection cycles;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changes in labor conditions and difficulties in staffing our operations; and</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difficulty and costs of designing and implementing an effective control environment across geographic regions.</w:t>
      </w:r>
    </w:p>
    <w:p>
      <w:pPr>
        <w:spacing w:after="0" w:line="111"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Our financial performance on a U.S. dollar denominated basis is subject to fluctuations in currency exchange rates. Because we have operations and assets in foreign jurisdictions, as well as a portion of our contracts and revenues denominated in foreign currencies, and our consolidated financial statements are presented in U.S. dollars, we must translate our foreign assets, liabilities, revenues and expenses into U.S. dollars at applicable exchange rates. Consequently, fluctuations in the value of foreign currencies relative to the U.S. dollar may negatively affect the value of these items in our consolidated financial statements. Our principal currency exposures are to the Canadian dollar and the Euro. To the extent we fail to manage our foreign currency exposure adequately, we may suffer losses in value of our net investment in a foreign operation, and our business, financial condition, results of operations and cash flows may be negatively affected.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market size and related estimates may prove to be inaccurate.</w:t>
      </w:r>
    </w:p>
    <w:p>
      <w:pPr>
        <w:spacing w:after="0" w:line="11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Data for the convenient nutrition category is collected for most, but not all, channels, and as a result, it is difficult to estimate the size of the market and predict the rate at which the market for our products will grow. We estimate the market size of the convenient nutrition category, including by geography, product form and consumer need state, based, in part, upon forecasts and information obtained from independent trade associations, industry publications and surveys and other independent sources, proprietary research studies and management’s knowledge of the industry. While these estimates are made in good faith and are based on assumptions and estimates we believe to be reasonable, they may not be accurate.</w:t>
      </w:r>
    </w:p>
    <w:p>
      <w:pPr>
        <w:spacing w:after="0" w:line="7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intellectual property rights are valuable and any inability to protect them, or termination of our material intellectual property licenses, could reduce the value of our products and brands and have a material adverse effect on our business.</w:t>
      </w:r>
    </w:p>
    <w:p>
      <w:pPr>
        <w:spacing w:after="0" w:line="54"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consider our intellectual property rights, particularly our trademarks, but also our patents, trade secrets, know-how and copyrights, to be a significant and valuable asset of our business. We attempt to protect our intellectual property rights through a combination of patent, trademark, copyright and trade secret laws, as well as third-party nondisclosure, confidentiality and assignment agreements and confidentiality provisions in third-party agreements and the policing of third party misuses of our intellectual property. Our failure or inability to obtain or maintain adequate protection of our intellectual property rights, or any change in law or other changes that serve to lessen or remove the current legal protections of intellectual property, may diminish our competitiveness and could materially harm our business. We also are subject to risks associated with protection of our trademarks and other intellectual property licensed to distributors of our products and of our trade secrets to our third-party contract manufacturers. If our licensed distributors or third-party contract manufacturers fail to protect our trademarks, trade secrets and other intellectual property, either intentionally or unintentionally, our business, financial condition, results of operations and cash flows may be adversely affected.</w:t>
      </w:r>
    </w:p>
    <w:p>
      <w:pPr>
        <w:spacing w:after="0" w:line="8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market certain of our products pursuant to intellectual property license agreements. These licenses give us the right to use certain names, characters and logos in connection with our products and to sell the products. If we were to breach any material term of these license agreements and not timely cure the breach, the licensor could terminate the agreement. If the licensor were to terminate our rights to use the names, characters and logos for this reason or any other reason, or if a licensor decided not to renew a license agreement upon the expiration of the license term, the loss of such rights could have a material adverse effect on our business.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be able to effectively manage our growth, which could materially harm our business, financial condition, results of operations and cash flows.</w:t>
      </w:r>
    </w:p>
    <w:p>
      <w:pPr>
        <w:spacing w:after="0" w:line="12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growth has placed, and we expect that our continued growth may place, a significant demand on our management, personnel, systems and resources. Our continued growth will require an increased investment by us in our third-party manufacturing relationships, personnel, technology, facilities and financial and management systems and controls, including monitoring and assuring our compliance with applicable regulations. We will need to integrate, train and manage a growing employee base. Unless our growth results in an increase in our revenues that is proportionate to the increase in our costs associated with this growth, our operating margins and profitability will be adversely affected. If we fail to effectively manage our growth, our business, financial condition, results of operations and cash flows could be materially harmed.</w:t>
      </w:r>
    </w:p>
    <w:p>
      <w:pPr>
        <w:spacing w:after="0" w:line="7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Technology failures, cybersecurity incidents and corruption of our data privacy protections could disrupt our operations and negatively impact our business.</w:t>
      </w:r>
    </w:p>
    <w:p>
      <w:pPr>
        <w:spacing w:after="0" w:line="54"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rely on information technology networks and systems to process, transmit and store operating and financial information, to manage and support a variety of business processes and activities and to comply with regulatory, legal and tax requirements. We also depend upon our information technology infrastructure for digital marketing activities and for electronic communications among our locations, personnel, customers, third-party contract manufacturers and suppliers. Our and our third-party manufacturing and distribution facilities and inventory management utilize information technology to increase efficiencies and control costs. Our and our third-party vendors’ information technology systems may be vulnerable to a variety of invasions, interruptions or malfunctions due to events beyond our or their control, including, but not limited to, natural disasters, terrorist attacks, telecommunications failures, power outages, computer viruses, ransomware and malware, hardware or software failures, cybersecurity incidents, hackers and other causes. Such invasions, interruptions or malfunctions could negatively impact our business.</w:t>
      </w:r>
    </w:p>
    <w:p>
      <w:pPr>
        <w:spacing w:after="0" w:line="8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If we do not allocate and effectively manage the resources necessary to build and sustain the proper technology infrastructure and to maintain and protect the related automated and manual control processes, or if one of our third-party service providers fails to provide the services we require, we could be subject to billing and collection errors, business disruptions or damage resulting from such events, particularly material security breaches and cybersecurity incidents. Cyberattacks and other cyber incidents are occurring more frequently, are constantly evolving in nature, are becoming more sophisticated and are being made by groups and individuals (including criminal hackers, hacktivists, state-sponsored institutions, terrorist organizations and individuals or groups participating in organized crime) with a wide range of expertise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and motives (including monetization of corporate, payment or other internal or personal data, theft of trade secrets and intellectual property for competitive advantage and leverage for political, social, economic and environmental reasons).</w:t>
      </w:r>
    </w:p>
    <w:p>
      <w:pPr>
        <w:spacing w:after="0" w:line="5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If any of our significant information technology systems suffers severe damage, disruption or shutdown, including by malicious or unintentional actions of contractors or employees or by cyber or ransomware attacks, and our business continuity plans do not effectively resolve the issues in a timely manner, our product sales, financial condition, results of operations and cash flows may be materially and adversely affected, and we could experience delays in reporting our financial results. In addition, there is a risk of business interruption, litigation and reputational damage from leaks of confidential or personal information. While we have insurance programs in place related to these matters, the potential liabilities associated with such events, or those that could arise in the future, could be excluded from coverage or, if covered, could exceed the coverage provided by such programs. Although we have not detected a material security breach or cybersecurity incident to date, we have been the target of events of this nature and expect them to continue.</w:t>
      </w:r>
    </w:p>
    <w:p>
      <w:pPr>
        <w:spacing w:after="0" w:line="8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also are subject to an evolving body of federal, state and foreign laws, regulations, guidelines and principles regarding data privacy, data protection and data security. Several states as well as foreign governments have laws and regulations regulating how businesses collect, use and protect personal information obtained from their data subjects, including the General Data Protection Regulation, the E.U.’s retained version of General Data Protection Regulation, and the California Consumer Privacy Act, as amended by the California Privacy Rights Act, and we could incur substantial fines, other penalties or litigation related to violations of such laws and regulations.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Climate change, or legal or market measures to address climate change, may negatively affect our business, reputation and operations.</w:t>
      </w:r>
    </w:p>
    <w:p>
      <w:pPr>
        <w:spacing w:after="0" w:line="115"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Increasing levels of carbon dioxide and other greenhouse gases in the atmosphere may have an adverse impact on global temperatures, weather patterns and the frequency and severity of extreme weather and natural disasters. If any of these climate changes has a negative effect on agricultural productivity, we may be subject to decreased availability or less favorable pricing for certain commodities that are necessary for our products, such as milk-based, whey-based and soy-based proteins, protein blends, sweeteners and vitamin and mineral blends. In addition, increases in the frequency and severity of extreme weather and natural disasters may result in damage and disruptions to our manufacturing operations and distribution channels or our third-party contract manufacturers’ operations, particularly where a product is primarily sourced from a single location. Also, the impacts of these climate changes may cause unpredictable water availability or exacerbate water scarcity. Water is critical to our business, and the lack of available water of acceptable quality may lead to, among other things, adverse effects on our operations. The increasing concern over climate change and related environmental sustainability matters also may result in more federal, state, local and foreign legal requirements to reduce or mitigate the effects of greenhouse gases or conserve and replenish water. If such laws are enacted, we may experience significant increases in our costs of operation and delivery. Further, our business could be adversely affected if we are unable to effectively address increased concerns from the media, stockholders and other stakeholders on climate change and related environmental sustainability and governance matters. In addition, any failure to achieve goals we may set with respect to reducing our impact on the environment or perception of a failure to act responsibly with respect to the environment can lead to adverse publicity, which could damage our reputation. As a result, climate change could negatively affect our business, financial condition, results of operations and cash flows.</w:t>
      </w:r>
    </w:p>
    <w:p>
      <w:pPr>
        <w:spacing w:after="0" w:line="8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pursue acquisitions or other strategic transactions, we may not be able to successfully consummate favorable transactions or successfully integrate acquired businesses.</w:t>
      </w:r>
    </w:p>
    <w:p>
      <w:pPr>
        <w:spacing w:after="0" w:line="5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From time to time, we may evaluate potential acquisitions or other strategic transactions. Evaluating potential transactions, including divestitures, requires additional expenditures (including legal, accounting and due diligence expenses, higher administrative costs to support the acquired entities and information technology, personnel and other integration expenses) and may divert the attention of our management from day-to-day operating matters. Companies or operations we acquire or joint ventures we enter into may not be profitable or may not achieve the anticipated profitability that justify our investments.</w:t>
      </w:r>
    </w:p>
    <w:p>
      <w:pPr>
        <w:spacing w:after="0" w:line="6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With respect to acquisitions, we may not be able to identify suitable candidates, consummate a transaction on terms that are favorable to us or achieve expected returns and other benefits as a result of integration challenges. The successful integration of acquisitions is complex and depends on our ability to manage the operations and personnel of the acquired businesses. Potential difficulties we may encounter as part of the integration process include, but are not limited to, the following: employees may voluntarily or involuntarily separate from employment with us or the acquired businesses because of the acquisitions; our management may have its attention diverted while trying to integrate the acquired businesses; we may encounter obstacles when incorporating the acquired businesses into our operations and management; we may be required to recognize impairment charges; and integration may be more costly or more time consuming and complex or less effective than anticipated. With respect to proposed divestitures of assets or businesses, we may encounter difficulty in finding acquirers or alternative exit strategies on terms that are favorable to us, which could delay the accomplishment of our strategic objectives, or our divestiture activities may require us to recognize impairment charges.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corporate development activities may present financial and operational risks and may have adverse effects on existing business relationships with suppliers and customers. Future acquisitions also could result in potentially dilutive issuances of equity securities, the incurrence of debt, contingent liabilities and depreciation and amortization expenses related to certain tangible and intangible assets and increased operating expenses, all of which could, individually or collectively, adversely affect our business, financial condition, results of operations and cash flows.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and Economic Risks</w:t>
      </w:r>
    </w:p>
    <w:p>
      <w:pPr>
        <w:spacing w:after="0" w:line="10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have substantial debt, which could have a negative impact on our financing options and liquidity position and which could adversely affect our business.</w:t>
      </w:r>
    </w:p>
    <w:p>
      <w:pPr>
        <w:spacing w:after="0" w:line="5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have a significant amount of debt. As of September 30, 2025, we had $1,090.0 million in aggregate principal amount of total debt. Additionally, our secured revolving credit facility has a remaining borrowing capacity of $247.6 million as of September 30, 2025.</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overall leverage and the terms of our financing arrangements could:</w:t>
      </w:r>
    </w:p>
    <w:p>
      <w:pPr>
        <w:spacing w:after="0" w:line="111" w:lineRule="exact"/>
        <w:rPr>
          <w:sz w:val="20"/>
          <w:szCs w:val="20"/>
          <w:color w:val="auto"/>
        </w:rPr>
      </w:pPr>
    </w:p>
    <w:p>
      <w:pPr>
        <w:jc w:val="both"/>
        <w:ind w:left="640" w:hanging="316"/>
        <w:spacing w:after="0" w:line="259"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obtain additional financing in the future for working capital, capital expenditures or acquisitions, to fund growth or for general corporate purposes, even when necessary to maintain adequate liquidity, particularly if any ratings assigned to our debt securities by ratings organizations were revised downward;</w:t>
      </w:r>
    </w:p>
    <w:p>
      <w:pPr>
        <w:spacing w:after="0" w:line="7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more difficult for us to satisfy the terms of our obligations under the terms of our financing arrangements;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refinance our indebtedness on terms acceptable to us, or at all;</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to plan for and to adjust to changing business and market conditions in the industries in which we operate and increase our vulnerability to general adverse economic and industry conditions;</w:t>
      </w:r>
    </w:p>
    <w:p>
      <w:pPr>
        <w:spacing w:after="0" w:line="57"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flow from operations to make interest and principal payments on our debt, thereby limiting the availability of our cash flow to fund future investments, capital expenditures, working capital, business activities and other general corporate requirements; and</w:t>
      </w:r>
    </w:p>
    <w:p>
      <w:pPr>
        <w:spacing w:after="0" w:line="7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us to higher levels of indebtedness than our competitors, which may cause a competitive disadvantage and may reduce our flexibility in responding to increased competition.</w:t>
      </w:r>
    </w:p>
    <w:p>
      <w:pPr>
        <w:spacing w:after="0" w:line="5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ability to pay expenses and satisfy debt service obligations will depend on our future performance, which will be affected by financial, business, economic and other factors, including the impact of pandemics and other outbreaks of contagious diseases, potential changes in consumer and customer preferences and behaviors, the success of product and marketing innovation and pressure from competitors. If we do not generate enough cash to pay our debt service obligations, we may be required to refinance all or part of our existing debt, sell assets, borrow more money or issue additional equity.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Despite our level of indebtedness, we may be able to incur substantially more debt, which could further exacerbate the risks related to our debt leverage.</w:t>
      </w:r>
    </w:p>
    <w:p>
      <w:pPr>
        <w:spacing w:after="0" w:line="11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may be able to incur significant additional indebtedness in the future. Although the financing arrangements governing our indebtedness contain restrictions on our ability to incur additional indebtedness, these restrictions are subject to a number of qualifications and exceptions, and the additional indebtedness that may be incurred in compliance with these restrictions could be substantial. These restrictions also may not prevent us from incurring certain obligations that may not constitute indebtedness under the documents governing our indebtedness.</w:t>
      </w:r>
    </w:p>
    <w:p>
      <w:pPr>
        <w:spacing w:after="0" w:line="7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The agreements governing our debt contain various covenants that limit our ability to take certain actions and also require us to meet financial maintenance tests, and failure to comply with these covenants could have a material adverse effect on us.</w:t>
      </w:r>
    </w:p>
    <w:p>
      <w:pPr>
        <w:spacing w:after="0" w:line="54"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Our financing arrangements contain restrictions, covenants and events of default that, among other things, require us to satisfy certain financial tests and maintain certain financial ratios and restrict our ability to incur additional indebtedness and to refinance our existing indebtedness. Financing arrangements which we enter into in the future could contain similar restrictions and additionally could require us to comply with similar, new or additional financial tests or to maintain similar, new or additional financial ratios. The terms of our financing arrangements, financing arrangements which we enter into in the future and any future indebtedness may impose various restrictions and covenants on us that could limit our ability to respond to market conditions, provide for capital investment needs or take advantage of business opportunities by limiting the amount of additional borrowings we may incur. These restrictions include compliance with, or maintenance of, certain financial tests and ratios and may limit or prohibit our ability to, among other things: borrow money or guarantee debt; create liens; pay dividends on or redeem or repurchase stock or other securities; make investments and acquisitions; enter into, or permit to exist, contractual limits on the ability of our subsidiaries to pay dividends to us; enter into new lines of business; enter into transactions with affiliates; and sell assets or merge with other companies.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Various risks, uncertainties and events beyond our control, including the impact of pandemics and other outbreaks of contagious diseases, could affect our ability to comply with these restrictions and covenants. Failure to comply with any of the restrictions and covenants in our existing or future financing arrangements could result in a default under those arrangements and under other arrangements that may contain cross-default provisions. Our credit agreement contains a covenant that requires us to maintain a total net leverage ratio (as defined in our credit agreement) not to exceed 6.00:1.00, as measured as of the last day of each fiscal quarter. A default would permit lenders to accelerate the maturity of the debt under these arrangements and to foreclose upon any collateral securing the debt. Under these circumstances, we might not have sufficient funds or other resources to satisfy all of our obligations. In addition, the limitations imposed by financing agreements on our ability to incur additional debt and to take other actions might significantly impair our ability to obtain other financing.</w:t>
      </w:r>
    </w:p>
    <w:p>
      <w:pPr>
        <w:spacing w:after="0" w:line="8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To service indebtedness and fund other cash needs, we will require a significant amount of cash. Our ability to generate cash depends on many factors beyond our control.</w:t>
      </w:r>
    </w:p>
    <w:p>
      <w:pPr>
        <w:spacing w:after="0" w:line="5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ability to pay principal and interest on our debt obligations and to fund any planned capital expenditures and other cash needs will depend in part upon the future financial and operating performance of our subsidiaries and upon our ability to renew or refinance borrowings. Prevailing economic conditions and financial, business, our future financial and operating performance, competitive, legislative, regulatory and other factors, many of which are beyond our control, including the impact of pandemics and other outbreaks of contagious diseases, will affect our ability to make these payments.</w:t>
      </w:r>
    </w:p>
    <w:p>
      <w:pPr>
        <w:spacing w:after="0" w:line="7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If we are unable to make payments, refinance our debt or obtain new financing under these circumstances, we may consider other options, including: sales of assets; sale of equity; reductions or delays of capital expenditures, strategic acquisitions, investments and alliances; or negotiations with our lenders to restructure the applicable debt.</w:t>
      </w:r>
    </w:p>
    <w:p>
      <w:pPr>
        <w:spacing w:after="0" w:line="7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business may not generate sufficient cash flow from operations, and future borrowings may not be available to us in an amount sufficient, to enable us to pay our indebtedness or to fund our other liquidity needs. We may need to refinance all or a portion of our indebtedness on or before maturity. We may not be able to refinance any of our debt on commercially reasonable terms, or at all.</w:t>
      </w:r>
    </w:p>
    <w:p>
      <w:pPr>
        <w:spacing w:after="0" w:line="6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Uncertain or unfavorable economic conditions, including during periods of high inflation, recessions or other economic disruption, could limit consumer and customer demand for our products, increase our costs or otherwise adversely affect us.</w:t>
      </w:r>
    </w:p>
    <w:p>
      <w:pPr>
        <w:spacing w:after="0" w:line="54"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The willingness of consumers to purchase our products depends in part on general or local economic conditions and consumers’ discretionary spending habits. For instance in each of the past four fiscal years, the U.S. experienced significantly heightened inflationary pressures. In periods of adverse or uncertain economic conditions, including during periods of high inflation or recession concerns, consumers may purchase less of our products, purchase more value or private label products or may forgo certain purchases altogether. In addition, our customers may seek to reduce their inventories in response to those economic conditions. In those circumstances, we could experience a reduction in sales. Further, during economic downturns, it may be more difficult to convince consumers to switch to, or continue to use, our brands or convince new users to choose our brands without expensive sampling programs and price promotions. Also, as a result of economic conditions, we may be unable to raise our prices sufficiently to protect profit margins. We experienced inflationary headwinds in our business during each of the past four fiscal years, and we expect certain inflationary pressures to continue into fiscal 2026. This trend could have a materially adverse impact in the future if inflation rates were to significantly exceed our ability to achieve price increases or cost savings. Further, uncertain or unfavorable economic conditions, has and could continue to negatively impact the financial stability of our customers or suppliers, which could lead to increased uncollectible receivables or non-performance. Current global geopolitical tensions, including related to Ukraine and Israel and the Middle East, may exacerbate any economic downturn and inflation. Any of these events could have an adverse effect on our business, financial condition, results of operations and cash flows.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Increases in interest rates may negatively affect our earnings.</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From time to time, including at September 30, 2025, we have debt outstanding with exposure to variable interest rates. As a result, we have in the past been and may in the future be adversely effected by rising interest rates, which will increase the cost of servicing our financial instruments with exposure to interest rate risk and could materially reduce our profitability and cash flows.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borrowing costs and access to capital and credit markets could be adversely affected by a downgrade or potential downgrade of our credit ratings.</w:t>
      </w:r>
    </w:p>
    <w:p>
      <w:pPr>
        <w:spacing w:after="0" w:line="11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Rating agencies routinely evaluate us, and their ratings of our long-term and short-term debt are based upon a number of factors, including our cash generating capability, levels of indebtedness, policies with respect to stockholder distributions and financial strength generally, as well as factors beyond our control, such as the then-current state of the economy and our industry generally. Any downgrade of our credit ratings by a credit rating agency, whether as a result of our actions or factors which are beyond our control, can increase our future borrowing costs, impair our ability to access capital and credit markets on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terms commercially acceptable to us or at all and result in a reduction in our liquidity. Our borrowing costs and access to capital markets also can be adversely affected if a credit rating agency announces that our ratings are under review for a potential downgrade. An increase in our borrowing costs, limitations on our ability to access the global capital and credit markets or a reduction in our liquidity can adversely affect our financial condition, results of operations and cash flows.</w:t>
      </w:r>
    </w:p>
    <w:p>
      <w:pPr>
        <w:spacing w:after="0" w:line="7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U.S. and global capital and credit market issues, including those that have arisen as a result of heightened inflation and recession or other economic concerns, could negatively affect our liquidity, increase our costs of borrowing and disrupt the operations of our suppliers and customers.</w:t>
      </w:r>
    </w:p>
    <w:p>
      <w:pPr>
        <w:spacing w:after="0" w:line="54"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U.S. and global credit markets have, from time to time, experienced significant dislocations and liquidity disruptions which caused the spreads on prospective debt financings to widen considerably. These circumstances materially impacted liquidity in the debt markets, making financing terms for borrowers less attractive and in certain cases resulted in the unavailability of certain types of debt financing. In fiscal 2025, the U.S. experienced certain inflationary pressures and we expect certain inflationary pressures to continue into fiscal 2026. This and other events affecting the credit markets also have had, and may in the future have, an adverse effect on other financial markets in the U.S., which may make it more difficult or costly for us to raise capital through the issuance of common stock or other equity securities or refinance our existing debt, sell our assets or borrow money, if necessary. Our business also could be negatively impacted if our suppliers or customers experience disruptions resulting from tighter capital and credit markets or a slowdown in the general economy. Any of these risks could impair our ability to fund our operations or limit our ability to expand our business or increase our interest expense, which could have a material adverse effect on our business, financial condition, results of operations and cash flows.</w:t>
      </w:r>
    </w:p>
    <w:p>
      <w:pPr>
        <w:spacing w:after="0" w:line="7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Impairment in the carrying value of intangible assets or other long-lived assets could negatively impact our financial condition and results of operations. If our goodwill or other intangible assets or other long-lived assets become impaired, we will be required to record impairment charges, which may be significant.</w:t>
      </w:r>
    </w:p>
    <w:p>
      <w:pPr>
        <w:spacing w:after="0" w:line="6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Our balance sheet includes intangible assets, including goodwill, trademarks, trade names, customer relationships, other acquired intangibles and other long-lived assets. Goodwill is expected to contribute indefinitely to our cash flows and is not amortized. Our management reviews it for impairment on an annual basis or whenever events or changes in circumstances indicate that its carrying value may be impaired. Impairments to intangible assets may be caused by factors outside of our control, such as increasing competitive pricing pressures, lower than expected revenue and profit growth rates, changes in industry earnings before interest, taxes, depreciation and amortization (“EBITDA”) and revenue multiples, changes in discount rates based on changes in cost of capital (interest rates, etc.) or the loss or bankruptcy of a significant customer. These factors, along with other internal and external factors, could have a significant negative impact on our fair value determination, which could then result in a material impairment charge recorded in our results of operations. No impairments were recorded in the years ended September 30, 2025, 2024 and 2023. However, we could have impairments in the future.</w:t>
      </w:r>
    </w:p>
    <w:p>
      <w:pPr>
        <w:spacing w:after="0" w:line="8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Unsuccessful implementation of business strategies to reduce costs, or unintended consequences of the implementation of such strategies, may adversely affect our business, financial condition, results of operations and cash flows.</w:t>
      </w:r>
    </w:p>
    <w:p>
      <w:pPr>
        <w:spacing w:after="0" w:line="5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Many of our costs, such as raw materials, packaging, freight and energy, are outside of our control. Therefore, we must seek to reduce costs in other areas, such as through operating efficiency. If we are not able to complete projects designed to reduce costs and increase operating efficiency on time or within budget, or if the implementation of these projects results in unintended consequences, such as business disruptions, distraction of management and employees or reduced productivity, our business, financial condition, results of operations and cash flows may be adversely impacted. In addition, if the cost-saving initiatives we have implemented, or any future cost-saving initiatives, do not generate the expected cost savings and synergies, our business, financial condition, results of operations and cash flows may be adversely affected.</w:t>
      </w:r>
    </w:p>
    <w:p>
      <w:pPr>
        <w:spacing w:after="0" w:line="7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we will continue to incur, additional fees, costs and expenses to create and maintain the corporate infrastructure to operate as a public company, and we have and we will continue to experience increased ongoing costs and expenses in connection with being a public company.</w:t>
      </w:r>
    </w:p>
    <w:p>
      <w:pPr>
        <w:spacing w:after="0" w:line="54"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7"/>
          <w:szCs w:val="17"/>
          <w:color w:val="auto"/>
        </w:rPr>
        <w:t>Prior to our IPO, our business had historically used some of Post’s corporate infrastructure and services to support our business functions. The expenses related to establishing and maintaining this infrastructure had been spread across all of Post’s businesses and charged to us on a cost-allocation basis. The services historically provided to us by Post included, but were not limited to, finance, information technology, legal, human resources, quality, supply chain and purchasing functions. Following our IPO, we continued to receive some of these services pursuant to a master services agreement with Post, and in connection with the Spin-off, we, Post, Old BellRing and BellRing LLC entered into an amended and restated master services agreement, which was further amended in fiscal 2023. Under the amended and restated master services agreement, Post continues to provide certain of the above described services, and, in general, the services to be provided by Post will continue for the periods specified in the amended and restated master services agreement, but not past March 2026, subject to any subsequent extension or earlier termination as agreed to by the parties. There can be no assurance that all of the functions provided to us by Post under the amended and restated master services agreement will be successfully executed by Post or that we will not have to</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expend significant efforts or costs materially in excess of those estimated in the master services agreement. Any interruption in these services could have a material adverse effect on our business, financial condition, results of operations and cash flows. In addition, upon termination of the amended and restated master services agreement, we will need to perform these functions ourselves or hire third parties to perform these functions on our behalf. There can be no assurance that the transition from Post to us of all of the functions provided to us by Post under the amended and restated master services agreement will be successfully executed. Specifically, effective internal control over financial reporting is necessary for us to provide reliable financial reports. If we fail to properly and efficiently transition and maintain effective internal control over financial reporting, we could fail to report our financial results accurately.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Actual operating results may differ significantly from our guidance and our forward-looking statements.</w:t>
      </w:r>
    </w:p>
    <w:p>
      <w:pPr>
        <w:spacing w:after="0" w:line="11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From time to time, we release guidance regarding our future performance. This guidance, which consists of forward-looking statements, is prepared by our management and is qualified by, and subject to, the assumptions and the other information contained or referred to in such release and the factors described under “Cautionary Statement on Forward-Looking Statements” in our current and periodic reports filed with the SEC. Our guidance is not prepared with a view toward compliance with published guidelines of the American Institute of Certified Public Accountants, and neither our independent registered public accounting firm nor any other independent expert or outside party has audited, reviewed, examined, compiled or applied agreed upon procedures with respect to the guidance and, accordingly, no such person expresses any opinion or any other form of assurance with respect thereto. The independent registered public accounting firm report included in this document relates to our historical financial statements. It does not extend to any guidance and should not be read to do so.</w:t>
      </w:r>
    </w:p>
    <w:p>
      <w:pPr>
        <w:spacing w:after="0" w:line="8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Guidance is based upon a number of assumptions and estimates that, although presented with numerical specificity, are inherently subject to business, economic and competitive uncertainties and contingencies, many of which are beyond our control and are based upon specific assumptions with respect to future business decisions, some of which will change. We generally state possible outcomes as high and low ranges which are intended to provide a sensitivity analysis as variables are changed but are not intended to represent that actual results could not fall outside of the suggested ranges. The principal reason that we release this data is to provide a basis for our management to discuss our business outlook with analysts and investors. We do not accept any responsibility for any projections or reports published by any such persons.</w:t>
      </w:r>
    </w:p>
    <w:p>
      <w:pPr>
        <w:spacing w:after="0" w:line="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Guidance is necessarily speculative in nature, and it can be expected that some or all of the assumptions of the guidance furnished by us will not materialize or will vary significantly from actual results. Accordingly, our guidance is only an estimate of what management believes is realizable as of the date of release. Actual results will vary from the guidance. Investors also should recognize that the reliability of any forecasted financial data diminishes the farther in the future that the data is forecast. In light of the foregoing, investors are urged to put the guidance in context and not to place undue reliance on it.</w:t>
      </w:r>
    </w:p>
    <w:p>
      <w:pPr>
        <w:spacing w:after="0" w:line="6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Any failure to successfully implement our operating strategy or the occurrence of any of the risks or uncertainties set forth in this report could result in actual operating results being different than the guidance, and such differences may be adverse and material.</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Relationship with Post</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overlapping directors and management with Post, which may lead to conflicting interests or the appearance of conflicting interests.</w:t>
      </w:r>
    </w:p>
    <w:p>
      <w:pPr>
        <w:spacing w:after="0" w:line="11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Certain of our officers and directors also serve as officers or directors of Post. Robert V. Vitale, who serves as Chairman of our Board of Directors, also serves as an officer and director of Post. Our officers and members of our Board of Directors have fiduciary duties to our stockholders. Likewise, any such persons who serve in similar capacities at Post have fiduciary duties to Post’s shareholders. Therefore, such persons may have conflicts of interest or the appearance of conflicts of interest with respect to matters involving or affecting us and Post. In addition, some of our officers or members of our Board of Directors may own equity or options to purchase equity in Post. Such ownership interests may create, or appear to create, conflicts of interest when the applicable individuals are faced with decisions that could have different implications for us and Post. The appearance of conflicts of interest created by such overlapping relationships also could impair the confidence of our investors.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could prevent us from benefiting from corporate opportunities that might otherwise have been available to us.</w:t>
      </w:r>
    </w:p>
    <w:p>
      <w:pPr>
        <w:spacing w:after="0" w:line="11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certificate of incorporation includes certain provisions regulating and defining the conduct of our affairs to the extent that they may involve Post and its directors, officers, employees, agents and affiliates and our rights, powers, duties and liabilities and those of our directors, officers, managers, employees and agents in connection with our relationship with Post. In general, and except as may be set forth in any agreement between us and Post, these provisions provide that Post and its affiliates may carry on and conduct any business of any kind, nature or description, whether or not such business is competitive with or in the same or similar lines of business as us; Post and its affiliates may do business with any of our customers, vendors and lessors; and Post and its affiliates may make investments in any kind of property in which we may make investments. In</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 these provisions provide that we renounce any interest or expectancy to participate in any business of Post or its affiliates.</w:t>
      </w:r>
    </w:p>
    <w:p>
      <w:pPr>
        <w:spacing w:after="0" w:line="1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Moreover, our certificate of incorporation provides that we renounce any interests or expectancy in corporate opportunities which become known to</w:t>
      </w:r>
    </w:p>
    <w:p>
      <w:pPr>
        <w:spacing w:after="0" w:line="24" w:lineRule="exact"/>
        <w:rPr>
          <w:sz w:val="20"/>
          <w:szCs w:val="20"/>
          <w:color w:val="auto"/>
        </w:rPr>
      </w:pPr>
    </w:p>
    <w:p>
      <w:pPr>
        <w:jc w:val="both"/>
        <w:ind w:firstLine="6"/>
        <w:spacing w:after="0" w:line="246" w:lineRule="auto"/>
        <w:tabs>
          <w:tab w:leader="none" w:pos="2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officers, managers, employees or agents who also are directors, officers, employees, agents or affiliates of Post or its affiliates (except that we and our subsidiaries are not deemed affiliates of Post or its affiliates for the purposes of the provision) or (ii) Post or its affiliates. Generally, neither Post nor our directors, officers, managers, employees or agents who also are directors, officers, employees, agents or affiliates of Post or its affiliates will be liable to us or our stockholders for breach of any fiduciary duty solely by reason of the fact that any such person pursues or acquires any corporate opportunity for the account of Post or its affiliates, directs, recommends or transfers such corporate opportunity to Post or its affiliates or does not offer or communicate information regarding such corporate opportunity to us because such person has directed or intends to direct such opportunity to Post or one of its affiliates. This renunciation does not extend to corporate opportunities expressly offered to one of our directors, officers, managers, employees or agents, solely in his or her capacity as a director, officer, manager, employee or agent of us.</w:t>
      </w:r>
    </w:p>
    <w:p>
      <w:pPr>
        <w:spacing w:after="0" w:line="8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These provisions in our certificate of incorporation will cease to apply at such time as none of the directors, officers, employees, agents or affiliates of Post serve as our directors, officers, managers, employees or agents. The corporate opportunity provision may exacerbate conflicts of interest between Post and us because the provision effectively permits one of our directors, officers, managers, employees or agents who also serves as a director, officer, employee, agent or affiliate of Post or its affiliates to choose to direct a corporate opportunity to Post or its affiliates instead of to us.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responsible for U.S. federal income tax liabilities that relate to the Spin-off.</w:t>
      </w:r>
    </w:p>
    <w:p>
      <w:pPr>
        <w:spacing w:after="0" w:line="115"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7"/>
          <w:szCs w:val="17"/>
          <w:color w:val="auto"/>
        </w:rPr>
        <w:t>The completion of the Spin-off by Post was conditioned on the receipt by Post of an opinion of a nationally recognized accounting firm or law firm (the “distribution tax counsel” and, together with BellRing tax counsel, “tax counsel”) to the effect that the Separation, together with certain contributions made by Post to us, should qualify as a tax-free “reorganization” within the meaning of Sections 368(a) and 355 of the Internal Revenue Code (the “Code”) and the</w:t>
      </w:r>
    </w:p>
    <w:p>
      <w:pPr>
        <w:spacing w:after="0" w:line="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Distribution should qualify as a tax-free distribution eligible for nonrecognition within the meaning of Sections 355 and 361 of the Code. The completion of the Spin-off was also conditioned on the receipt by us of an opinion of BellRing tax counsel to the effect that the merger of Merger Sub with and into Old BellRing qualified as a “reorganization” within the meaning of Section 368(a) of the Code or, alternatively, as a transaction qualifying for nonrecognition of gain and loss under Section 351 of the Code. An opinion of tax counsel is not binding on the U.S. Internal Revenue Service (the “IRS”). Accordingly, the IRS may reach conclusions with respect to the distribution that are different from the conclusions reached in the opinions, and any such differing conclusions may result in U.S. federal income tax liability. The opinions were based on certain factual statements and representations, which, if incomplete or untrue in any material respect, could alter tax counsel’s conclusions. We are not aware of any facts or circumstances that would cause any such factual statements or the opinion of tax counsel to be incomplete or untrue.</w:t>
      </w:r>
    </w:p>
    <w:p>
      <w:pPr>
        <w:spacing w:after="0" w:line="8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all or a portion of the Spin-off does not qualify as a tax-free transaction for any reason, including because any of the factual statements or representations in the legal opinions are incomplete or untrue, Post may recognize a substantial gain for U.S. federal income tax purposes, and we may incur indemnification or other liabilities to Post as a result.</w:t>
      </w:r>
    </w:p>
    <w:p>
      <w:pPr>
        <w:spacing w:after="0" w:line="68"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Even if the Distribution otherwise qualifies as a tax-free transaction for U.S. federal income tax purposes, the Distribution will be taxable to Post (but not to Post shareholders) pursuant to Section 355(e) of the Code if there are (or have been) one or more acquisitions (including issuances), directly or indirectly (including through acquisitions of such stock after the completion of the Transactions), of our stock or the stock of Post, representing 50 percent or more, measured by vote or value, of the stock of any such corporation and the acquisition or acquisitions are deemed to be part of a plan or series of related transactions that include the Distribution. The process for determining whether an acquisition is part of a plan under these rules is complex, inherently factual in nature, and subject to a comprehensive analysis of the facts and circumstances of the particular case. In general, any acquisition of our common stock within two years before or after the Distribution (with exceptions, including public trading by less-than-5 percent stockholders and certain compensatory stock issuances) generally will be presumed to be part of such a plan unless that presumption is rebutted. The resulting tax liability would be substantial. Pursuant to a tax matters agreement with Post, we have agreed to indemnify Post for any tax liabilities resulting from such transactions or other actions we take, and Post has agreed to indemnify us for any tax liabilities resulting from transactions entered into by Post.</w:t>
      </w:r>
    </w:p>
    <w:p>
      <w:pPr>
        <w:spacing w:after="0" w:line="8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addition, pursuant to the tax matters agreement, if and to the extent the Distribution does not qualify as a tax-free transaction, such failure to qualify as a tax-free transaction gives rise to adjustments to the tax basis of assets held by us and our subsidiaries, and we are not required to indemnify Post for any tax liabilities resulting from such failure to qualify as a tax-free transaction, then Post will be entitled to periodic payments from us equal to 85% of the tax savings arising from the aggregate increase to the tax basis of assets held by us and our subsidiaries resulting from such failure and Post and we will negotiate in good faith the terms of a tax receivable agreement to govern the calculation of such payments applying the principles of, and adhering as closely as practicable to, the existing tax receivable agreement between Post and BellRing. Payments under such</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tax receivable agreement may be substantial, and in certain cases may be accelerated or significantly exceed the actual benefits we realize in respect of the tax attributes subject to the tax receivable agreement.</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and Regulatory Risks</w:t>
      </w:r>
    </w:p>
    <w:p>
      <w:pPr>
        <w:spacing w:after="0" w:line="10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Violations of laws or regulations by us or our third-party contract manufacturers, as well as new laws or regulations or changes to existing laws or regulations, could adversely affect our business.</w:t>
      </w:r>
    </w:p>
    <w:p>
      <w:pPr>
        <w:spacing w:after="0" w:line="54"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Our business is subject to a variety of laws and regulations administered by federal, state and local government authorities in the U.S., as well as government authorities outside of the U.S., including requirements related to food safety, quality, manufacturing, processing, storage, marketing, advertising, labeling, distribution, environmental and worker health and workplace safety. Our activities, both inside and outside of the U.S., are subject to extensive regulation. In the U.S., we are regulated by, and our activities are affected by, among other federal, state and local authorities and regulations, the FDA, the USDA, the Federal Trade Commission, the Occupational Safety and Health Administration and Proposition 65. In Europe, we are regulated by, among other authorities, the U.K.’s Food Standards Agency, Health and Safety Executive, Environment Agency, Environmental Health, the Information Commissioners Office and the Trading Standards Office and their equivalents in E.U. member states. We also are regulated by similar authorities elsewhere in the world where our products are distributed.</w:t>
      </w:r>
    </w:p>
    <w:p>
      <w:pPr>
        <w:spacing w:after="0" w:line="8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Governmental regulations also affect taxes and levies, tariffs, import and export restrictions, healthcare costs, energy usage, data privacy and immigration and labor issues, any or all of which may have a direct or indirect effect on our business or the businesses of our customers, suppliers or third-party contract manufacturers. In addition, we could be the target of claims relating to alleged false or deceptive advertising under federal, state and foreign laws and regulations. We also may be impacted by changes to administrative policies, such as business restrictions, tariffs and trade agreements, in markets in which we manufacture, sell or distribute our products.</w:t>
      </w:r>
    </w:p>
    <w:p>
      <w:pPr>
        <w:spacing w:after="0" w:line="7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impact of current laws and regulations, changes in, or changes in interpretations of, these laws or regulations or the introduction of new laws or regulations could increase the costs of doing business for us or our customers or suppliers or third-party contract manufacturers, causing our business, financial condition, results of operations and cash flows to be adversely affected. Further, if we are found to be out of compliance with applicable laws and regulations in these areas, we could be subject to civil remedies, including fines, revocations of required licenses, detention, seizure, injunctions or recalls, as well as potential criminal sanctions, any or all of which could have a material adverse effect on our business, financial condition, results of operations and cash flows.</w:t>
      </w:r>
    </w:p>
    <w:p>
      <w:pPr>
        <w:spacing w:after="0" w:line="79"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It also is possible that federal, state, local or foreign enforcement authorities might take regulatory or enforcement action, which could result in significant fines or penalties</w:t>
      </w:r>
      <w:r>
        <w:rPr>
          <w:rFonts w:ascii="Times New Roman" w:cs="Times New Roman" w:eastAsia="Times New Roman" w:hAnsi="Times New Roman"/>
          <w:sz w:val="18"/>
          <w:szCs w:val="18"/>
          <w:color w:val="212529"/>
        </w:rPr>
        <w:t>, revocations of required licenses or injunctions, as well as potential criminal sanctions</w:t>
      </w:r>
      <w:r>
        <w:rPr>
          <w:rFonts w:ascii="Times New Roman" w:cs="Times New Roman" w:eastAsia="Times New Roman" w:hAnsi="Times New Roman"/>
          <w:sz w:val="18"/>
          <w:szCs w:val="18"/>
          <w:color w:val="auto"/>
        </w:rPr>
        <w:t xml:space="preserve">. If we are found to be significantly out of compliance, an enforcement authority could issue a warning letter and/or institute enforcement actions that could result in additional costs, substantial delays in production or even a temporary shutdown in manufacturing and product sales. Also, we may have to recall product or otherwise remove product from the market, and temporarily cease its manufacture and distribution, which would increase our costs and reduce our revenues. Any product liability claims resulting from the failure to comply with applicable laws and regulations would be expensive to defend and could result in substantial damage awards against us or harm our reputation. </w:t>
      </w:r>
      <w:r>
        <w:rPr>
          <w:rFonts w:ascii="Times New Roman" w:cs="Times New Roman" w:eastAsia="Times New Roman" w:hAnsi="Times New Roman"/>
          <w:sz w:val="18"/>
          <w:szCs w:val="18"/>
          <w:color w:val="212529"/>
        </w:rPr>
        <w:t>Any of these events would negatively impact our revenues and costs of operations.</w:t>
      </w:r>
    </w:p>
    <w:p>
      <w:pPr>
        <w:spacing w:after="0" w:line="8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also may be impacted by changes to administrative policies, such as business restrictions, tariffs and trade agreements, in markets in which we or our third-party contract manufacturers manufacture, sell or distribute our products.</w:t>
      </w:r>
    </w:p>
    <w:p>
      <w:pPr>
        <w:spacing w:after="0" w:line="5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Certain of our products are subject to a higher level of regulatory scrutiny, resulting in increased costs of operations and the potential for delays in product sales.</w:t>
      </w:r>
    </w:p>
    <w:p>
      <w:pPr>
        <w:spacing w:after="0" w:line="5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Certain of our products are regulated by the FDA as dietary supplements, which are subject to FDA regulations and levels of regulatory scrutiny different from those applicable to conventional food. Internationally, the convenient nutrition category is regulated as food and dietary supplements. Such heightened regulatory scrutiny results in increased costs of operations and the potential for delays in product sales. In addition, there is some risk that product classifications could be changed by the regulators, which could result in significant fines, penalties, discontinued distribution and relabeling costs. Any of these events would negatively impact our revenues and costs of operations.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Pending and future litigation and claims may impair our reputation or lead us to incur significant costs.</w:t>
      </w:r>
    </w:p>
    <w:p>
      <w:pPr>
        <w:spacing w:after="0" w:line="11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are, or may become, party to various lawsuits and claims arising in the normal course of business, which may include lawsuits or claims relating to contracts, third-party contract manufacturers, intellectual property infringement, product recalls, product liability, false or deceptive advertising, employment matters, environmental matters or other aspects of our business. Lawsuits filed against food and beverage companies alleging deceptive advertising and labeling and those alleging noncompliance with food ingredient and packaging requirements continue to increase. In addition, actions we have taken or may take, or decisions we have made or may make, may result in legal claims or litigation against us. Negative publicity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 xml:space="preserve">resulting from allegations made in lawsuits or claims asserted against us, whether or not valid, may adversely affect our reputation. In addition, we may be required to pay damage awards or settlements, become subject to injunctions or other equitable remedies, be required to modify our business processes, practices or products or be required to stop selling certain of our products. For instance, one of our operating subsidiaries, Premier Nutrition, LLC, is a defendant in several class action lawsuits related to its </w:t>
      </w:r>
      <w:r>
        <w:rPr>
          <w:rFonts w:ascii="Times New Roman" w:cs="Times New Roman" w:eastAsia="Times New Roman" w:hAnsi="Times New Roman"/>
          <w:sz w:val="17"/>
          <w:szCs w:val="17"/>
          <w:i w:val="1"/>
          <w:iCs w:val="1"/>
          <w:color w:val="auto"/>
        </w:rPr>
        <w:t>Joint Juice</w:t>
      </w:r>
      <w:r>
        <w:rPr>
          <w:rFonts w:ascii="Times New Roman" w:cs="Times New Roman" w:eastAsia="Times New Roman" w:hAnsi="Times New Roman"/>
          <w:sz w:val="17"/>
          <w:szCs w:val="17"/>
          <w:color w:val="auto"/>
        </w:rPr>
        <w:t xml:space="preserve"> product, which it discontinued in the first quarter of fiscal 2023. At September 30, 2025, we had accrued $90.0 million related to these matters. In addition, intellectual property infringement litigation or claims could cause us to cease making, licensing or using products that incorporate the challenged intellectual property, require us to redesign or rebrand our products or packaging, if feasible, or require us to enter into royalty or licensing agreements in order to obtain the right to use a third party’s intellectual property. Any or all of these consequences could have a material adverse effect on our financial condition, results of operations and cash flows. The outcome of litigation is often difficult to predict, and the outcome of pending or future litigation may have a material adverse effect on our business, financial condition, results of operations and cash flows.</w:t>
      </w:r>
    </w:p>
    <w:p>
      <w:pPr>
        <w:spacing w:after="0" w:line="7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Although we have various insurance programs in place, the potential liabilities associated with lawsuits and claims could be excluded from coverage or, if covered, could exceed the coverage provided by such programs. In addition, insurance carriers may seek to rescind or deny coverage with respect to pending or future claims or lawsuits. If we do not have sufficient coverage under our policies, or if coverage is denied, we may be required to make material payments to settle litigation or satisfy any judgment. Any of these consequences could have a material adverse effect on our business, financial condition, results of operations and cash flows.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environmental laws and regulations that can impose significant costs and expose us to potential financial liabilities.</w:t>
      </w:r>
    </w:p>
    <w:p>
      <w:pPr>
        <w:spacing w:after="0" w:line="11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and our third-party contract manufacturers and other vendors and suppliers are subject to extensive federal, state, local and foreign laws and regulations relating to the protection of human health and the environment, including those limiting the discharge and release of pollutants into the environment and those regulating the transport, storage, disposal and remediation of, and exposure to, solid and hazardous wastes. Certain environmental laws and regulations can impose joint and several liability without regard to fault on responsible parties, including past and present owners and operators of sites, related to cleaning up sites at which hazardous materials were disposed of or released. Failure to comply with environmental laws and regulations could result in severe fines and penalties by governments or courts of law. In addition, future laws may more stringently regulate the emission of greenhouse gases, particularly carbon dioxide and methane.</w:t>
      </w:r>
    </w:p>
    <w:p>
      <w:pPr>
        <w:spacing w:after="0" w:line="8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Future events, such as new or more stringent environmental laws and regulations, new environmental claims, the discovery of currently unknown environmental conditions requiring responsive action or more vigorous interpretations or enforcement of existing environmental laws and regulations, might require us to incur additional costs that could have a material adverse effect on our business, financial condition, results of operations and cash flows.</w:t>
      </w:r>
    </w:p>
    <w:p>
      <w:pPr>
        <w:spacing w:after="0" w:line="6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Increasing scrutiny and evolving expectations and in some cases conflicting expectations from customers, suppliers, regulators, investors, and other stakeholders with respect to our environmental, social and governance (“ESG”) practices may impose additional costs on us or expose us to new or additional risks.</w:t>
      </w:r>
    </w:p>
    <w:p>
      <w:pPr>
        <w:spacing w:after="0" w:line="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Companies are facing increasing scrutiny from regulators, investors, customers, suppliers and other stakeholders related to their ESG practices. Investor advocacy groups, investment funds and influential investors are increasingly focused on these practices. Also, customers and suppliers may impose ESG-related requirements as a condition to doing business with us. Our need to comply with new or more stringent ESG-related laws or regulations or ESG-related requirements of customers, suppliers, regulators or other third parties could increase our overall operational costs.</w:t>
      </w:r>
    </w:p>
    <w:p>
      <w:pPr>
        <w:spacing w:after="0" w:line="74"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Failure to adapt to or comply with legal or regulatory requirements or investor or other stakeholder expectations and standards, or our failure to meet our own ESG-related targets or goals that we publish, could expose us to increased scrutiny from the investment community as well as governmental enforcement or private litigation. Similarly, our inability to meet any ESG-related conditions of customers or suppliers or other companies that we seek to do business with could have a material adverse impact on our ability to initiate or maintain business relationships with these parties. Any failure or perceived failure by us in this regard could have a material adverse effect on our reputation and on our business, financial condition, results of operations and cash flows.</w:t>
      </w:r>
    </w:p>
    <w:p>
      <w:pPr>
        <w:spacing w:after="0" w:line="62"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contrast to the legal, regulatory and stakeholder expectations described above, in recent years, a change in sentiment against certain ESG matters has also gained momentum across the United States at national, state and local levels, referred to by some as “anti-ESG” efforts, with several states and policymakers having proposed or enacted anti-ESG policies, legislation or initiatives. Anti-ESG policies, legislation, initiatives, litigation, legal decisions and scrutiny could result in investigations, litigation or enforcement actions against us by governments, regulators or private parties. Although we believe our ESG-related policies and practices are materially compliant with applicable laws, regulations, and orders, there can be no assurance that a governmental or private party will not challenge them. The assertion of claims and ensuing investigations, litigation,</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enforcement actions or other legal proceedings, regardless of their merit or outcome, could result in substantial cost to us, divert management’s time and attention from operations, damage our reputation and harm our business. However, efforts we might take to mitigate these risks could run contrary to conflicting expectations of other stakeholders as described above and similarly harm our reputation and business.</w:t>
      </w:r>
    </w:p>
    <w:p>
      <w:pPr>
        <w:spacing w:after="0" w:line="72"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make statements about our targets, goals and initiatives relating to ESG matters, including particularly climate change and sustainability, through our Impact Report, our other non-financial reports, information provided on our website and other communications. The forward-looking statements we make regarding climate change and sustainability reflect our plans and aspirations but are not guarantees that we will achieve them. These statements are based on estimates, assumptions and predictions and rely on data and analytics from third parties that we do not control and cannot independently. Pursuing these goals and initiatives involves risks and uncertainties and may require substantial investments. Our failure, or perceived failure, to accomplish or accurately track and report on our ESG goals, further our ESG initiatives, or adhere to our other public ESG-related statements could adversely affect our reputation, expose us to increased scrutiny from the investment community, and lead to governmental enforcement or private litigation, any of which could have a material adverse effect on our reputation and on our business, financial condition, or results of operations.</w:t>
      </w:r>
    </w:p>
    <w:p>
      <w:pPr>
        <w:spacing w:after="0" w:line="84"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Standards for tracking and reporting ESG matters, particularly in regards to climate change and sustainability, continue to evolve. Our use of disclosure frameworks and standards, and the interpretation or application of those frameworks and standards, may change from time to time or differ from those of others. This may result in a lack of consistent or meaningful comparative data from period to period or between us and other companies in the same industry. In addition, our processes and controls may not comply with evolving standards for identifying, measuring and reporting ESG metrics, including ESG-related disclosures that may be required by regulators, and such standards may change over time, which could result in significant revisions to our current goals, reported progress in achieving such goals, or ability to achieve such goals in the future. Lastly, our reported climate and sustainability metrics are developed with the assistance of third parties in part based on their proprietary analytics of our business, which we cannot independently verify. Any failure or perceived failure by us to accurately report ESG-related metrics or targets, whether legally mandated or voluntarily disclosed, could have a material adverse effect on our reputation and on our business, financial condition, or results of operations.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and trading volume of our common stock may be volatile.</w:t>
      </w:r>
    </w:p>
    <w:p>
      <w:pPr>
        <w:spacing w:after="0" w:line="11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market price of our common stock could fluctuate significantly for many reasons, including in response to the risks and uncertainties discussed in this report or for reasons unrelated to our specific performance, such as reports by industry analysts, our failure to meet analysts’ earnings estimates, investor perceptions, or negative developments relating to our customers, competitors or suppliers, as well as general economic and industry conditions. 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declare or pay any dividends on our common stock for the foreseeable future.</w:t>
      </w:r>
    </w:p>
    <w:p>
      <w:pPr>
        <w:spacing w:after="0" w:line="11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may retain future earnings, if any, for future operations, expansion and debt repayment. We have not paid cash dividends to date and have no current plans to pay any cash dividends for the foreseeable future. Consequently, our stockholders must rely on sales of their shares of our common stock after price appreciation, which may never occur, as the only way to realize any future gains on their investment. Any future determination to pay dividends, including timing and amount, will be at the discretion of our Board of Directors and subject to, among other things, our compliance with applicable law, and depend on, among other things, our results of operations, financial condition, level of indebtedness, capital requirements, contractual restrictions, restrictions in our debt agreements, business prospects and other factors that our Board of Directors may deem relevant. Our ability to pay dividends depends on our receipt of cash dividends from our operating subsidiaries and our ability to pay dividends may be further restricted as a result of the laws of our subsidiaries’ jurisdictions of organization or their agreements, including agreements governing indebtedness.</w:t>
      </w:r>
    </w:p>
    <w:p>
      <w:pPr>
        <w:spacing w:after="0" w:line="8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and bylaws and provisions of Delaware law may discourage or prevent strategic transactions, including a takeover of the Company, even if such a transaction would be beneficial to our stockholders.</w:t>
      </w:r>
    </w:p>
    <w:p>
      <w:pPr>
        <w:spacing w:after="0" w:line="5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Provisions contained in our certificate of incorporation and bylaws and provisions of the General Corporation Law of the State of Delaware (the “DGCL”) could delay or prevent a third party from entering into a strategic transaction with us, as applicable, even if such transaction would benefit our stockholders. For example, our certificate of incorporation and bylaws:</w:t>
      </w:r>
    </w:p>
    <w:p>
      <w:pPr>
        <w:spacing w:after="0" w:line="72" w:lineRule="exact"/>
        <w:rPr>
          <w:sz w:val="20"/>
          <w:szCs w:val="20"/>
          <w:color w:val="auto"/>
        </w:rPr>
      </w:pPr>
    </w:p>
    <w:p>
      <w:pPr>
        <w:ind w:left="640" w:hanging="316"/>
        <w:spacing w:after="0" w:line="274"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our 2027 annual meeting, at which time the classification of our Board of Directors will sunset, divide the members of the Board of Directors into three classes with staggered three-year terms, which may delay or prevent a change of our management or a change on control;</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40" w:hanging="316"/>
        <w:spacing w:after="0" w:line="274"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“blank-check” preferred stock that could be issued by us upon approval of the Board of Directors to increase the number of outstanding shares of capital stock, making a takeover more difficult and expensive;</w:t>
      </w:r>
    </w:p>
    <w:p>
      <w:pPr>
        <w:spacing w:after="0" w:line="57" w:lineRule="exact"/>
        <w:rPr>
          <w:rFonts w:ascii="Times New Roman" w:cs="Times New Roman" w:eastAsia="Times New Roman" w:hAnsi="Times New Roman"/>
          <w:sz w:val="18"/>
          <w:szCs w:val="18"/>
          <w:color w:val="auto"/>
        </w:rPr>
      </w:pPr>
    </w:p>
    <w:p>
      <w:pPr>
        <w:ind w:left="640" w:hanging="316"/>
        <w:spacing w:after="0" w:line="304" w:lineRule="auto"/>
        <w:tabs>
          <w:tab w:leader="none" w:pos="63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that directors may be removed from office only for cause and that any vacancy or newly created directorships on the Board of Directors may only be filled by a majority of directors then in office, which may make it difficult for other stockholders to reconstitute the Board of Directors;</w:t>
      </w:r>
    </w:p>
    <w:p>
      <w:pPr>
        <w:spacing w:after="0" w:line="34" w:lineRule="exact"/>
        <w:rPr>
          <w:rFonts w:ascii="Times New Roman" w:cs="Times New Roman" w:eastAsia="Times New Roman" w:hAnsi="Times New Roman"/>
          <w:sz w:val="17"/>
          <w:szCs w:val="17"/>
          <w:color w:val="auto"/>
        </w:rPr>
      </w:pPr>
    </w:p>
    <w:p>
      <w:pPr>
        <w:ind w:left="640" w:hanging="316"/>
        <w:spacing w:after="0" w:line="274"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special meetings of the stockholders may be called only upon the request of a majority of the Board of Directors or by the chairman of the Board of Directors or the chief executive officer;</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and require that any action to be taken by stockholders be taken at an annual or special meeting of stockholders; and</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advance notice to be given by stockholders for any stockholder proposals or director nominees.</w:t>
      </w:r>
    </w:p>
    <w:p>
      <w:pPr>
        <w:spacing w:after="0" w:line="11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These restrictions and provisions could keep us from pursuing relationships with strategic partners and from raising additional capital, which could impede our ability to expand our business and strengthen our competitive position. These restrictions could also limit stockholder value by impeding a sale of the Company.</w:t>
      </w:r>
    </w:p>
    <w:p>
      <w:pPr>
        <w:spacing w:after="0" w:line="7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certificate of incorporation provides that the Court of Chancery of the State of Delaware (the “Court of Chancery”) (or, if the Court of Chancery does not have subject matter jurisdiction, the federal district court for the State of Delaware) is the exclusive forum for the following types of actions or proceedings under Delaware statutory or common law:</w:t>
      </w:r>
    </w:p>
    <w:p>
      <w:pPr>
        <w:spacing w:after="0" w:line="72" w:lineRule="exact"/>
        <w:rPr>
          <w:sz w:val="20"/>
          <w:szCs w:val="20"/>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breach of fiduciary duty;</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arising pursuant to the DGCL; and</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that is governed by the internal affairs doctrine.</w:t>
      </w:r>
    </w:p>
    <w:p>
      <w:pPr>
        <w:spacing w:after="0" w:line="111"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7"/>
          <w:szCs w:val="17"/>
          <w:color w:val="auto"/>
        </w:rPr>
        <w:t>This provision would not apply to suits brought to enforce a duty or liability created by the Exchange Act, for which the U.S. federal courts have exclusive jurisdiction. Section 22 of the Securities Act creates concurrent jurisdiction for federal and state courts over all Securities Act actions. Accordingly, both state and federal courts have jurisdiction to entertain such claims. However, our certificate of incorporation also provides that U.S. federal courts will, to the fullest extent permitted by law, be the sole and exclusive forum for the resolution of any complaint asserting a cause of action or proceeding arising under the Securities Act. While the Delaware courts have determined that choice of forum provisions are facially valid, a stockholder may nevertheless seek to bring a claim in a venue other than that designated in the Company’s exclusive forum provision. Although our certificate of incorporation contains the exclusive forum provision described above, it is possible that a court could find that such a provision is inapplicable for a particular claim or action or that such provision is unenforceable. The exclusive forum provision shall not relieve us of our duties to comply with the federal securities laws and the rules and regulations thereunder, and our stockholders will not be deemed to have waived our compliance with these laws, rules and regulations.</w:t>
      </w:r>
    </w:p>
    <w:p>
      <w:pPr>
        <w:spacing w:after="0" w:line="7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This choice of forum provision may limit a stockholder’s ability to bring a claim in a judicial forum that it finds favorable for disputes with the Company or its directors, officers, or other employees and may discourage these types of lawsuits. Alternatively, if a court were to find the choice of forum provision contained in our certificate of incorporation to be inapplicable or unenforceable in an action, we may incur additional costs associated with resolving such action in other jurisdictions.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10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may adversely affect us, and the IRS or a court may disagree with our tax positions, which may result in adverse effects on our business, financial condition, results of operations and cash flows.</w:t>
      </w:r>
    </w:p>
    <w:p>
      <w:pPr>
        <w:spacing w:after="0" w:line="5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There can be no assurance that future tax law changes will not increase the rate of the corporate income tax significantly; impose new limitations on deductions, credits or other tax benefits; or make other changes that may adversely affect the performance of an investment in our stock. Furthermore, there is no assurance that the IRS or a court will agree with the positions taken by us, in which case tax penalties and interest may be imposed that could adversely affect our business, financial condition, results of operations and cash flows.</w:t>
      </w:r>
    </w:p>
    <w:p>
      <w:pPr>
        <w:spacing w:after="0" w:line="7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operate successfully if we are unable to recruit, hire, retain and develop key personnel and a qualified and diverse workforce. In addition, temporary workforce disruptions or the inability of our employees to safely perform their jobs for any reason, including as a result of illness, could adversely impact our business,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We depend upon the skills, working relationships and continued services of key personnel, including our senior management team. In addition, our ability to achieve our operating goals depends upon our ability to recruit, hire, retain and develop qualified and diverse personnel to operate and expand our business. We compete with other companies both within and outside of our industry for talented personnel. If we lose key personnel, or one or more members of our senior management team, and we fail to develop adequate succession plans, or if we fail to hire, retain and develop a sufficient number of qualified and diverse employees to operate and expand our business, our business, financial condition, results of operations and cash flows could be harmed.</w:t>
      </w:r>
    </w:p>
    <w:p>
      <w:pPr>
        <w:spacing w:after="0" w:line="6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business is dependent upon our employees being able to safely perform their jobs. If we experience workforce disruptions or periods where our employees are unable to safely perform their jobs for any reason, including as a result of illness or restrictions put in place by governmental authorities, our business, financial condition, results of operations and cash flows could be adversely affected.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Increases in labor-related costs, including costs of medical and other employee health and welfare benefits, may reduce our profitability.</w:t>
      </w:r>
    </w:p>
    <w:p>
      <w:pPr>
        <w:spacing w:after="0" w:line="11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Inflationary pressures and shortages in the labor market have increased, and could continue to increase, our labor costs, which could negatively impact our profitability. With approximately 530 employees as of November 1, 2025, our profitability may be substantially affected by costs of medical and other health and welfare benefits for these employees. Although we try to control these costs, they can vary because of changes in healthcare laws and claims experience, which have the potential to increase the cost of providing medical and other employee health and welfare benefits. Any substantial increase could negatively affect our profitability.</w:t>
      </w:r>
    </w:p>
    <w:p>
      <w:pPr>
        <w:spacing w:after="0" w:line="7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continue to satisfy the requirements of Section 404 of the Sarbanes-Oxley Act, or our internal control over financial reporting is not effective, the reliability of our financial statements may be questioned, and the price of our common stock could suffer.</w:t>
      </w:r>
    </w:p>
    <w:p>
      <w:pPr>
        <w:spacing w:after="0" w:line="5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Section 404 of the Sarbanes-Oxley Act of 2002 (“SOX”) requires any company subject to the reporting requirements of the U.S. securities laws to do a comprehensive evaluation of its and its consolidated subsidiaries’ internal control over financial reporting. To comply with this statute, we are required to document and test our internal control procedures, our management is required to assess and issue a report concerning our internal control over financial reporting and our independent registered public accounting firm is required to issue an opinion on its audit of our internal control over financial reporting.</w:t>
      </w:r>
    </w:p>
    <w:p>
      <w:pPr>
        <w:spacing w:after="0" w:line="7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rules governing the standards that must be met for management to assess our internal control over financial reporting are complex and require significant documentation, testing and possible remediation to meet the detailed standards under the rules. During the course of its testing, our management may identify material weaknesses or significant deficiencies which may not be remedied in time to meet the deadlines imposed by SOX and SEC rules. If our management cannot favorably assess the effectiveness of our internal control over financial reporting or our independent registered public accounting firm identifies material weaknesses in our internal controls, investor confidence in our financial results may weaken and the price of our common stock may suffer. In addition, in the event we do not maintain effective internal control over financial reporting, we might fail to timely prevent or detect potential financial misstatements. As of September 30, 2025, management determined that our internal control over financial reporting was effective.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Actions of stockholders could cause us to incur substantial costs, divert management’s attention and resources and have an adverse effect on our business.</w:t>
      </w:r>
    </w:p>
    <w:p>
      <w:pPr>
        <w:spacing w:after="0" w:line="12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may, from time to time, be subject to proposals and other requests from stockholders urging us to take certain corporate actions, including proposals seeking to influence our corporate policies or effect a change in our management. In the event of such stockholder proposals, particularly with respect to matters which our management and Board of Directors, in exercising their fiduciary duties, disagree with or have determined not to pursue, our business could be adversely affected because responding to actions and requests of stockholders can be costly and time-consuming, disrupting our operations and diverting the attention of management and our employees. Additionally, perceived uncertainties as to our future direction may result in the loss of potential business opportunities and may make it more difficult to attract and retain qualified personnel, business partners and customers.</w:t>
      </w:r>
    </w:p>
    <w:p>
      <w:pPr>
        <w:spacing w:after="0" w:line="183"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and Leadership</w:t>
      </w:r>
    </w:p>
    <w:p>
      <w:pPr>
        <w:spacing w:after="0" w:line="11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enterprise risk management framework addresses cybersecurity risk along with other risks as part of our overall enterprise risk management process. We maintain a comprehensive information technology, data governance and cybersecurity program that leverages people, processes and technology to support our information technology systems and detect, identify, prevent, defend against and mitigate information technology and data security risks. Our cybersecurity program is aligned with the National Institute of Standards and Technology Cybersecurity Framework. This framework encompasses key processes, policies and controls to ensure protection, detection, identification, response and recovery capabilities across our organization.</w:t>
      </w:r>
    </w:p>
    <w:p>
      <w:pPr>
        <w:spacing w:after="0" w:line="7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information security program also addresses cybersecurity risks associated with our use of third-party service providers, including cybersecurity vendors, cybersecurity software and hardware providers, other vendors and customers, service providers and other parties with access to our systems and data as well as the systems of third parties that could adversely affect our operations or business in the event of a cybersecurity incident affecting those third-party systems. We use systems and processes designed to assess, identify and reduce the potential impact of a cybersecurity incident at any of our third-party service providers. We assess information security controls of certain of our third-party service providers as part of our third-party information technology risk due diligence, and we conduct third-party vulnerability analyses regularly.</w:t>
      </w:r>
    </w:p>
    <w:p>
      <w:pPr>
        <w:spacing w:after="0" w:line="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Information security is integral to our information technology strategy, with accountability embedded at all organizational levels, including our operations, management and Board of Directors. Key elements include:</w:t>
      </w:r>
    </w:p>
    <w:p>
      <w:pPr>
        <w:spacing w:after="0" w:line="57" w:lineRule="exact"/>
        <w:rPr>
          <w:sz w:val="20"/>
          <w:szCs w:val="20"/>
          <w:color w:val="auto"/>
        </w:rPr>
      </w:pPr>
    </w:p>
    <w:p>
      <w:pPr>
        <w:ind w:left="640" w:hanging="316"/>
        <w:spacing w:after="0" w:line="274"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Managed Detection and Response (“MDR”) &amp; Security Operations Center (“SOC”)</w:t>
      </w:r>
      <w:r>
        <w:rPr>
          <w:rFonts w:ascii="Times New Roman" w:cs="Times New Roman" w:eastAsia="Times New Roman" w:hAnsi="Times New Roman"/>
          <w:sz w:val="18"/>
          <w:szCs w:val="18"/>
          <w:color w:val="auto"/>
        </w:rPr>
        <w:t>: Our operations team employs MDR and a SOC for round-the-clock monitoring of cyber threats and vulnerabilities.</w:t>
      </w:r>
    </w:p>
    <w:p>
      <w:pPr>
        <w:spacing w:after="0" w:line="57"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Vulnerability Management</w:t>
      </w:r>
      <w:r>
        <w:rPr>
          <w:rFonts w:ascii="Times New Roman" w:cs="Times New Roman" w:eastAsia="Times New Roman" w:hAnsi="Times New Roman"/>
          <w:sz w:val="18"/>
          <w:szCs w:val="18"/>
          <w:color w:val="auto"/>
        </w:rPr>
        <w:t>: We maintain technology solutions for cybersecurity prevention and defense, including outside firewalls, multi-factor authentication systems, separate intrusion prevention and detection systems, anti-virus and anti-malware products and remote access controls. Continuous vulnerability scoring helps us address emerging risks objectively and proactively.</w:t>
      </w:r>
    </w:p>
    <w:p>
      <w:pPr>
        <w:spacing w:after="0" w:line="71"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Incident Response</w:t>
      </w:r>
      <w:r>
        <w:rPr>
          <w:rFonts w:ascii="Times New Roman" w:cs="Times New Roman" w:eastAsia="Times New Roman" w:hAnsi="Times New Roman"/>
          <w:sz w:val="18"/>
          <w:szCs w:val="18"/>
          <w:color w:val="auto"/>
        </w:rPr>
        <w:t>: Security incidents are managed through established protocols, with escalations to senior management to assess materiality and disclosure requirements. Our information security team develops, implements and regularly tests incident response and information recovery plans designed to assess and respond to cybersecurity threats and incidents.</w:t>
      </w:r>
    </w:p>
    <w:p>
      <w:pPr>
        <w:spacing w:after="0" w:line="71" w:lineRule="exact"/>
        <w:rPr>
          <w:rFonts w:ascii="Times New Roman" w:cs="Times New Roman" w:eastAsia="Times New Roman" w:hAnsi="Times New Roman"/>
          <w:sz w:val="18"/>
          <w:szCs w:val="18"/>
          <w:color w:val="auto"/>
        </w:rPr>
      </w:pPr>
    </w:p>
    <w:p>
      <w:pPr>
        <w:jc w:val="both"/>
        <w:ind w:left="640" w:hanging="316"/>
        <w:spacing w:after="0" w:line="252"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Board Oversight</w:t>
      </w:r>
      <w:r>
        <w:rPr>
          <w:rFonts w:ascii="Times New Roman" w:cs="Times New Roman" w:eastAsia="Times New Roman" w:hAnsi="Times New Roman"/>
          <w:sz w:val="18"/>
          <w:szCs w:val="18"/>
          <w:color w:val="auto"/>
        </w:rPr>
        <w:t>: The Audit Committee of our Board of Directors is responsible for the oversight of cybersecurity risks. It receives regular updates and presentations on our cybersecurity environment, including strategies, processes and policies, cybersecurity incidents, risks and threats, cybersecurity projects we have implemented and plan to implement and other cybersecurity developments and industry trends. These updates are led by our Chief Information Officer, a seasoned information technology professional with over 20 years of experience, supported by a dedicated security team. The chair of the Audit Committee reports to the full Board of Directors after each meeting.</w:t>
      </w:r>
    </w:p>
    <w:p>
      <w:pPr>
        <w:spacing w:after="0" w:line="79"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Risk Management</w:t>
      </w:r>
      <w:r>
        <w:rPr>
          <w:rFonts w:ascii="Times New Roman" w:cs="Times New Roman" w:eastAsia="Times New Roman" w:hAnsi="Times New Roman"/>
          <w:sz w:val="18"/>
          <w:szCs w:val="18"/>
          <w:color w:val="auto"/>
        </w:rPr>
        <w:t>: Cybersecurity risks are either mitigated or documented in a risk register for non-material risks. Non-material risks are reviewed periodically to ensure continuous improvement and timely resolution. In addition, we maintain insurance to help reduce our exposure from potential losses should a cybersecurity incident arise.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Third Parties</w:t>
      </w:r>
    </w:p>
    <w:p>
      <w:pPr>
        <w:spacing w:after="0" w:line="11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collaborate with, and intend to continue to collaborate with, nationally recognized third-party experts for specialized security functions in rapidly evolving areas. This partnership approach enables us to leverage advanced expertise in threat identification, penetration testing, tabletop exercises, maturity assessments, training, awareness and incident response.</w:t>
      </w:r>
    </w:p>
    <w:p>
      <w:pPr>
        <w:spacing w:after="0" w:line="7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routinely evaluate third-party certifications (such as SOC and Insurance Services Office reports) for applications within the scope of our financial audits, supplementing these with bridge letters and internal controls when necessary. Additionally, our security team uses advanced software to assess third-party security postures, providing maturity scores that inform risk management and foster continuous improvement throughout our partnerships.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Training and Preparedness</w:t>
      </w:r>
    </w:p>
    <w:p>
      <w:pPr>
        <w:spacing w:after="0" w:line="11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mandates ongoing cybersecurity training for all employees, covering a broad range of relevant topics. High-risk roles receive additional specialized training. We conduct regular phishing and social engineering simulations, with organization-wide reporting of results. Leadership teams also participate in annual tabletop exercises (simulated security incidents) to reinforce preparedness and refine our response plan. In addition, we maintain cybersecurity insurance to provide an added layer of protection and support in the event of a significant cybersecurity incident.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Cybersecurity Events</w:t>
      </w:r>
    </w:p>
    <w:p>
      <w:pPr>
        <w:spacing w:after="0" w:line="11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While no previous cybersecurity incidents have materially affected the Company, a cybersecurity incident could have a material effect on our results of operations and financial condition. As described above under “Item 1A-Risk Factors - Technology failures, cybersecurity incidents and corruption of our data privacy protections could disrupt our operations and negatively impact our business,” a material cybersecurity incident could disrupt our business, lead to the loss of data or cause us to suffer financial and/or reputational damage, in addition to litigation or remediation costs or penalties.</w:t>
      </w:r>
    </w:p>
    <w:p>
      <w:pPr>
        <w:spacing w:after="0" w:line="17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11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lease our principal executive offices in St. Louis, Missouri. Our other administrative offices, as well as the warehousing, distribution and research and development facilities of our principal operations, are described below. While our products are primarily manufactured by third-party contract manufacturers, we also own one manufacturing facility. For additional information regarding our third-party manufacturing network, see “Business - Supply Chain” in Item 1 of this report.</w:t>
      </w:r>
    </w:p>
    <w:p>
      <w:pPr>
        <w:spacing w:after="0" w:line="74"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We lease research and development facilities and administrative offices in Emeryville, California. We also lease administrative offices in Dallas, Texas; Rogers, Arkansas; Munich, Germany and Worb, Switzerland. Through third-party logistics firms, we lease warehouse space in Tagelswangen, Switzerland and a distribution center with warehouse space in Kleve, Germany. We also manufacture protein and energy bars and gels and conduct research and development through an owned facility in Voerde, Germany. Management believes our facilities generally are in good operating condition. In conjunction with our arrangements with third-party contract manufacturers, management believes, taken as a whole, our facilities generally are suitable, adequate and of sufficient capacity for our current operations. See “Risk Factors” included in Item 1A of this report for more information about our supply chain and related risks.</w:t>
      </w:r>
    </w:p>
    <w:p>
      <w:pPr>
        <w:spacing w:after="0" w:line="16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1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information required under this Item 3 is set forth in Note 14 within “Notes to Consolidated Financial Statements” included in Item 8 of this report and is incorporated herein by this reference. For disclosure of environmental proceedings with a governmental entity as a party pursuant to Item 103(c)(3)(iii) of Regulation S-K, the Company has elected to disclose matters where the Company reasonably believes such proceeding would result in monetary sanctions, exclusive of interest and costs, of $1.0 million or more. Applying this threshold, there are no such environmental proceedings pending as of the filing date of this report or that were resolved during the three months ended September 30, 2025.</w:t>
      </w:r>
    </w:p>
    <w:p>
      <w:pPr>
        <w:spacing w:after="0" w:line="18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17" w:lineRule="exact"/>
        <w:rPr>
          <w:sz w:val="20"/>
          <w:szCs w:val="20"/>
          <w:color w:val="auto"/>
        </w:rPr>
      </w:pPr>
    </w:p>
    <w:p>
      <w:pPr>
        <w:ind w:right="420"/>
        <w:spacing w:after="0" w:line="27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for Common Stock</w:t>
      </w:r>
    </w:p>
    <w:p>
      <w:pPr>
        <w:spacing w:after="0" w:line="11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 xml:space="preserve">Our common stock is traded on the New York Stock Exchange (the “NYSE”) under the trading symbol “BRBR.” There were approximately 3,263 stockholders of record on </w:t>
      </w:r>
      <w:r>
        <w:rPr>
          <w:rFonts w:ascii="Times New Roman" w:cs="Times New Roman" w:eastAsia="Times New Roman" w:hAnsi="Times New Roman"/>
          <w:sz w:val="15"/>
          <w:szCs w:val="15"/>
          <w:color w:val="auto"/>
        </w:rPr>
        <w:t>November 11, 2025</w:t>
      </w:r>
      <w:r>
        <w:rPr>
          <w:rFonts w:ascii="Times New Roman" w:cs="Times New Roman" w:eastAsia="Times New Roman" w:hAnsi="Times New Roman"/>
          <w:sz w:val="18"/>
          <w:szCs w:val="18"/>
          <w:color w:val="auto"/>
        </w:rPr>
        <w:t>.</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1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We may not pay cash dividends on our common stock for the foreseeable future. Any future determination to pay dividends, and the amount and timing of any such payment, will be at the discretion of our Board of Directors and subject to, among other things, our compliance with applicable law, and depending on, among other things, our results of operations, financial condition, level of indebtedness, capital requirements, contractual restrictions, restrictions in our debt agreements, business prospects, our cash flow and liquidity position and other factors that our Board of Directors may deem relevant.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1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repurchases of shares of our common stock during the three months ended September 30, 2025 and our common stock repurchase authorization.</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20" w:type="dxa"/>
            <w:vAlign w:val="bottom"/>
          </w:tcPr>
          <w:p>
            <w:pPr>
              <w:spacing w:after="0"/>
              <w:rPr>
                <w:sz w:val="16"/>
                <w:szCs w:val="16"/>
                <w:color w:val="auto"/>
              </w:rPr>
            </w:pPr>
          </w:p>
        </w:tc>
        <w:tc>
          <w:tcPr>
            <w:tcW w:w="1660" w:type="dxa"/>
            <w:vAlign w:val="bottom"/>
          </w:tcPr>
          <w:p>
            <w:pPr>
              <w:jc w:val="center"/>
              <w:ind w:left="415"/>
              <w:spacing w:after="0"/>
              <w:rPr>
                <w:sz w:val="20"/>
                <w:szCs w:val="20"/>
                <w:color w:val="auto"/>
              </w:rPr>
            </w:pPr>
            <w:r>
              <w:rPr>
                <w:rFonts w:ascii="Times New Roman" w:cs="Times New Roman" w:eastAsia="Times New Roman" w:hAnsi="Times New Roman"/>
                <w:sz w:val="16"/>
                <w:szCs w:val="16"/>
                <w:b w:val="1"/>
                <w:bCs w:val="1"/>
                <w:color w:val="auto"/>
                <w:w w:val="97"/>
              </w:rPr>
              <w:t>Total Number of</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Average Price</w:t>
            </w: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Total Number of Shares Purchased</w:t>
            </w:r>
          </w:p>
        </w:tc>
        <w:tc>
          <w:tcPr>
            <w:tcW w:w="2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Approximate Dollar Value of Shares</w:t>
            </w:r>
          </w:p>
        </w:tc>
        <w:tc>
          <w:tcPr>
            <w:tcW w:w="0" w:type="dxa"/>
            <w:vAlign w:val="bottom"/>
          </w:tcPr>
          <w:p>
            <w:pPr>
              <w:spacing w:after="0"/>
              <w:rPr>
                <w:sz w:val="1"/>
                <w:szCs w:val="1"/>
                <w:color w:val="auto"/>
              </w:rPr>
            </w:pPr>
          </w:p>
        </w:tc>
      </w:tr>
      <w:tr>
        <w:trPr>
          <w:trHeight w:val="159"/>
        </w:trPr>
        <w:tc>
          <w:tcPr>
            <w:tcW w:w="3420" w:type="dxa"/>
            <w:vAlign w:val="bottom"/>
            <w:vMerge w:val="restart"/>
          </w:tcPr>
          <w:p>
            <w:pPr>
              <w:ind w:left="174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660" w:type="dxa"/>
            <w:vAlign w:val="bottom"/>
          </w:tcPr>
          <w:p>
            <w:pPr>
              <w:jc w:val="center"/>
              <w:ind w:left="395"/>
              <w:spacing w:after="0" w:line="159" w:lineRule="exact"/>
              <w:rPr>
                <w:sz w:val="20"/>
                <w:szCs w:val="20"/>
                <w:color w:val="auto"/>
              </w:rPr>
            </w:pPr>
            <w:r>
              <w:rPr>
                <w:rFonts w:ascii="Times New Roman" w:cs="Times New Roman" w:eastAsia="Times New Roman" w:hAnsi="Times New Roman"/>
                <w:sz w:val="16"/>
                <w:szCs w:val="16"/>
                <w:b w:val="1"/>
                <w:bCs w:val="1"/>
                <w:color w:val="auto"/>
                <w:w w:val="99"/>
              </w:rPr>
              <w:t>Shares</w:t>
            </w:r>
          </w:p>
        </w:tc>
        <w:tc>
          <w:tcPr>
            <w:tcW w:w="1120" w:type="dxa"/>
            <w:vAlign w:val="bottom"/>
            <w:gridSpan w:val="2"/>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w w:val="99"/>
              </w:rPr>
              <w:t>Paid per Share</w:t>
            </w:r>
          </w:p>
        </w:tc>
        <w:tc>
          <w:tcPr>
            <w:tcW w:w="2480" w:type="dxa"/>
            <w:vAlign w:val="bottom"/>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w w:val="99"/>
              </w:rPr>
              <w:t>as Part of Publicly Announced</w:t>
            </w:r>
          </w:p>
        </w:tc>
        <w:tc>
          <w:tcPr>
            <w:tcW w:w="2560" w:type="dxa"/>
            <w:vAlign w:val="bottom"/>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w w:val="98"/>
              </w:rPr>
              <w:t>that May Yet be Purchased Under</w:t>
            </w:r>
          </w:p>
        </w:tc>
        <w:tc>
          <w:tcPr>
            <w:tcW w:w="0" w:type="dxa"/>
            <w:vAlign w:val="bottom"/>
          </w:tcPr>
          <w:p>
            <w:pPr>
              <w:spacing w:after="0"/>
              <w:rPr>
                <w:sz w:val="1"/>
                <w:szCs w:val="1"/>
                <w:color w:val="auto"/>
              </w:rPr>
            </w:pPr>
          </w:p>
        </w:tc>
      </w:tr>
      <w:tr>
        <w:trPr>
          <w:trHeight w:val="211"/>
        </w:trPr>
        <w:tc>
          <w:tcPr>
            <w:tcW w:w="3420" w:type="dxa"/>
            <w:vAlign w:val="bottom"/>
            <w:tcBorders>
              <w:bottom w:val="single" w:sz="8" w:color="auto"/>
            </w:tcBorders>
            <w:vMerge w:val="continue"/>
          </w:tcPr>
          <w:p>
            <w:pPr>
              <w:spacing w:after="0"/>
              <w:rPr>
                <w:sz w:val="18"/>
                <w:szCs w:val="18"/>
                <w:color w:val="auto"/>
              </w:rPr>
            </w:pPr>
          </w:p>
        </w:tc>
        <w:tc>
          <w:tcPr>
            <w:tcW w:w="1660" w:type="dxa"/>
            <w:vAlign w:val="bottom"/>
            <w:tcBorders>
              <w:bottom w:val="single" w:sz="8" w:color="auto"/>
            </w:tcBorders>
          </w:tcPr>
          <w:p>
            <w:pPr>
              <w:jc w:val="center"/>
              <w:ind w:left="415"/>
              <w:spacing w:after="0"/>
              <w:rPr>
                <w:sz w:val="20"/>
                <w:szCs w:val="20"/>
                <w:color w:val="auto"/>
              </w:rPr>
            </w:pPr>
            <w:r>
              <w:rPr>
                <w:rFonts w:ascii="Times New Roman" w:cs="Times New Roman" w:eastAsia="Times New Roman" w:hAnsi="Times New Roman"/>
                <w:sz w:val="16"/>
                <w:szCs w:val="16"/>
                <w:b w:val="1"/>
                <w:bCs w:val="1"/>
                <w:color w:val="auto"/>
                <w:w w:val="99"/>
              </w:rPr>
              <w:t>Purchased</w:t>
            </w: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193"/>
              <w:spacing w:after="0"/>
              <w:rPr>
                <w:sz w:val="20"/>
                <w:szCs w:val="20"/>
                <w:color w:val="auto"/>
              </w:rPr>
            </w:pPr>
            <w:r>
              <w:rPr>
                <w:rFonts w:ascii="Times New Roman" w:cs="Times New Roman" w:eastAsia="Times New Roman" w:hAnsi="Times New Roman"/>
                <w:sz w:val="16"/>
                <w:szCs w:val="16"/>
                <w:b w:val="1"/>
                <w:bCs w:val="1"/>
                <w:color w:val="auto"/>
                <w:w w:val="96"/>
              </w:rPr>
              <w:t>(a)</w:t>
            </w: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Plans or Programs (b)</w:t>
            </w:r>
          </w:p>
        </w:tc>
        <w:tc>
          <w:tcPr>
            <w:tcW w:w="2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the Plans or Programs (b)</w:t>
            </w:r>
          </w:p>
        </w:tc>
        <w:tc>
          <w:tcPr>
            <w:tcW w:w="0" w:type="dxa"/>
            <w:vAlign w:val="bottom"/>
          </w:tcPr>
          <w:p>
            <w:pPr>
              <w:spacing w:after="0"/>
              <w:rPr>
                <w:sz w:val="1"/>
                <w:szCs w:val="1"/>
                <w:color w:val="auto"/>
              </w:rPr>
            </w:pPr>
          </w:p>
        </w:tc>
      </w:tr>
      <w:tr>
        <w:trPr>
          <w:trHeight w:val="220"/>
        </w:trPr>
        <w:tc>
          <w:tcPr>
            <w:tcW w:w="3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2025 - July 31, 2025</w:t>
            </w:r>
          </w:p>
        </w:tc>
        <w:tc>
          <w:tcPr>
            <w:tcW w:w="1960" w:type="dxa"/>
            <w:vAlign w:val="bottom"/>
            <w:tcBorders>
              <w:bottom w:val="single" w:sz="8" w:color="auto"/>
            </w:tcBorders>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2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$197,039,286</w:t>
            </w:r>
          </w:p>
        </w:tc>
        <w:tc>
          <w:tcPr>
            <w:tcW w:w="0" w:type="dxa"/>
            <w:vAlign w:val="bottom"/>
          </w:tcPr>
          <w:p>
            <w:pPr>
              <w:spacing w:after="0"/>
              <w:rPr>
                <w:sz w:val="1"/>
                <w:szCs w:val="1"/>
                <w:color w:val="auto"/>
              </w:rPr>
            </w:pPr>
          </w:p>
        </w:tc>
      </w:tr>
      <w:tr>
        <w:trPr>
          <w:trHeight w:val="218"/>
        </w:trPr>
        <w:tc>
          <w:tcPr>
            <w:tcW w:w="3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August 1, 2025 - August 31, 2025</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3,082,892</w:t>
            </w:r>
          </w:p>
        </w:tc>
        <w:tc>
          <w:tcPr>
            <w:tcW w:w="3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40.02</w:t>
            </w:r>
          </w:p>
        </w:tc>
        <w:tc>
          <w:tcPr>
            <w:tcW w:w="24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3,082,892</w:t>
            </w:r>
          </w:p>
        </w:tc>
        <w:tc>
          <w:tcPr>
            <w:tcW w:w="2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$73,654,768</w:t>
            </w:r>
          </w:p>
        </w:tc>
        <w:tc>
          <w:tcPr>
            <w:tcW w:w="0" w:type="dxa"/>
            <w:vAlign w:val="bottom"/>
          </w:tcPr>
          <w:p>
            <w:pPr>
              <w:spacing w:after="0"/>
              <w:rPr>
                <w:sz w:val="1"/>
                <w:szCs w:val="1"/>
                <w:color w:val="auto"/>
              </w:rPr>
            </w:pPr>
          </w:p>
        </w:tc>
      </w:tr>
      <w:tr>
        <w:trPr>
          <w:trHeight w:val="218"/>
        </w:trPr>
        <w:tc>
          <w:tcPr>
            <w:tcW w:w="3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2025 - September 30, 2025</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2,083,438</w:t>
            </w: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40.08</w:t>
            </w:r>
          </w:p>
        </w:tc>
        <w:tc>
          <w:tcPr>
            <w:tcW w:w="24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2,083,438</w:t>
            </w:r>
          </w:p>
        </w:tc>
        <w:tc>
          <w:tcPr>
            <w:tcW w:w="2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$316,503,311</w:t>
            </w:r>
          </w:p>
        </w:tc>
        <w:tc>
          <w:tcPr>
            <w:tcW w:w="0" w:type="dxa"/>
            <w:vAlign w:val="bottom"/>
          </w:tcPr>
          <w:p>
            <w:pPr>
              <w:spacing w:after="0"/>
              <w:rPr>
                <w:sz w:val="1"/>
                <w:szCs w:val="1"/>
                <w:color w:val="auto"/>
              </w:rPr>
            </w:pPr>
          </w:p>
        </w:tc>
      </w:tr>
      <w:tr>
        <w:trPr>
          <w:trHeight w:val="218"/>
        </w:trPr>
        <w:tc>
          <w:tcPr>
            <w:tcW w:w="3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5,166,330</w:t>
            </w:r>
          </w:p>
        </w:tc>
        <w:tc>
          <w:tcPr>
            <w:tcW w:w="3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40.04</w:t>
            </w:r>
          </w:p>
        </w:tc>
        <w:tc>
          <w:tcPr>
            <w:tcW w:w="24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5,166,330</w:t>
            </w:r>
          </w:p>
        </w:tc>
        <w:tc>
          <w:tcPr>
            <w:tcW w:w="2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$316,503,311</w:t>
            </w:r>
          </w:p>
        </w:tc>
        <w:tc>
          <w:tcPr>
            <w:tcW w:w="0" w:type="dxa"/>
            <w:vAlign w:val="bottom"/>
          </w:tcPr>
          <w:p>
            <w:pPr>
              <w:spacing w:after="0"/>
              <w:rPr>
                <w:sz w:val="1"/>
                <w:szCs w:val="1"/>
                <w:color w:val="auto"/>
              </w:rPr>
            </w:pPr>
          </w:p>
        </w:tc>
      </w:tr>
      <w:tr>
        <w:trPr>
          <w:trHeight w:val="20"/>
        </w:trPr>
        <w:tc>
          <w:tcPr>
            <w:tcW w:w="34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left="320" w:hanging="314"/>
        <w:spacing w:after="0"/>
        <w:tabs>
          <w:tab w:leader="none" w:pos="3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Does not include broker’s commissions or accrued excise tax.</w:t>
      </w:r>
    </w:p>
    <w:p>
      <w:pPr>
        <w:spacing w:after="0" w:line="107" w:lineRule="exact"/>
        <w:rPr>
          <w:rFonts w:ascii="Times New Roman" w:cs="Times New Roman" w:eastAsia="Times New Roman" w:hAnsi="Times New Roman"/>
          <w:sz w:val="16"/>
          <w:szCs w:val="16"/>
          <w:color w:val="auto"/>
        </w:rPr>
      </w:pPr>
    </w:p>
    <w:p>
      <w:pPr>
        <w:jc w:val="both"/>
        <w:ind w:left="320" w:hanging="314"/>
        <w:spacing w:after="0" w:line="258" w:lineRule="auto"/>
        <w:tabs>
          <w:tab w:leader="none" w:pos="3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March 6, 2025, the Company’s Board of Directors approved a $300,000,000 repurchase authorization with respect to shares of the Company’s common stock (the “Prior Authorization”). The Prior Authorization was effective on March 6, 2025 and was cancelled effective August 29, 2025. On September 2, 2025, the Company’s Board of Directors approved a new $400,000,000 repurchase authorization with respect to shares of the Company’s common stock (the “New Authorization”). The New Authorization was effective on September 2, 2025 and has an expiration date of September 2, 2027. Repurchases may be made from time to time in the open market, private purchases, through forward, derivative, accelerated repurchase or automatic purchase transactions, or otherwise.</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performance graph compares the changes, for the period indicated, in the cumulative total value of $100 hypothetically invested in each of</w:t>
      </w:r>
    </w:p>
    <w:p>
      <w:pPr>
        <w:spacing w:after="0" w:line="36" w:lineRule="exact"/>
        <w:rPr>
          <w:sz w:val="20"/>
          <w:szCs w:val="20"/>
          <w:color w:val="auto"/>
        </w:rPr>
      </w:pPr>
    </w:p>
    <w:p>
      <w:pPr>
        <w:ind w:left="320" w:right="2600" w:hanging="314"/>
        <w:spacing w:after="0" w:line="374" w:lineRule="auto"/>
        <w:tabs>
          <w:tab w:leader="none" w:pos="21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publicly traded common stock; (ii) the Russell 1000 index; and (iii) the S&amp;P 1500 Packaged Foods &amp; Meats Index. The graph covers the period from September 30, 2020 through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878840</wp:posOffset>
            </wp:positionH>
            <wp:positionV relativeFrom="paragraph">
              <wp:posOffset>-5715</wp:posOffset>
            </wp:positionV>
            <wp:extent cx="5384800" cy="31972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384800" cy="3197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ind w:firstLine="324"/>
        <w:spacing w:after="0" w:line="252" w:lineRule="auto"/>
        <w:tabs>
          <w:tab w:leader="none" w:pos="46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invested on September 30, 2020 in stock or index. Our publicly traded common stock includes our Class A common stock, $0.01 par value per share prior to March 10, 2022 and our BellRing common stock, $0.01 par value per share subsequent to March 10, 2022. On March 10, 2022, each share of the Class A common stock was converted into one share of BellRing common stock plus $2.97 in cash in connection with Post Holdings, Inc.’s distribution of our common stock to its shareholders in a spin-off transaction The cumulative total return of our publicly traded common stock includes the reinvestment of the $2.97 cash payment.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 Data</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20" w:type="dxa"/>
            <w:vAlign w:val="bottom"/>
          </w:tcPr>
          <w:p>
            <w:pPr>
              <w:spacing w:after="0"/>
              <w:rPr>
                <w:sz w:val="16"/>
                <w:szCs w:val="16"/>
                <w:color w:val="auto"/>
              </w:rPr>
            </w:pPr>
          </w:p>
        </w:tc>
        <w:tc>
          <w:tcPr>
            <w:tcW w:w="19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BellRing Brands, Inc. ($)</w:t>
            </w:r>
          </w:p>
        </w:tc>
        <w:tc>
          <w:tcPr>
            <w:tcW w:w="19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Russell 1000 Index ($)</w:t>
            </w:r>
          </w:p>
        </w:tc>
        <w:tc>
          <w:tcPr>
            <w:tcW w:w="1840" w:type="dxa"/>
            <w:vAlign w:val="bottom"/>
          </w:tcPr>
          <w:p>
            <w:pPr>
              <w:jc w:val="right"/>
              <w:ind w:right="154"/>
              <w:spacing w:after="0"/>
              <w:rPr>
                <w:sz w:val="20"/>
                <w:szCs w:val="20"/>
                <w:color w:val="auto"/>
              </w:rPr>
            </w:pPr>
            <w:r>
              <w:rPr>
                <w:rFonts w:ascii="Times New Roman" w:cs="Times New Roman" w:eastAsia="Times New Roman" w:hAnsi="Times New Roman"/>
                <w:sz w:val="16"/>
                <w:szCs w:val="16"/>
                <w:b w:val="1"/>
                <w:bCs w:val="1"/>
                <w:color w:val="auto"/>
              </w:rPr>
              <w:t>S&amp;P 1500 Packaged</w:t>
            </w:r>
          </w:p>
        </w:tc>
        <w:tc>
          <w:tcPr>
            <w:tcW w:w="0" w:type="dxa"/>
            <w:vAlign w:val="bottom"/>
          </w:tcPr>
          <w:p>
            <w:pPr>
              <w:spacing w:after="0"/>
              <w:rPr>
                <w:sz w:val="1"/>
                <w:szCs w:val="1"/>
                <w:color w:val="auto"/>
              </w:rPr>
            </w:pPr>
          </w:p>
        </w:tc>
      </w:tr>
      <w:tr>
        <w:trPr>
          <w:trHeight w:val="211"/>
        </w:trPr>
        <w:tc>
          <w:tcPr>
            <w:tcW w:w="5420" w:type="dxa"/>
            <w:vAlign w:val="bottom"/>
          </w:tcPr>
          <w:p>
            <w:pPr>
              <w:spacing w:after="0"/>
              <w:rPr>
                <w:sz w:val="18"/>
                <w:szCs w:val="18"/>
                <w:color w:val="auto"/>
              </w:rPr>
            </w:pPr>
          </w:p>
        </w:tc>
        <w:tc>
          <w:tcPr>
            <w:tcW w:w="1980" w:type="dxa"/>
            <w:vAlign w:val="bottom"/>
            <w:gridSpan w:val="2"/>
            <w:vMerge w:val="continue"/>
          </w:tcPr>
          <w:p>
            <w:pPr>
              <w:spacing w:after="0"/>
              <w:rPr>
                <w:sz w:val="18"/>
                <w:szCs w:val="18"/>
                <w:color w:val="auto"/>
              </w:rPr>
            </w:pPr>
          </w:p>
        </w:tc>
        <w:tc>
          <w:tcPr>
            <w:tcW w:w="1980" w:type="dxa"/>
            <w:vAlign w:val="bottom"/>
            <w:gridSpan w:val="2"/>
            <w:vMerge w:val="continue"/>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Foods &amp; Meats Index ($)</w:t>
            </w:r>
          </w:p>
        </w:tc>
        <w:tc>
          <w:tcPr>
            <w:tcW w:w="0" w:type="dxa"/>
            <w:vAlign w:val="bottom"/>
          </w:tcPr>
          <w:p>
            <w:pPr>
              <w:spacing w:after="0"/>
              <w:rPr>
                <w:sz w:val="1"/>
                <w:szCs w:val="1"/>
                <w:color w:val="auto"/>
              </w:rPr>
            </w:pPr>
          </w:p>
        </w:tc>
      </w:tr>
      <w:tr>
        <w:trPr>
          <w:trHeight w:val="220"/>
        </w:trPr>
        <w:tc>
          <w:tcPr>
            <w:tcW w:w="5420" w:type="dxa"/>
            <w:vAlign w:val="bottom"/>
            <w:tcBorders>
              <w:top w:val="single" w:sz="8" w:color="CCEEFF"/>
            </w:tcBorders>
            <w:shd w:val="clear" w:color="auto" w:fill="CCEEFF"/>
          </w:tcPr>
          <w:p>
            <w:pPr>
              <w:jc w:val="right"/>
              <w:ind w:right="4592"/>
              <w:spacing w:after="0"/>
              <w:rPr>
                <w:sz w:val="20"/>
                <w:szCs w:val="20"/>
                <w:color w:val="auto"/>
              </w:rPr>
            </w:pPr>
            <w:r>
              <w:rPr>
                <w:rFonts w:ascii="Times New Roman" w:cs="Times New Roman" w:eastAsia="Times New Roman" w:hAnsi="Times New Roman"/>
                <w:sz w:val="18"/>
                <w:szCs w:val="18"/>
                <w:color w:val="auto"/>
                <w:w w:val="98"/>
              </w:rPr>
              <w:t>9/30/2020</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4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4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25"/>
        </w:trPr>
        <w:tc>
          <w:tcPr>
            <w:tcW w:w="5420" w:type="dxa"/>
            <w:vAlign w:val="bottom"/>
          </w:tcPr>
          <w:p>
            <w:pPr>
              <w:jc w:val="right"/>
              <w:ind w:right="4592"/>
              <w:spacing w:after="0"/>
              <w:rPr>
                <w:sz w:val="20"/>
                <w:szCs w:val="20"/>
                <w:color w:val="auto"/>
              </w:rPr>
            </w:pPr>
            <w:r>
              <w:rPr>
                <w:rFonts w:ascii="Times New Roman" w:cs="Times New Roman" w:eastAsia="Times New Roman" w:hAnsi="Times New Roman"/>
                <w:sz w:val="18"/>
                <w:szCs w:val="18"/>
                <w:color w:val="auto"/>
                <w:w w:val="98"/>
              </w:rPr>
              <w:t>9/30/2021</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148.26</w:t>
            </w:r>
          </w:p>
        </w:tc>
        <w:tc>
          <w:tcPr>
            <w:tcW w:w="1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130.95</w:t>
            </w:r>
          </w:p>
        </w:tc>
        <w:tc>
          <w:tcPr>
            <w:tcW w:w="1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105.62</w:t>
            </w:r>
          </w:p>
        </w:tc>
        <w:tc>
          <w:tcPr>
            <w:tcW w:w="0" w:type="dxa"/>
            <w:vAlign w:val="bottom"/>
          </w:tcPr>
          <w:p>
            <w:pPr>
              <w:spacing w:after="0"/>
              <w:rPr>
                <w:sz w:val="1"/>
                <w:szCs w:val="1"/>
                <w:color w:val="auto"/>
              </w:rPr>
            </w:pPr>
          </w:p>
        </w:tc>
      </w:tr>
      <w:tr>
        <w:trPr>
          <w:trHeight w:val="225"/>
        </w:trPr>
        <w:tc>
          <w:tcPr>
            <w:tcW w:w="5420" w:type="dxa"/>
            <w:vAlign w:val="bottom"/>
            <w:shd w:val="clear" w:color="auto" w:fill="CCEEFF"/>
          </w:tcPr>
          <w:p>
            <w:pPr>
              <w:jc w:val="right"/>
              <w:ind w:right="4592"/>
              <w:spacing w:after="0"/>
              <w:rPr>
                <w:sz w:val="20"/>
                <w:szCs w:val="20"/>
                <w:color w:val="auto"/>
              </w:rPr>
            </w:pPr>
            <w:r>
              <w:rPr>
                <w:rFonts w:ascii="Times New Roman" w:cs="Times New Roman" w:eastAsia="Times New Roman" w:hAnsi="Times New Roman"/>
                <w:sz w:val="18"/>
                <w:szCs w:val="18"/>
                <w:color w:val="auto"/>
                <w:w w:val="98"/>
              </w:rPr>
              <w:t>9/30/2022</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110.80</w:t>
            </w:r>
          </w:p>
        </w:tc>
        <w:tc>
          <w:tcPr>
            <w:tcW w:w="1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108.39</w:t>
            </w:r>
          </w:p>
        </w:tc>
        <w:tc>
          <w:tcPr>
            <w:tcW w:w="1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111.28</w:t>
            </w:r>
          </w:p>
        </w:tc>
        <w:tc>
          <w:tcPr>
            <w:tcW w:w="0" w:type="dxa"/>
            <w:vAlign w:val="bottom"/>
          </w:tcPr>
          <w:p>
            <w:pPr>
              <w:spacing w:after="0"/>
              <w:rPr>
                <w:sz w:val="1"/>
                <w:szCs w:val="1"/>
                <w:color w:val="auto"/>
              </w:rPr>
            </w:pPr>
          </w:p>
        </w:tc>
      </w:tr>
      <w:tr>
        <w:trPr>
          <w:trHeight w:val="225"/>
        </w:trPr>
        <w:tc>
          <w:tcPr>
            <w:tcW w:w="5420" w:type="dxa"/>
            <w:vAlign w:val="bottom"/>
          </w:tcPr>
          <w:p>
            <w:pPr>
              <w:jc w:val="right"/>
              <w:ind w:right="4592"/>
              <w:spacing w:after="0"/>
              <w:rPr>
                <w:sz w:val="20"/>
                <w:szCs w:val="20"/>
                <w:color w:val="auto"/>
              </w:rPr>
            </w:pPr>
            <w:r>
              <w:rPr>
                <w:rFonts w:ascii="Times New Roman" w:cs="Times New Roman" w:eastAsia="Times New Roman" w:hAnsi="Times New Roman"/>
                <w:sz w:val="18"/>
                <w:szCs w:val="18"/>
                <w:color w:val="auto"/>
                <w:w w:val="98"/>
              </w:rPr>
              <w:t>9/29/2023</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221.66</w:t>
            </w:r>
          </w:p>
        </w:tc>
        <w:tc>
          <w:tcPr>
            <w:tcW w:w="1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131.34</w:t>
            </w:r>
          </w:p>
        </w:tc>
        <w:tc>
          <w:tcPr>
            <w:tcW w:w="1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113.94</w:t>
            </w:r>
          </w:p>
        </w:tc>
        <w:tc>
          <w:tcPr>
            <w:tcW w:w="0" w:type="dxa"/>
            <w:vAlign w:val="bottom"/>
          </w:tcPr>
          <w:p>
            <w:pPr>
              <w:spacing w:after="0"/>
              <w:rPr>
                <w:sz w:val="1"/>
                <w:szCs w:val="1"/>
                <w:color w:val="auto"/>
              </w:rPr>
            </w:pPr>
          </w:p>
        </w:tc>
      </w:tr>
      <w:tr>
        <w:trPr>
          <w:trHeight w:val="225"/>
        </w:trPr>
        <w:tc>
          <w:tcPr>
            <w:tcW w:w="5420" w:type="dxa"/>
            <w:vAlign w:val="bottom"/>
            <w:shd w:val="clear" w:color="auto" w:fill="CCEEFF"/>
          </w:tcPr>
          <w:p>
            <w:pPr>
              <w:jc w:val="right"/>
              <w:ind w:right="4592"/>
              <w:spacing w:after="0"/>
              <w:rPr>
                <w:sz w:val="20"/>
                <w:szCs w:val="20"/>
                <w:color w:val="auto"/>
              </w:rPr>
            </w:pPr>
            <w:r>
              <w:rPr>
                <w:rFonts w:ascii="Times New Roman" w:cs="Times New Roman" w:eastAsia="Times New Roman" w:hAnsi="Times New Roman"/>
                <w:sz w:val="18"/>
                <w:szCs w:val="18"/>
                <w:color w:val="auto"/>
                <w:w w:val="98"/>
              </w:rPr>
              <w:t>9/30/2024</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326.44</w:t>
            </w:r>
          </w:p>
        </w:tc>
        <w:tc>
          <w:tcPr>
            <w:tcW w:w="1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178.18</w:t>
            </w:r>
          </w:p>
        </w:tc>
        <w:tc>
          <w:tcPr>
            <w:tcW w:w="1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126.32</w:t>
            </w:r>
          </w:p>
        </w:tc>
        <w:tc>
          <w:tcPr>
            <w:tcW w:w="0" w:type="dxa"/>
            <w:vAlign w:val="bottom"/>
          </w:tcPr>
          <w:p>
            <w:pPr>
              <w:spacing w:after="0"/>
              <w:rPr>
                <w:sz w:val="1"/>
                <w:szCs w:val="1"/>
                <w:color w:val="auto"/>
              </w:rPr>
            </w:pPr>
          </w:p>
        </w:tc>
      </w:tr>
      <w:tr>
        <w:trPr>
          <w:trHeight w:val="231"/>
        </w:trPr>
        <w:tc>
          <w:tcPr>
            <w:tcW w:w="5420" w:type="dxa"/>
            <w:vAlign w:val="bottom"/>
          </w:tcPr>
          <w:p>
            <w:pPr>
              <w:jc w:val="right"/>
              <w:ind w:right="4592"/>
              <w:spacing w:after="0"/>
              <w:rPr>
                <w:sz w:val="20"/>
                <w:szCs w:val="20"/>
                <w:color w:val="auto"/>
              </w:rPr>
            </w:pPr>
            <w:r>
              <w:rPr>
                <w:rFonts w:ascii="Times New Roman" w:cs="Times New Roman" w:eastAsia="Times New Roman" w:hAnsi="Times New Roman"/>
                <w:sz w:val="18"/>
                <w:szCs w:val="18"/>
                <w:color w:val="auto"/>
                <w:w w:val="98"/>
              </w:rPr>
              <w:t>9/30/2025</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195.42</w:t>
            </w:r>
          </w:p>
        </w:tc>
        <w:tc>
          <w:tcPr>
            <w:tcW w:w="14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209.76</w:t>
            </w:r>
          </w:p>
        </w:tc>
        <w:tc>
          <w:tcPr>
            <w:tcW w:w="14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107.00</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stock price performance included in this graph is not necessarily indicative of future stock price performance.</w:t>
      </w:r>
    </w:p>
    <w:p>
      <w:pPr>
        <w:spacing w:after="0" w:line="11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This performance graph shall not be deemed “filed” for purposes of Section 18 of the Securities Exchange Act of 1934, as amended (the “Exchange Act”), or subject to the liabilities of the Exchange Act, nor shall it be incorporated by reference into any of our filings under the Securities Act of 1933, as amended, or the Exchange Act, except as shall be expressly set forth by specific reference in such filing.</w:t>
      </w:r>
    </w:p>
    <w:p>
      <w:pPr>
        <w:spacing w:after="0" w:line="7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following discussion summarizes the significant factors affecting the consolidated operating results, financial condition, liquidity and capital resources of BellRing Brands, Inc. and its consolidated subsidiaries. This discussion should be read in conjunction with the financial statements under Item 8 of this report and the “Cautionary Statement on Forward-Looking Statements” on page 1. The terms “our,” “we,” “us,” “Company” and “BellRing” refer to BellRing Brands, Inc. and its consolidated subsidiaries.</w:t>
      </w:r>
    </w:p>
    <w:p>
      <w:pPr>
        <w:spacing w:after="0" w:line="7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following should be read in conjunction with the discussion and analysis of our fiscal 2024 results compared to our fiscal 2023 results, including any related discussion of fiscal 2023 results and activity, which can be found in Item 7 under the title “Management’s Discussion and Analysis of Financial Condition and Results of Operations” in our Annual Report on Form 10-K for the year ended September 30, 2024, and such discussion and analysis is incorporated by reference herein.</w:t>
      </w:r>
    </w:p>
    <w:p>
      <w:pPr>
        <w:spacing w:after="0" w:line="17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 xml:space="preserve">We are a consumer products holding company operating in the global convenient nutrition category and are a provider of ready-to-drink (“RTD”) protein shakes and powders. We have a single operating and reportable segment, with our principal products being protein-based consumer goods. Our primary brands are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Dymatize.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&amp; Company Trends</w:t>
      </w:r>
    </w:p>
    <w:p>
      <w:pPr>
        <w:spacing w:after="0" w:line="11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success of companies in the convenient nutrition category is driven by how well such companies can grow, develop and differentiate their brands. We expect the convergence of several factors to support the continued growth of the convenient nutrition category, including:</w:t>
      </w:r>
    </w:p>
    <w:p>
      <w:pPr>
        <w:spacing w:after="0" w:line="57" w:lineRule="exact"/>
        <w:rPr>
          <w:sz w:val="20"/>
          <w:szCs w:val="20"/>
          <w:color w:val="auto"/>
        </w:rPr>
      </w:pPr>
    </w:p>
    <w:p>
      <w:pPr>
        <w:ind w:left="640" w:hanging="316"/>
        <w:spacing w:after="0"/>
        <w:tabs>
          <w:tab w:leader="none" w:pos="6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consumers’ increasingly dedicated pursuit of active lifestyles and growing interest in nutrition and wellness (including the use of GLP-1 medication);</w:t>
      </w:r>
    </w:p>
    <w:p>
      <w:pPr>
        <w:spacing w:after="0" w:line="122" w:lineRule="exact"/>
        <w:rPr>
          <w:rFonts w:ascii="Times New Roman" w:cs="Times New Roman" w:eastAsia="Times New Roman" w:hAnsi="Times New Roman"/>
          <w:sz w:val="17"/>
          <w:szCs w:val="17"/>
          <w:color w:val="auto"/>
        </w:rPr>
      </w:pPr>
    </w:p>
    <w:p>
      <w:pPr>
        <w:ind w:left="640" w:hanging="316"/>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awareness of the numerous health benefits of protein, including sustained energy, muscle recovery and satiety; and</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rise in snacking and the desire for products that can be consumed on-the-go as nutritious snacks or meal replacements.</w:t>
      </w:r>
    </w:p>
    <w:p>
      <w:pPr>
        <w:spacing w:after="0" w:line="1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Nonetheless, the consumer food and beverage industry faces a number of challenges and uncertainties, including:</w:t>
      </w:r>
    </w:p>
    <w:p>
      <w:pPr>
        <w:spacing w:after="0" w:line="111" w:lineRule="exact"/>
        <w:rPr>
          <w:sz w:val="20"/>
          <w:szCs w:val="20"/>
          <w:color w:val="auto"/>
        </w:rPr>
      </w:pPr>
    </w:p>
    <w:p>
      <w:pPr>
        <w:ind w:left="640" w:hanging="316"/>
        <w:spacing w:after="0" w:line="274"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highly competitive nature of the industry, which involves competition from a host of nutritional food and beverage companies, including manufacturers of other branded food and beverage products as well as manufacturers of private label and store brand products;</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consumer preferences which require food manufacturers to identify changing preferences and to offer products that appeal to consumers; and</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inflationary pressures (see “Market Trends” below for further information).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1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have experienced in the past, and expect to continue to experience, seasonal fluctuations in our sales and operating profit margins because of customer spending patterns and timing of our key retailers’ promotional activity. Historically, our first fiscal quarter is seasonally low for all brands driven by a slowdown of consumption of our products during the holiday season. Sales are typically higher throughout the remainder of the fiscal year as a result of promotional activity at key retailers as well as organic growth of the business.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Trends</w:t>
      </w:r>
    </w:p>
    <w:p>
      <w:pPr>
        <w:spacing w:after="0" w:line="11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During fiscal 2024, inflationary pressures on protein costs eased while other costs, such as packaging and manufacturing, faced inflationary pressures. During fiscal 2025, input costs, including raw material, packaging and manufacturing costs, have faced inflationary pressures. In addition, we anticipate that announced tariffs, and any potential future modifications or incremental tariffs, could increase supply chain challenges, commodity cost volatility and consumer and economic uncertainty due to rapid changes in global trade policies. We expect these trends to have a materially adverse impact on our results of operations if we are unable to mitigate the impact on our business.</w:t>
      </w:r>
    </w:p>
    <w:p>
      <w:pPr>
        <w:spacing w:after="0" w:line="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For additional discussion, refer to “Liquidity and Capital Resources” within this section, as well as “Cautionary Statement on Forward-Looking Statements” on page 1 of this report and “Risk Factors” in Part I of this report.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Affecting Comparability</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During the years ended September 30, 2025 and 2024, net sales and/or operating profit were impacted by the following items:</w:t>
      </w:r>
    </w:p>
    <w:p>
      <w:pPr>
        <w:spacing w:after="0" w:line="109" w:lineRule="exact"/>
        <w:rPr>
          <w:sz w:val="20"/>
          <w:szCs w:val="20"/>
          <w:color w:val="auto"/>
        </w:rPr>
      </w:pPr>
    </w:p>
    <w:p>
      <w:pPr>
        <w:ind w:left="640" w:right="20" w:hanging="316"/>
        <w:spacing w:after="0" w:line="276"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accelerated amortization of $17.4 million for the year ended September 30, 2024 related to the discontinuance of the </w:t>
      </w:r>
      <w:r>
        <w:rPr>
          <w:rFonts w:ascii="Times New Roman" w:cs="Times New Roman" w:eastAsia="Times New Roman" w:hAnsi="Times New Roman"/>
          <w:sz w:val="18"/>
          <w:szCs w:val="18"/>
          <w:i w:val="1"/>
          <w:iCs w:val="1"/>
          <w:color w:val="auto"/>
        </w:rPr>
        <w:t>PowerBar</w:t>
      </w:r>
      <w:r>
        <w:rPr>
          <w:rFonts w:ascii="Times New Roman" w:cs="Times New Roman" w:eastAsia="Times New Roman" w:hAnsi="Times New Roman"/>
          <w:sz w:val="18"/>
          <w:szCs w:val="18"/>
          <w:color w:val="auto"/>
        </w:rPr>
        <w:t xml:space="preserve"> business in North America; and</w:t>
      </w:r>
    </w:p>
    <w:p>
      <w:pPr>
        <w:spacing w:after="0" w:line="55"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 for legal matters of $69.0 million for the year ended September 30, 2025. For additional information, refer to Note 14 within “Notes to Consolidated Financial Statements” in Item 8 of this report.</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further discussion, refer to “Results of Operations” below.</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7"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4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300" w:type="dxa"/>
            <w:vAlign w:val="bottom"/>
          </w:tcPr>
          <w:p>
            <w:pPr>
              <w:spacing w:after="0"/>
              <w:rPr>
                <w:sz w:val="16"/>
                <w:szCs w:val="16"/>
                <w:color w:val="auto"/>
              </w:rPr>
            </w:pPr>
          </w:p>
        </w:tc>
        <w:tc>
          <w:tcPr>
            <w:tcW w:w="1340" w:type="dxa"/>
            <w:vAlign w:val="bottom"/>
            <w:gridSpan w:val="3"/>
            <w:vMerge w:val="restart"/>
          </w:tcPr>
          <w:p>
            <w:pPr>
              <w:ind w:left="560"/>
              <w:spacing w:after="0"/>
              <w:rPr>
                <w:sz w:val="20"/>
                <w:szCs w:val="20"/>
                <w:color w:val="auto"/>
              </w:rPr>
            </w:pPr>
            <w:r>
              <w:rPr>
                <w:rFonts w:ascii="Times New Roman" w:cs="Times New Roman" w:eastAsia="Times New Roman" w:hAnsi="Times New Roman"/>
                <w:sz w:val="16"/>
                <w:szCs w:val="16"/>
                <w:b w:val="1"/>
                <w:bCs w:val="1"/>
                <w:color w:val="auto"/>
              </w:rPr>
              <w:t>Change in</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300" w:type="dxa"/>
            <w:vAlign w:val="bottom"/>
          </w:tcPr>
          <w:p>
            <w:pPr>
              <w:spacing w:after="0"/>
              <w:rPr>
                <w:sz w:val="18"/>
                <w:szCs w:val="18"/>
                <w:color w:val="auto"/>
              </w:rPr>
            </w:pPr>
          </w:p>
        </w:tc>
        <w:tc>
          <w:tcPr>
            <w:tcW w:w="1340" w:type="dxa"/>
            <w:vAlign w:val="bottom"/>
            <w:gridSpan w:val="3"/>
            <w:vMerge w:val="continue"/>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millions</w:t>
            </w:r>
          </w:p>
        </w:tc>
        <w:tc>
          <w:tcPr>
            <w:tcW w:w="2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top w:val="single" w:sz="8" w:color="auto"/>
              <w:bottom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65"/>
        </w:trPr>
        <w:tc>
          <w:tcPr>
            <w:tcW w:w="20" w:type="dxa"/>
            <w:vAlign w:val="bottom"/>
            <w:vMerge w:val="restart"/>
          </w:tcPr>
          <w:p>
            <w:pPr>
              <w:spacing w:after="0"/>
              <w:rPr>
                <w:sz w:val="23"/>
                <w:szCs w:val="23"/>
                <w:color w:val="auto"/>
              </w:rPr>
            </w:pPr>
          </w:p>
        </w:tc>
        <w:tc>
          <w:tcPr>
            <w:tcW w:w="6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20" w:type="dxa"/>
            <w:vAlign w:val="bottom"/>
            <w:vMerge w:val="continue"/>
          </w:tcPr>
          <w:p>
            <w:pPr>
              <w:spacing w:after="0"/>
              <w:rPr>
                <w:sz w:val="19"/>
                <w:szCs w:val="19"/>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6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216.2</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111"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color w:val="auto"/>
        </w:rPr>
        <w:t xml:space="preserve">Net sales increased $320.4 million, or 16%, during the year ended September 30, 2025 compared to the prior year. Sales of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products were up $286.3 million, or 17%, driven by 15% higher volumes primarily due to distribution gains and incremental promotional activity. Average net selling prices increased due to targeted price increases, partially offset by incremental promotional activity. Sales of </w:t>
      </w:r>
      <w:r>
        <w:rPr>
          <w:rFonts w:ascii="Times New Roman" w:cs="Times New Roman" w:eastAsia="Times New Roman" w:hAnsi="Times New Roman"/>
          <w:sz w:val="18"/>
          <w:szCs w:val="18"/>
          <w:i w:val="1"/>
          <w:iCs w:val="1"/>
          <w:color w:val="auto"/>
        </w:rPr>
        <w:t>Dymatize</w:t>
      </w:r>
      <w:r>
        <w:rPr>
          <w:rFonts w:ascii="Times New Roman" w:cs="Times New Roman" w:eastAsia="Times New Roman" w:hAnsi="Times New Roman"/>
          <w:sz w:val="18"/>
          <w:szCs w:val="18"/>
          <w:color w:val="auto"/>
        </w:rPr>
        <w:t xml:space="preserve"> products were up $32.8 million, or 13%, driven by 23% higher volumes primarily due to higher international volumes. Average net selling prices decreased due to unfavorable product mix. Sales of all other products were up $1.3 million.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Profit</w:t>
      </w:r>
    </w:p>
    <w:p>
      <w:pPr>
        <w:spacing w:after="0" w:line="11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 xml:space="preserve">Operating profit decreased $30.3 million, or 8%, during the year ended September 30, 2025 compared to the prior year. This decrease was primarily driven by a provision for legal matters of $69.0 million in the current year, higher net product costs of $72.1 million (driven by higher raw material and manufacturing costs, partially offset by lower freight costs), increased advertising expense of $13.9 million and higher warehousing and distribution costs of $12.0 million. These negative impacts were partially offset by higher net sales, as previously discussed, and accelerated amortization of $17.4 million recorded in the prior year related to the discontinuance of the </w:t>
      </w:r>
      <w:r>
        <w:rPr>
          <w:rFonts w:ascii="Times New Roman" w:cs="Times New Roman" w:eastAsia="Times New Roman" w:hAnsi="Times New Roman"/>
          <w:sz w:val="18"/>
          <w:szCs w:val="18"/>
          <w:i w:val="1"/>
          <w:iCs w:val="1"/>
          <w:color w:val="auto"/>
        </w:rPr>
        <w:t>PowerBar</w:t>
      </w:r>
      <w:r>
        <w:rPr>
          <w:rFonts w:ascii="Times New Roman" w:cs="Times New Roman" w:eastAsia="Times New Roman" w:hAnsi="Times New Roman"/>
          <w:sz w:val="18"/>
          <w:szCs w:val="18"/>
          <w:color w:val="auto"/>
        </w:rPr>
        <w:t xml:space="preserve"> business in North America.</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 Net</w:t>
      </w:r>
    </w:p>
    <w:p>
      <w:pPr>
        <w:spacing w:after="0" w:line="11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Interest expense, net increased $10.1 million during the year ended September 30, 2025 compared to the prior year primarily due to higher outstanding borrowings under our Revolving Credit Facility (as defined in “Liquidity and Capital Resources” within this section). As a result, the weighted-average interest rate on our total outstanding debt increased to 7.1% for the year ended September 30, 2025 from 7.0% for the year ended September 30, 2024. See Note 13 within “Notes to Consolidated Financial Statements” for additional information on our debt.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11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effective income tax rate was 25.2% for both fiscal 2025 and 2024. The following table presents the reconciliation of income tax expense with amounts computed at the United States (“U.S.”) federal statutory tax rate.</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Year Ended September 30,</w:t>
            </w:r>
          </w:p>
        </w:tc>
      </w:tr>
      <w:tr>
        <w:trPr>
          <w:trHeight w:val="209"/>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millions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Computed tax at federal statutory rate (21%)</w:t>
            </w: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r>
      <w:tr>
        <w:trPr>
          <w:trHeight w:val="225"/>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income taxes, net of effect on federal tax</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25"/>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compensation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5"/>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net (none in excess of 5% of computed tax)</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44"/>
        </w:trPr>
        <w:tc>
          <w:tcPr>
            <w:tcW w:w="84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3"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On March 10, 2022, we entered into a credit agreement (as amended, the “Credit Agreement”), which provided for a revolving credit facility in an aggregate principal amount of $250.0 million (the “Revolving Credit Facility”). On August 22, 2025, we entered into a First Amendment to the Credit Agreement (the “Amendment”) which, among other matters, (i) increased the aggregate principal amount available under the Revolving Credit Facility to $500.0 million, (ii) extended the maturity date of the Revolving Credit Facility to August 22, 2030 provided that if on December 14, 2029, our 7.00% Senior Notes maturing in March 2030 have not been redeemed in full in cash or refinanced and replaced in full with notes and/or loans maturing at least 91 days after August 22, 2030, then the maturity date of the Revolving Credit Facility will be December 14, 2029, (iii) reduced the interest rate on borrowings under the Revolving Credit Facility and (iv) broadened certain exceptions to covenants contained in the Credit Agreement that would otherwise restrict certain activities by us, such as repurchases of our common stock. We incurred $2.1 million of financing fees in connection with the Amendment, which were deferred and are being amortized to interest expense over the term of the Revolving Credit Facility.</w:t>
      </w:r>
    </w:p>
    <w:p>
      <w:pPr>
        <w:spacing w:after="0" w:line="8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Letters of credit are available under the Revolving Credit Facility in an aggregate amount of up to $20.0 million. The Credit Agreement provides for potential incremental revolving and term facilities at the Company’s request and at the discretion of the lenders or other persons providing such incremental facilities, in each case on terms to be determined, and also permits the Company to incur other secured or unsecured debt, in all cases subject to conditions and limitations specified in the Credit Agreement.</w:t>
      </w:r>
    </w:p>
    <w:p>
      <w:pPr>
        <w:spacing w:after="0" w:line="7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During the years ended September 30, 2025 and 2024, we borrowed $700.0 million and zero, respectively, and repaid $450.0 million and $25.0 million, respectively, under the Revolving Credit Facility. As of September 30, 2025, we had $247.6 million of available borrowing capacity and $2.4 million letters of credit outstanding under the Revolving Credit Facility.</w:t>
      </w:r>
    </w:p>
    <w:p>
      <w:pPr>
        <w:spacing w:after="0" w:line="7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During the years ended September 30, 2025 and 2024, we repurchased 9.0 million and 2.6 million shares, respectively, of our common stock at an average share price of $52.62 and $56.12 per share, respectively, and at a total cost, including accrued excise tax and broker’s commissions, of $476.6 million and $148.0 million, respectively.</w:t>
      </w:r>
    </w:p>
    <w:p>
      <w:pPr>
        <w:spacing w:after="0" w:line="72" w:lineRule="exact"/>
        <w:rPr>
          <w:sz w:val="20"/>
          <w:szCs w:val="20"/>
          <w:color w:val="auto"/>
        </w:rPr>
      </w:pPr>
    </w:p>
    <w:p>
      <w:pPr>
        <w:ind w:right="300" w:firstLine="318"/>
        <w:spacing w:after="0" w:line="368" w:lineRule="auto"/>
        <w:rPr>
          <w:sz w:val="20"/>
          <w:szCs w:val="20"/>
          <w:color w:val="auto"/>
        </w:rPr>
      </w:pPr>
      <w:r>
        <w:rPr>
          <w:rFonts w:ascii="Times New Roman" w:cs="Times New Roman" w:eastAsia="Times New Roman" w:hAnsi="Times New Roman"/>
          <w:sz w:val="18"/>
          <w:szCs w:val="18"/>
          <w:color w:val="auto"/>
        </w:rPr>
        <w:t xml:space="preserve">For additional information on our Credit Agreement and share repurchases, see Notes 13 and 16 within “Notes to Consolidated Financial Statements.” </w:t>
      </w:r>
      <w:r>
        <w:rPr>
          <w:rFonts w:ascii="Times New Roman" w:cs="Times New Roman" w:eastAsia="Times New Roman" w:hAnsi="Times New Roman"/>
          <w:sz w:val="18"/>
          <w:szCs w:val="18"/>
          <w:i w:val="1"/>
          <w:iCs w:val="1"/>
          <w:color w:val="auto"/>
        </w:rPr>
        <w:t>Sources and Uses of Cash</w:t>
      </w:r>
    </w:p>
    <w:p>
      <w:pPr>
        <w:spacing w:after="0" w:line="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expect to generate positive cash flows from operations and believe our cash on hand, cash flows from operations and current and possible future credit facilities will be sufficient to satisfy our future working capital requirements, purchase commitments, research and development activities, debt repayments (including interest payments), share repurchases and other financing requirements for the foreseeable future. We are currently not aware of any trends or demands, commitments, events or uncertainties that will result in, or that are reasonably likely to result in, our liquidity increasing or decreasing in any material way that will impact meeting our capital needs during or beyond the next twelve months. Our ability to generate positive cash flows from operations is dependent on general economic conditions, competitive pressures and other business risk factors. We believe that we have sufficient liquidity and cash on hand to satisfy our cash needs. If we are unable to generate sufficient cash flows from operations, or otherwise to comply with the terms of our credit facilities, we may be required to seek additional financing alternatives.</w:t>
      </w:r>
    </w:p>
    <w:p>
      <w:pPr>
        <w:spacing w:after="0" w:line="8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Short-term financing needs primarily consist of working capital requirements, interest payments on our 7.00% senior notes maturing in March 2030 (the “7.00% Senior Notes”) and on outstanding borrowings under our Revolving Credit Facility and payments on our provision for legal matters. Long-term financing needs include the repayment of our 7.00% Senior Notes and outstanding borrowings under our Revolving Credit Facility. Additional long-term financing needs will depend largely 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potential growth opportunities, including acquisition activity and other strategic transactions. Our asset-light business model requires modest capital expenditures, with annual capital expenditures over the last three fiscal years averaging less than 1% of net sales. No significant capital expenditures are planned for fiscal 2026. Additionally, we may continue to repurchase shares of our common stock. Such repurchases, if any, will depend on prevailing market conditions, our liquidity requirements, contractual restrictions and other factors. The amounts involved may be material.</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Requirements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cash requirements under our various contractual obligations and commitments include:</w:t>
      </w:r>
    </w:p>
    <w:p>
      <w:pPr>
        <w:spacing w:after="0" w:line="109" w:lineRule="exact"/>
        <w:rPr>
          <w:sz w:val="20"/>
          <w:szCs w:val="20"/>
          <w:color w:val="auto"/>
        </w:rPr>
      </w:pPr>
    </w:p>
    <w:p>
      <w:pPr>
        <w:ind w:left="640" w:hanging="316"/>
        <w:spacing w:after="0" w:line="276" w:lineRule="auto"/>
        <w:tabs>
          <w:tab w:leader="none" w:pos="635"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Debt Obligations and Interest Payments </w:t>
      </w:r>
      <w:r>
        <w:rPr>
          <w:rFonts w:ascii="Times New Roman" w:cs="Times New Roman" w:eastAsia="Times New Roman" w:hAnsi="Times New Roman"/>
          <w:sz w:val="18"/>
          <w:szCs w:val="18"/>
          <w:color w:val="auto"/>
        </w:rPr>
        <w:t>— See Note 13 within “Notes to Consolidated Financial Statements” for additional information on our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timing of expected future principal and interest payments.</w:t>
      </w:r>
    </w:p>
    <w:p>
      <w:pPr>
        <w:spacing w:after="0" w:line="53" w:lineRule="exact"/>
        <w:rPr>
          <w:rFonts w:ascii="Times New Roman" w:cs="Times New Roman" w:eastAsia="Times New Roman" w:hAnsi="Times New Roman"/>
          <w:sz w:val="18"/>
          <w:szCs w:val="18"/>
          <w:b w:val="1"/>
          <w:bCs w:val="1"/>
          <w:color w:val="auto"/>
        </w:rPr>
      </w:pPr>
    </w:p>
    <w:p>
      <w:pPr>
        <w:ind w:left="640" w:hanging="316"/>
        <w:spacing w:after="0" w:line="276" w:lineRule="auto"/>
        <w:tabs>
          <w:tab w:leader="none" w:pos="635"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Operating Leases </w:t>
      </w:r>
      <w:r>
        <w:rPr>
          <w:rFonts w:ascii="Times New Roman" w:cs="Times New Roman" w:eastAsia="Times New Roman" w:hAnsi="Times New Roman"/>
          <w:sz w:val="18"/>
          <w:szCs w:val="18"/>
          <w:color w:val="auto"/>
        </w:rPr>
        <w:t>— See Note 10 within “Notes to Consolidated Financial Statements” for additional information on our operating leases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timing of expected future payments.</w:t>
      </w:r>
    </w:p>
    <w:p>
      <w:pPr>
        <w:spacing w:after="0" w:line="53" w:lineRule="exact"/>
        <w:rPr>
          <w:rFonts w:ascii="Times New Roman" w:cs="Times New Roman" w:eastAsia="Times New Roman" w:hAnsi="Times New Roman"/>
          <w:sz w:val="18"/>
          <w:szCs w:val="18"/>
          <w:b w:val="1"/>
          <w:bCs w:val="1"/>
          <w:color w:val="auto"/>
        </w:rPr>
      </w:pPr>
    </w:p>
    <w:p>
      <w:pPr>
        <w:jc w:val="both"/>
        <w:ind w:left="640" w:hanging="316"/>
        <w:spacing w:after="0" w:line="275" w:lineRule="auto"/>
        <w:tabs>
          <w:tab w:leader="none" w:pos="635" w:val="left"/>
        </w:tabs>
        <w:numPr>
          <w:ilvl w:val="0"/>
          <w:numId w:val="20"/>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i w:val="1"/>
          <w:iCs w:val="1"/>
          <w:color w:val="auto"/>
        </w:rPr>
        <w:t xml:space="preserve">Purchase Obligations </w:t>
      </w:r>
      <w:r>
        <w:rPr>
          <w:rFonts w:ascii="Times New Roman" w:cs="Times New Roman" w:eastAsia="Times New Roman" w:hAnsi="Times New Roman"/>
          <w:sz w:val="17"/>
          <w:szCs w:val="17"/>
          <w:color w:val="auto"/>
        </w:rPr>
        <w:t>— Purchase obligations are legally binding agreements to purchase goods, services or equipment that specify all significant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terms, including: fixed or minimum quantities to be purchased and/or penalties imposed for failing to meet contracted minimum purchase quantities (such as “take-or-pay” contracts); fixed, minimum or variable price provisions; and the approximate timing of the transaction. As of September 30, 2025, we had total purchase commitments of $1,362.9 million (with $602.7 million due in fiscal 2026) which extend through fiscal 2033.</w:t>
      </w:r>
    </w:p>
    <w:p>
      <w:pPr>
        <w:spacing w:after="0" w:line="58" w:lineRule="exact"/>
        <w:rPr>
          <w:rFonts w:ascii="Times New Roman" w:cs="Times New Roman" w:eastAsia="Times New Roman" w:hAnsi="Times New Roman"/>
          <w:sz w:val="17"/>
          <w:szCs w:val="17"/>
          <w:b w:val="1"/>
          <w:bCs w:val="1"/>
          <w:i w:val="1"/>
          <w:iCs w:val="1"/>
          <w:color w:val="auto"/>
        </w:rPr>
      </w:pPr>
    </w:p>
    <w:p>
      <w:pPr>
        <w:ind w:left="640" w:hanging="316"/>
        <w:spacing w:after="0" w:line="276"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Provision for Legal Matters </w:t>
      </w:r>
      <w:r>
        <w:rPr>
          <w:rFonts w:ascii="Times New Roman" w:cs="Times New Roman" w:eastAsia="Times New Roman" w:hAnsi="Times New Roman"/>
          <w:sz w:val="18"/>
          <w:szCs w:val="18"/>
          <w:color w:val="auto"/>
        </w:rPr>
        <w:t>— See Note 14 within “Notes to Consolidated Financial Statements” for additional information on our provision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legal matters, which is expected to be paid in fiscal 2026.</w:t>
      </w:r>
    </w:p>
    <w:p>
      <w:pPr>
        <w:spacing w:after="0" w:line="53" w:lineRule="exact"/>
        <w:rPr>
          <w:rFonts w:ascii="Times New Roman" w:cs="Times New Roman" w:eastAsia="Times New Roman" w:hAnsi="Times New Roman"/>
          <w:sz w:val="18"/>
          <w:szCs w:val="18"/>
          <w:color w:val="auto"/>
        </w:rPr>
      </w:pPr>
    </w:p>
    <w:p>
      <w:pPr>
        <w:jc w:val="both"/>
        <w:ind w:left="640" w:hanging="316"/>
        <w:spacing w:after="0" w:line="261" w:lineRule="auto"/>
        <w:tabs>
          <w:tab w:leader="none" w:pos="635"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Other Liabilities </w:t>
      </w:r>
      <w:r>
        <w:rPr>
          <w:rFonts w:ascii="Times New Roman" w:cs="Times New Roman" w:eastAsia="Times New Roman" w:hAnsi="Times New Roman"/>
          <w:sz w:val="18"/>
          <w:szCs w:val="18"/>
          <w:color w:val="auto"/>
        </w:rPr>
        <w:t>— Other liabilities include obligations associated with certain employee benefit programs, unrecognized tax benefits and various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long-term liabilities, all of which have some inherent uncertainty as to the amount and timing of payments and were reflected on our Consolidated Balance Sheets as of September 30, 2025.</w:t>
      </w:r>
    </w:p>
    <w:p>
      <w:pPr>
        <w:spacing w:after="0" w:line="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select cash flow data, which is discussed below.</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Year Ended September 30,</w:t>
            </w:r>
          </w:p>
        </w:tc>
      </w:tr>
      <w:tr>
        <w:trPr>
          <w:trHeight w:val="209"/>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millions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6"/>
        </w:trPr>
        <w:tc>
          <w:tcPr>
            <w:tcW w:w="8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provided by (used in):</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5"/>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14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w:t>
            </w:r>
          </w:p>
        </w:tc>
      </w:tr>
      <w:tr>
        <w:trPr>
          <w:trHeight w:val="225"/>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5"/>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(238.3)</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w:t>
            </w:r>
          </w:p>
        </w:tc>
      </w:tr>
      <w:tr>
        <w:trPr>
          <w:trHeight w:val="225"/>
        </w:trPr>
        <w:tc>
          <w:tcPr>
            <w:tcW w:w="8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8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0"/>
        </w:trPr>
        <w:tc>
          <w:tcPr>
            <w:tcW w:w="8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p>
      <w:pPr>
        <w:spacing w:after="0" w:line="11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Cash provided by operating activities for the year ended September 30, 2025 increased $61.0 million compared to the prior year. This increase was primarily driven by fluctuations in the timing of collections of trade receivables, smaller inventory cash outflows in the current year (driven by increased production in the prior year) and decreased tax payments (net of refunds) of $4.1 million, partially offset by increased interest payments of $8.7 million.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p>
      <w:pPr>
        <w:spacing w:after="0" w:line="11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Cash used in investing activities for the year ended September 30, 2025 increased $2.9 million compared to the prior year resulting from an increase in capital expenditures.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11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Cash used in financing activities for the year ended September 30, 2025 increased $63.2 million compared to the prior year, driven by higher payments of $328.3 million, including excise tax payments and broker’s commissions, for the repurchase of our common stock, higher repayments of $425.0 million under the Revolving Credit Facility and higher tax withholding payments related to stock compensation plans of $8.0 million. These cash outflows were partially offset by higher borrowings of $700.0 million under the Revolving Credit Facility.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Covenants</w:t>
      </w:r>
    </w:p>
    <w:p>
      <w:pPr>
        <w:spacing w:after="0" w:line="11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Credit Agreement contains affirmative and negative covenants applicable to us and our restricted subsidiaries customary for agreements of this type, including delivery of financial and other information; compliance with laws;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maintenance of property, existence, insurance, and books and records; providing for inspection rights; obligation to provide collateral and guarantees by certain new subsidiaries; delivery of environmental reports; participation in an annual meeting with the agent and the lenders; further assurances; and limitations with respect to indebtedness, liens, fundamental changes, restrictive agreements, use of proceeds, amendments of organization documents, prepayments and amendments of certain indebtedness, dispositions of assets, acquisitions and other investments, sale leaseback transactions, changes in the nature of business, transactions with affiliates and dividends and redemptions or repurchases of stock. Under the terms of the Credit Agreement, we are also required to comply with a financial covenant requiring us to maintain a total net leverage ratio (as defined in the Credit Agreement) not to exceed 6.00:1.00, measured as of the last day of each fiscal quarter. We were in compliance with the financial covenant as of September 30, 2025, and we do not believe non-compliance is reasonably likely in the foreseeable future.</w:t>
      </w:r>
    </w:p>
    <w:p>
      <w:pPr>
        <w:spacing w:after="0" w:line="8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Credit Agreement provides for potential incremental revolving and term facilities at our request and at the discretion of the lenders or other persons providing such incremental facilities, in each case on terms to be determined, and also permits us to incur other secured or unsecured debt, in all cases subject to conditions and limitations as specified in the Credit Agreement.</w:t>
      </w:r>
    </w:p>
    <w:p>
      <w:pPr>
        <w:spacing w:after="0" w:line="7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addition, the indenture governing the 7.00% Senior Notes contains negative covenants customary for this type of agreement that limit our ability and the ability of our restricted subsidiaries to, among other things: borrow money or guarantee debt; create liens; pay dividends on, or redeem or repurchase, stock; make specified types of investments and acquisitions; enter into or permit to exist contractual limits on the ability of our subsidiaries to pay dividends to us; enter into transactions with affiliates; and sell assets or merge with other companies. Certain of these covenants are subject to suspension when and if the 7.00% Senior Notes receive investment grade ratings.</w:t>
      </w:r>
    </w:p>
    <w:p>
      <w:pPr>
        <w:spacing w:after="0" w:line="18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COMMODITY TRENDS</w:t>
      </w:r>
    </w:p>
    <w:p>
      <w:pPr>
        <w:spacing w:after="0" w:line="113"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are exposed to price fluctuations primarily from purchases of ingredients and packaging materials, energy and other inputs. Our principal ingredients are milk-based, whey-based and soy-based proteins, protein blends, sweeteners and vitamin and mineral blends. Our principal packaging materials consist of aseptic foil and plastic lined cardboard cartons, flexible and rigid plastic film and containers, beverage packaging and corrugate. These costs have been volatile in recent years, and future changes in such costs may cause our results of operations and our operating margins to fluctuate significantly. We manage the impact of cost increases, wherever possible, on commercially reasonable terms, by locking in prices on the quantities through purchase commitments required to meet our production requirements. In addition, we may attempt to offset the effect of increased costs by raising prices to our customers. However, for competitive reasons, we may not be able to pass along the full effect of increases in raw materials and other input costs as we incur them. See “Market Trends” section above for additional information regarding inflationary pressures on our commodity purchases.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CURRENCY</w:t>
      </w:r>
    </w:p>
    <w:p>
      <w:pPr>
        <w:spacing w:after="0" w:line="113"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Certain sales and costs of our foreign operations are denominated in Euros and Canadian Dollars (“CAD”). Consequently, profits from these operations are impacted by fluctuations in the value of this currency relative to the U.S. Dollar. We incur gains and losses within our stockholders’ equity due to the translation of our financial statements from foreign currencies into U.S. Dollars and our income statement trends may be impacted by such translation of the income statements of our foreign operations. The exchange rates used to translate our foreign sales into U.S. Dollars positively affected net sales by less than 1% during the year ended September 30, 2025, and did not have a material impact on our operating profit or net earnings during the year ended September 30, 2025.</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6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accounting principles generally accepted in the United States of America (“GAAP”) requires the use of judgment, estimates and assumptions. We make these subjective determinations after considering our historical performance, management’s experience, current economic trends and events and information from outside sources. Inherent in this process is the possibility that actual results could differ from these estimates and assumptions for any particular period.</w:t>
      </w:r>
    </w:p>
    <w:p>
      <w:pPr>
        <w:spacing w:after="0" w:line="7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significant accounting policies are described in Note 2 within “Notes to Consolidated Financial Statements.” Our critical accounting estimates are those that involve a significant amount of estimation uncertainty and have a meaningful impact on the reporting of our financial condition and results of operations.</w:t>
      </w:r>
    </w:p>
    <w:p>
      <w:pPr>
        <w:spacing w:after="0" w:line="70"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Revenue Recognition, Allowance for Trade Promotions </w:t>
      </w:r>
      <w:r>
        <w:rPr>
          <w:rFonts w:ascii="Times New Roman" w:cs="Times New Roman" w:eastAsia="Times New Roman" w:hAnsi="Times New Roman"/>
          <w:sz w:val="18"/>
          <w:szCs w:val="18"/>
          <w:color w:val="auto"/>
        </w:rPr>
        <w:t>— The recognition of certain variable trade promotions, which are treated as a reduction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 requires significant management judgment regarding estimated purchase volumes and program participation. Estimates are based on contractual provisions, redemption rate assumptions and our assessment of current market provisions. Redemption rate assumptions are based on historical results of similar promotions on a deal-by-deal</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basis, adjusted for current expectations of promotion performance based on current market trends. We review and update estimates of variable consideration quarterly. Uncertainties related to the estimates of variable consideration are resolved in a short time frame and do not require any additional constraint on variable consideration. Less than 1% of our annual net sales represent variable consideration that will be resolved in the subsequent period. Based on historical experience, we do not believe that there will be significant changes to our estimates of variable consideration when any uncertainties are resolved with customers. However, significant changes in our estimates could have a material impact on our results of operations.</w:t>
      </w:r>
    </w:p>
    <w:p>
      <w:pPr>
        <w:spacing w:after="0" w:line="183"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STANDARDS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Note 3 within “Notes to Consolidated Financial Statements” for a discussion regarding recently issued and adopted accounting standards.</w:t>
      </w:r>
    </w:p>
    <w:p>
      <w:pPr>
        <w:spacing w:after="0" w:line="21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1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 is exposed to market risk from commodity prices, foreign currency exchange rates and interest rates, among others. For additional discussion of these risks, refer to “Cautionary Statement on Forward-Looking Statements” on page 1 and “Risk Factors” in Item 1A of this report.</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113"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the ordinary course of business, the Company is exposed to commodity price risks relating to the purchases of raw materials. The Company may use futures contracts and options to manage certain of these exposures when it is practical to do so. A hypothetical 10% adverse change in the market price of the Company’s principal hedged commodities, non-fat dry milk, would have changed the fair value of the Company’s commodity-related derivatives portfolio by approximately $1 million as of September 30, 2025 and less than $1 million as of September 30, 2024. This volatility analysis ignores changes in the exposures inherent in the underlying hedged transactions. Because the Company does not hold or trade derivatives for speculation or profit, all changes in derivative values are effectively offset by corresponding changes in the underlying commodity exposures.</w:t>
      </w:r>
    </w:p>
    <w:p>
      <w:pPr>
        <w:spacing w:after="0" w:line="79" w:lineRule="exact"/>
        <w:rPr>
          <w:sz w:val="20"/>
          <w:szCs w:val="20"/>
          <w:color w:val="auto"/>
        </w:rPr>
      </w:pPr>
    </w:p>
    <w:p>
      <w:pPr>
        <w:ind w:right="940" w:firstLine="318"/>
        <w:spacing w:after="0" w:line="368" w:lineRule="auto"/>
        <w:rPr>
          <w:sz w:val="20"/>
          <w:szCs w:val="20"/>
          <w:color w:val="auto"/>
        </w:rPr>
      </w:pPr>
      <w:r>
        <w:rPr>
          <w:rFonts w:ascii="Times New Roman" w:cs="Times New Roman" w:eastAsia="Times New Roman" w:hAnsi="Times New Roman"/>
          <w:sz w:val="18"/>
          <w:szCs w:val="18"/>
          <w:color w:val="auto"/>
        </w:rPr>
        <w:t xml:space="preserve">For additional information regarding the Company’s commodity contracts, see Note 11 within “Notes to Consolidated Financial Statements.” </w:t>
      </w:r>
      <w:r>
        <w:rPr>
          <w:rFonts w:ascii="Times New Roman" w:cs="Times New Roman" w:eastAsia="Times New Roman" w:hAnsi="Times New Roman"/>
          <w:sz w:val="18"/>
          <w:szCs w:val="18"/>
          <w:b w:val="1"/>
          <w:bCs w:val="1"/>
          <w:color w:val="auto"/>
        </w:rPr>
        <w:t>Foreign Currency Risk</w:t>
      </w:r>
    </w:p>
    <w:p>
      <w:pPr>
        <w:spacing w:after="0" w:line="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Related to Active Nutrition International GmbH, whose functional currency is the Euro, the Company is exposed to risks of fluctuations in future cash flows and earnings due to changes in foreign currency exchange rates. Related to the Premier Nutrition Company, LLC, a subsidiary of the Company whose functional currency is the U.S. Dollar, the Company is exposed to foreign currency transactional risk as it sells to certain customers in CAD. The foreign currency balance sheet exposures as a result of these CAD transactions are not expected to result in a significant impact on future earnings or cash flows.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1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As of both September 30, 2025 and 2024, the Company had outstanding principal value indebtedness of $840.0 million related to its 7.00% Senior Notes. Additionally, the Company had an aggregate principal amount of $250.0 million outstanding under its Revolving Credit Facility as of September 30, 2025 and no amounts outstanding under its Revolving Credit Facility as of September 30, 2024. Borrowings under the Revolving Credit Facility bore interest at a variable interest rate of 6.14% as of September 30, 2025.</w:t>
      </w:r>
    </w:p>
    <w:p>
      <w:pPr>
        <w:spacing w:after="0" w:line="7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As of September 30, 2025 and 2024, the fair value of the Company’s debt, excluding any borrowings under its Revolving Credit Facility, was $869.0 million and $880.6 million, respectively. Changes in interest rates impact fixed and variable rate debt differently. For fixed rate debt, a change in interest rates will only impact the fair value of the debt, whereas a change in the interest rates on variable rate debt will impact interest expense and cash flows. A hypothetical 10% change in interest rates would have changed the fair value of the fixed rate debt by approximately $5 million and $7 million as of September 30, 2025 and 2024, respectively. A hypothetical 10% change in interest rates would have had an immaterial impact on both interest expense and interest paid on variable rate debt during the years ended September 30, 2025 and 2024. For additional information regarding the Company’s debt, see Note 13 within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Table of Contents</w:t>
            </w:r>
          </w:p>
        </w:tc>
        <w:tc>
          <w:tcPr>
            <w:tcW w:w="8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922"/>
        </w:trPr>
        <w:tc>
          <w:tcPr>
            <w:tcW w:w="9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4"/>
        </w:trPr>
        <w:tc>
          <w:tcPr>
            <w:tcW w:w="1260" w:type="dxa"/>
            <w:vAlign w:val="bottom"/>
          </w:tcPr>
          <w:p>
            <w:pPr>
              <w:spacing w:after="0"/>
              <w:rPr>
                <w:sz w:val="24"/>
                <w:szCs w:val="24"/>
                <w:color w:val="auto"/>
              </w:rPr>
            </w:pPr>
          </w:p>
        </w:tc>
        <w:tc>
          <w:tcPr>
            <w:tcW w:w="8320" w:type="dxa"/>
            <w:vAlign w:val="bottom"/>
          </w:tcPr>
          <w:p>
            <w:pPr>
              <w:ind w:left="280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1"/>
        </w:trPr>
        <w:tc>
          <w:tcPr>
            <w:tcW w:w="95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Audited Consolidated Financial Statements</w:t>
            </w:r>
          </w:p>
        </w:tc>
        <w:tc>
          <w:tcPr>
            <w:tcW w:w="1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5"/>
        </w:trPr>
        <w:tc>
          <w:tcPr>
            <w:tcW w:w="9580" w:type="dxa"/>
            <w:vAlign w:val="bottom"/>
            <w:tcBorders>
              <w:bottom w:val="single" w:sz="8" w:color="CCEEFF"/>
            </w:tcBorders>
            <w:gridSpan w:val="2"/>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color w:val="auto"/>
              </w:rPr>
              <w:t>Report of Independent Registered Public Accounting Firm (PCAOB ID 238)</w:t>
            </w:r>
          </w:p>
        </w:tc>
        <w:tc>
          <w:tcPr>
            <w:tcW w:w="13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FF"/>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0000FF"/>
                <w:w w:val="88"/>
              </w:rPr>
              <w:t>42</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5"/>
        </w:trPr>
        <w:tc>
          <w:tcPr>
            <w:tcW w:w="9580" w:type="dxa"/>
            <w:vAlign w:val="bottom"/>
            <w:gridSpan w:val="2"/>
          </w:tcPr>
          <w:p>
            <w:pPr>
              <w:ind w:left="20"/>
              <w:spacing w:after="0" w:line="186" w:lineRule="exact"/>
              <w:rPr>
                <w:sz w:val="20"/>
                <w:szCs w:val="20"/>
                <w:color w:val="auto"/>
              </w:rPr>
            </w:pPr>
            <w:r>
              <w:rPr>
                <w:rFonts w:ascii="Times New Roman" w:cs="Times New Roman" w:eastAsia="Times New Roman" w:hAnsi="Times New Roman"/>
                <w:sz w:val="18"/>
                <w:szCs w:val="18"/>
                <w:color w:val="auto"/>
              </w:rPr>
              <w:t>Consolidated Statements of Operations for the Fiscal Years Ended September 30, 2025, 2024 and 2023</w:t>
            </w:r>
          </w:p>
        </w:tc>
        <w:tc>
          <w:tcPr>
            <w:tcW w:w="1380" w:type="dxa"/>
            <w:vAlign w:val="bottom"/>
          </w:tcPr>
          <w:p>
            <w:pPr>
              <w:spacing w:after="0"/>
              <w:rPr>
                <w:sz w:val="16"/>
                <w:szCs w:val="16"/>
                <w:color w:val="auto"/>
              </w:rPr>
            </w:pPr>
          </w:p>
        </w:tc>
        <w:tc>
          <w:tcPr>
            <w:tcW w:w="180" w:type="dxa"/>
            <w:vAlign w:val="bottom"/>
            <w:tcBorders>
              <w:bottom w:val="single" w:sz="8" w:color="0000FF"/>
            </w:tcBorders>
          </w:tcPr>
          <w:p>
            <w:pPr>
              <w:jc w:val="right"/>
              <w:spacing w:after="0" w:line="186" w:lineRule="exact"/>
              <w:rPr>
                <w:sz w:val="20"/>
                <w:szCs w:val="20"/>
                <w:color w:val="auto"/>
              </w:rPr>
            </w:pPr>
            <w:r>
              <w:rPr>
                <w:rFonts w:ascii="Times New Roman" w:cs="Times New Roman" w:eastAsia="Times New Roman" w:hAnsi="Times New Roman"/>
                <w:sz w:val="18"/>
                <w:szCs w:val="18"/>
                <w:color w:val="0000FF"/>
                <w:w w:val="88"/>
              </w:rPr>
              <w:t>44</w:t>
            </w:r>
          </w:p>
        </w:tc>
        <w:tc>
          <w:tcPr>
            <w:tcW w:w="100" w:type="dxa"/>
            <w:vAlign w:val="bottom"/>
          </w:tcPr>
          <w:p>
            <w:pPr>
              <w:spacing w:after="0"/>
              <w:rPr>
                <w:sz w:val="16"/>
                <w:szCs w:val="16"/>
                <w:color w:val="auto"/>
              </w:rPr>
            </w:pPr>
          </w:p>
        </w:tc>
      </w:tr>
      <w:tr>
        <w:trPr>
          <w:trHeight w:val="215"/>
        </w:trPr>
        <w:tc>
          <w:tcPr>
            <w:tcW w:w="9580" w:type="dxa"/>
            <w:vAlign w:val="bottom"/>
            <w:tcBorders>
              <w:bottom w:val="single" w:sz="8" w:color="CCEEFF"/>
            </w:tcBorders>
            <w:gridSpan w:val="2"/>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Consolidated Statements of Comprehensive Income for the Fiscal Years Ended September 30, 2025, 2024 and 2023</w:t>
            </w:r>
          </w:p>
        </w:tc>
        <w:tc>
          <w:tcPr>
            <w:tcW w:w="13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0000FF"/>
                <w:w w:val="88"/>
              </w:rPr>
              <w:t>45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195"/>
        </w:trPr>
        <w:tc>
          <w:tcPr>
            <w:tcW w:w="9580" w:type="dxa"/>
            <w:vAlign w:val="bottom"/>
            <w:gridSpan w:val="2"/>
          </w:tcPr>
          <w:p>
            <w:pPr>
              <w:ind w:left="20"/>
              <w:spacing w:after="0" w:line="186" w:lineRule="exact"/>
              <w:rPr>
                <w:sz w:val="20"/>
                <w:szCs w:val="20"/>
                <w:color w:val="auto"/>
              </w:rPr>
            </w:pPr>
            <w:r>
              <w:rPr>
                <w:rFonts w:ascii="Times New Roman" w:cs="Times New Roman" w:eastAsia="Times New Roman" w:hAnsi="Times New Roman"/>
                <w:sz w:val="18"/>
                <w:szCs w:val="18"/>
                <w:color w:val="auto"/>
              </w:rPr>
              <w:t>Consolidated Balance Sheets as of September 30, 2025 and 2024</w:t>
            </w:r>
          </w:p>
        </w:tc>
        <w:tc>
          <w:tcPr>
            <w:tcW w:w="1380" w:type="dxa"/>
            <w:vAlign w:val="bottom"/>
          </w:tcPr>
          <w:p>
            <w:pPr>
              <w:spacing w:after="0"/>
              <w:rPr>
                <w:sz w:val="16"/>
                <w:szCs w:val="16"/>
                <w:color w:val="auto"/>
              </w:rPr>
            </w:pPr>
          </w:p>
        </w:tc>
        <w:tc>
          <w:tcPr>
            <w:tcW w:w="180" w:type="dxa"/>
            <w:vAlign w:val="bottom"/>
            <w:tcBorders>
              <w:bottom w:val="single" w:sz="8" w:color="0000FF"/>
            </w:tcBorders>
          </w:tcPr>
          <w:p>
            <w:pPr>
              <w:jc w:val="right"/>
              <w:spacing w:after="0" w:line="186" w:lineRule="exact"/>
              <w:rPr>
                <w:sz w:val="20"/>
                <w:szCs w:val="20"/>
                <w:color w:val="auto"/>
              </w:rPr>
            </w:pPr>
            <w:r>
              <w:rPr>
                <w:rFonts w:ascii="Times New Roman" w:cs="Times New Roman" w:eastAsia="Times New Roman" w:hAnsi="Times New Roman"/>
                <w:sz w:val="18"/>
                <w:szCs w:val="18"/>
                <w:color w:val="0000FF"/>
                <w:w w:val="88"/>
              </w:rPr>
              <w:t>46</w:t>
            </w:r>
          </w:p>
        </w:tc>
        <w:tc>
          <w:tcPr>
            <w:tcW w:w="100" w:type="dxa"/>
            <w:vAlign w:val="bottom"/>
          </w:tcPr>
          <w:p>
            <w:pPr>
              <w:spacing w:after="0"/>
              <w:rPr>
                <w:sz w:val="16"/>
                <w:szCs w:val="16"/>
                <w:color w:val="auto"/>
              </w:rPr>
            </w:pPr>
          </w:p>
        </w:tc>
      </w:tr>
      <w:tr>
        <w:trPr>
          <w:trHeight w:val="215"/>
        </w:trPr>
        <w:tc>
          <w:tcPr>
            <w:tcW w:w="9580" w:type="dxa"/>
            <w:vAlign w:val="bottom"/>
            <w:tcBorders>
              <w:bottom w:val="single" w:sz="8" w:color="CCEEFF"/>
            </w:tcBorders>
            <w:gridSpan w:val="2"/>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Consolidated Statements of Cash Flows for the Fiscal Years Ended September 30, 2025, 2024 and 2023</w:t>
            </w:r>
          </w:p>
        </w:tc>
        <w:tc>
          <w:tcPr>
            <w:tcW w:w="13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0000FF"/>
                <w:w w:val="88"/>
              </w:rPr>
              <w:t>47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195"/>
        </w:trPr>
        <w:tc>
          <w:tcPr>
            <w:tcW w:w="9580" w:type="dxa"/>
            <w:vAlign w:val="bottom"/>
            <w:gridSpan w:val="2"/>
          </w:tcPr>
          <w:p>
            <w:pPr>
              <w:ind w:left="20"/>
              <w:spacing w:after="0" w:line="186" w:lineRule="exact"/>
              <w:rPr>
                <w:sz w:val="20"/>
                <w:szCs w:val="20"/>
                <w:color w:val="auto"/>
              </w:rPr>
            </w:pPr>
            <w:r>
              <w:rPr>
                <w:rFonts w:ascii="Times New Roman" w:cs="Times New Roman" w:eastAsia="Times New Roman" w:hAnsi="Times New Roman"/>
                <w:sz w:val="18"/>
                <w:szCs w:val="18"/>
                <w:color w:val="auto"/>
              </w:rPr>
              <w:t>Consolidated Statements of Stockholders’ Deficit for the Fiscal Years Ended September 30, 2025, 2024 and 2023</w:t>
            </w:r>
          </w:p>
        </w:tc>
        <w:tc>
          <w:tcPr>
            <w:tcW w:w="1380" w:type="dxa"/>
            <w:vAlign w:val="bottom"/>
          </w:tcPr>
          <w:p>
            <w:pPr>
              <w:spacing w:after="0"/>
              <w:rPr>
                <w:sz w:val="16"/>
                <w:szCs w:val="16"/>
                <w:color w:val="auto"/>
              </w:rPr>
            </w:pPr>
          </w:p>
        </w:tc>
        <w:tc>
          <w:tcPr>
            <w:tcW w:w="180" w:type="dxa"/>
            <w:vAlign w:val="bottom"/>
            <w:tcBorders>
              <w:bottom w:val="single" w:sz="8" w:color="0000FF"/>
            </w:tcBorders>
          </w:tcPr>
          <w:p>
            <w:pPr>
              <w:jc w:val="right"/>
              <w:spacing w:after="0" w:line="186" w:lineRule="exact"/>
              <w:rPr>
                <w:sz w:val="20"/>
                <w:szCs w:val="20"/>
                <w:color w:val="auto"/>
              </w:rPr>
            </w:pPr>
            <w:r>
              <w:rPr>
                <w:rFonts w:ascii="Times New Roman" w:cs="Times New Roman" w:eastAsia="Times New Roman" w:hAnsi="Times New Roman"/>
                <w:sz w:val="18"/>
                <w:szCs w:val="18"/>
                <w:color w:val="0000FF"/>
                <w:w w:val="88"/>
              </w:rPr>
              <w:t>48</w:t>
            </w:r>
          </w:p>
        </w:tc>
        <w:tc>
          <w:tcPr>
            <w:tcW w:w="100" w:type="dxa"/>
            <w:vAlign w:val="bottom"/>
          </w:tcPr>
          <w:p>
            <w:pPr>
              <w:spacing w:after="0"/>
              <w:rPr>
                <w:sz w:val="16"/>
                <w:szCs w:val="16"/>
                <w:color w:val="auto"/>
              </w:rPr>
            </w:pPr>
          </w:p>
        </w:tc>
      </w:tr>
      <w:tr>
        <w:trPr>
          <w:trHeight w:val="215"/>
        </w:trPr>
        <w:tc>
          <w:tcPr>
            <w:tcW w:w="9580" w:type="dxa"/>
            <w:vAlign w:val="bottom"/>
            <w:gridSpan w:val="2"/>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Notes to Consolidated Financial Statements</w:t>
            </w:r>
          </w:p>
        </w:tc>
        <w:tc>
          <w:tcPr>
            <w:tcW w:w="1560" w:type="dxa"/>
            <w:vAlign w:val="bottom"/>
            <w:gridSpan w:val="2"/>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0000FF"/>
              </w:rPr>
              <w:t>49</w:t>
            </w:r>
          </w:p>
        </w:tc>
        <w:tc>
          <w:tcPr>
            <w:tcW w:w="100" w:type="dxa"/>
            <w:vAlign w:val="bottom"/>
            <w:shd w:val="clear" w:color="auto" w:fill="CCEEFF"/>
          </w:tcPr>
          <w:p>
            <w:pPr>
              <w:spacing w:after="0"/>
              <w:rPr>
                <w:sz w:val="18"/>
                <w:szCs w:val="18"/>
                <w:color w:val="auto"/>
              </w:rPr>
            </w:pPr>
          </w:p>
        </w:tc>
      </w:tr>
      <w:tr>
        <w:trPr>
          <w:trHeight w:val="1127"/>
        </w:trPr>
        <w:tc>
          <w:tcPr>
            <w:tcW w:w="9580" w:type="dxa"/>
            <w:vAlign w:val="bottom"/>
            <w:tcBorders>
              <w:top w:val="single" w:sz="8" w:color="CCEEFF"/>
            </w:tcBorders>
            <w:gridSpan w:val="2"/>
          </w:tcPr>
          <w:p>
            <w:pPr>
              <w:ind w:left="5540"/>
              <w:spacing w:after="0"/>
              <w:rPr>
                <w:sz w:val="20"/>
                <w:szCs w:val="20"/>
                <w:color w:val="auto"/>
              </w:rPr>
            </w:pPr>
            <w:r>
              <w:rPr>
                <w:rFonts w:ascii="Times New Roman" w:cs="Times New Roman" w:eastAsia="Times New Roman" w:hAnsi="Times New Roman"/>
                <w:sz w:val="18"/>
                <w:szCs w:val="18"/>
                <w:color w:val="auto"/>
              </w:rPr>
              <w:t>41</w:t>
            </w:r>
          </w:p>
        </w:tc>
        <w:tc>
          <w:tcPr>
            <w:tcW w:w="1380" w:type="dxa"/>
            <w:vAlign w:val="bottom"/>
            <w:tcBorders>
              <w:top w:val="single" w:sz="8" w:color="CCEE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1"/>
        </w:trPr>
        <w:tc>
          <w:tcPr>
            <w:tcW w:w="1260" w:type="dxa"/>
            <w:vAlign w:val="bottom"/>
            <w:tcBorders>
              <w:bottom w:val="single" w:sz="8" w:color="9A9A9A"/>
            </w:tcBorders>
          </w:tcPr>
          <w:p>
            <w:pPr>
              <w:spacing w:after="0"/>
              <w:rPr>
                <w:sz w:val="9"/>
                <w:szCs w:val="9"/>
                <w:color w:val="auto"/>
              </w:rPr>
            </w:pPr>
          </w:p>
        </w:tc>
        <w:tc>
          <w:tcPr>
            <w:tcW w:w="832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BellRing Brands, Inc.</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11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BellRing Brands, Inc. and its subsidiaries (the “Company”) as of September 30, 2025 and 2024, and the related consolidated statements of operations, of comprehensive income, of stockholders' deficit and of cash flows for each of the three years in the period ended September 30, 2025, including the related notes (collectively referred to as the “consolidated financial statements”). We also have audited the Company's internal control over financial reporting as of September 30, 2025, based on criteria established in Internal Control - Integrated Framework (2013) issued by the Committee of Sponsoring Organizations of the Treadway Commission (COSO).</w:t>
      </w:r>
    </w:p>
    <w:p>
      <w:pPr>
        <w:spacing w:after="0" w:line="7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the Company as of September 30, 2025 and 2024, and the results of its operations and its cash flows for each of the three years in the period ended September 30, 2025 in conformity with accounting principles generally accepted in the United States of America. Also in our opinion, the Company maintained, in all material respects, effective internal control over financial reporting as of September 30, 2025, based on criteria established in Internal Control - Integrated Framework (2013) issued by the COSO.</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11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72"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7"/>
          <w:szCs w:val="17"/>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115"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1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Receivables, net - Allowance for Trade Promotions</w:t>
      </w:r>
    </w:p>
    <w:p>
      <w:pPr>
        <w:spacing w:after="0" w:line="113"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As described in Note 2 to the consolidated financial statements, many of the Company's contracts with customers include some form of variable or fixed consideration. The most common forms of variable and fixed consideration are trade promotions, rebates and discount programs. These programs resulted in an allowance for trade promotions of $48.6 million which is reflected as a reduction of Receivables, net as of September 30, 2025. Variable consideration is treated as a reduction of revenue at the time product revenue is recognized. Methodologies for determining these provisions are dependent on specific customer pricing and promotional practices, which range from contractually fixed percentage price reductions to reimbursement based on actual occurrence or performance. The Company reviews and updates estimates of variable consideration each period. Uncertainties related to the estimates of variable consideration are resolved in a short time frame and do not require any additional constraint on variable consideration. The principal consideration for our determination that performing procedures relating to receivables, net - allowance for trade promotions is a critical audit matter is the matter involved significant audit effort in performing procedures related to management’s allowance for trade promotions.</w:t>
      </w:r>
    </w:p>
    <w:p>
      <w:pPr>
        <w:spacing w:after="0" w:line="8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accuracy and valuation of the allowance for trade promotions. These procedures also included, among others (i) testing management’s process for determining the allowance for trade promotions; (ii) evaluating the appropriateness of the methodology; and (iii) testing the accuracy and relevance of underlying data used to determine the allowance for trade promotions by examining customer agreements and sales data on a test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 Louis, Missouri</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18, 2025</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6"/>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Year Ended September 30,</w:t>
            </w:r>
          </w:p>
        </w:tc>
        <w:tc>
          <w:tcPr>
            <w:tcW w:w="1000" w:type="dxa"/>
            <w:vAlign w:val="bottom"/>
            <w:tcBorders>
              <w:bottom w:val="single" w:sz="8" w:color="auto"/>
            </w:tcBorders>
          </w:tcPr>
          <w:p>
            <w:pPr>
              <w:spacing w:after="0"/>
              <w:rPr>
                <w:sz w:val="18"/>
                <w:szCs w:val="18"/>
                <w:color w:val="auto"/>
              </w:rPr>
            </w:pPr>
          </w:p>
        </w:tc>
      </w:tr>
      <w:tr>
        <w:trPr>
          <w:trHeight w:val="207"/>
        </w:trPr>
        <w:tc>
          <w:tcPr>
            <w:tcW w:w="70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1,666.8</w:t>
            </w:r>
          </w:p>
        </w:tc>
      </w:tr>
      <w:tr>
        <w:trPr>
          <w:trHeight w:val="225"/>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1,546.2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1,288.9</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1,136.6</w:t>
            </w:r>
          </w:p>
        </w:tc>
      </w:tr>
      <w:tr>
        <w:trPr>
          <w:trHeight w:val="21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707.3</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530.2</w:t>
            </w:r>
          </w:p>
        </w:tc>
      </w:tr>
      <w:tr>
        <w:trPr>
          <w:trHeight w:val="225"/>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w:t>
            </w:r>
          </w:p>
        </w:tc>
      </w:tr>
      <w:tr>
        <w:trPr>
          <w:trHeight w:val="225"/>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218"/>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287.3</w:t>
            </w:r>
          </w:p>
        </w:tc>
      </w:tr>
      <w:tr>
        <w:trPr>
          <w:trHeight w:val="225"/>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r>
      <w:tr>
        <w:trPr>
          <w:trHeight w:val="218"/>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before Income Taxes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w:t>
            </w:r>
          </w:p>
        </w:tc>
      </w:tr>
      <w:tr>
        <w:trPr>
          <w:trHeight w:val="225"/>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r>
      <w:tr>
        <w:trPr>
          <w:trHeight w:val="218"/>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216.2</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165.5</w:t>
            </w:r>
          </w:p>
        </w:tc>
      </w:tr>
      <w:tr>
        <w:trPr>
          <w:trHeight w:val="20"/>
        </w:trPr>
        <w:tc>
          <w:tcPr>
            <w:tcW w:w="70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2"/>
        </w:trPr>
        <w:tc>
          <w:tcPr>
            <w:tcW w:w="70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25"/>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Common Share:</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5"/>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25"/>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4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65"/>
        </w:trPr>
        <w:tc>
          <w:tcPr>
            <w:tcW w:w="70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25"/>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Common Shares Outstanding:</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5"/>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w:t>
            </w:r>
          </w:p>
        </w:tc>
      </w:tr>
      <w:tr>
        <w:trPr>
          <w:trHeight w:val="231"/>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w:t>
            </w:r>
          </w:p>
        </w:tc>
      </w:tr>
    </w:tbl>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4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6"/>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Year Ended September 30,</w:t>
            </w:r>
          </w:p>
        </w:tc>
        <w:tc>
          <w:tcPr>
            <w:tcW w:w="1000" w:type="dxa"/>
            <w:vAlign w:val="bottom"/>
            <w:tcBorders>
              <w:bottom w:val="single" w:sz="8" w:color="auto"/>
            </w:tcBorders>
          </w:tcPr>
          <w:p>
            <w:pPr>
              <w:spacing w:after="0"/>
              <w:rPr>
                <w:sz w:val="18"/>
                <w:szCs w:val="18"/>
                <w:color w:val="auto"/>
              </w:rPr>
            </w:pPr>
          </w:p>
        </w:tc>
      </w:tr>
      <w:tr>
        <w:trPr>
          <w:trHeight w:val="207"/>
        </w:trPr>
        <w:tc>
          <w:tcPr>
            <w:tcW w:w="704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840" w:type="dxa"/>
            <w:vAlign w:val="bottom"/>
            <w:shd w:val="clear" w:color="auto" w:fill="CCEEFF"/>
          </w:tcPr>
          <w:p>
            <w:pPr>
              <w:jc w:val="right"/>
              <w:ind w:right="65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216.2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w:t>
            </w:r>
          </w:p>
        </w:tc>
      </w:tr>
      <w:tr>
        <w:trPr>
          <w:trHeight w:val="225"/>
        </w:trPr>
        <w:tc>
          <w:tcPr>
            <w:tcW w:w="70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Unrealized foreign currency translation adjustments</w:t>
            </w: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8"/>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8"/>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84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217.2</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166.7</w:t>
            </w:r>
          </w:p>
        </w:tc>
      </w:tr>
      <w:tr>
        <w:trPr>
          <w:trHeight w:val="20"/>
        </w:trPr>
        <w:tc>
          <w:tcPr>
            <w:tcW w:w="70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par value)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4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60" w:type="dxa"/>
            <w:vAlign w:val="bottom"/>
            <w:tcBorders>
              <w:bottom w:val="single" w:sz="8" w:color="auto"/>
            </w:tcBorders>
          </w:tcPr>
          <w:p>
            <w:pPr>
              <w:spacing w:after="0"/>
              <w:rPr>
                <w:sz w:val="18"/>
                <w:szCs w:val="18"/>
                <w:color w:val="auto"/>
              </w:rPr>
            </w:pPr>
          </w:p>
        </w:tc>
      </w:tr>
      <w:tr>
        <w:trPr>
          <w:trHeight w:val="207"/>
        </w:trPr>
        <w:tc>
          <w:tcPr>
            <w:tcW w:w="84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6"/>
        </w:trPr>
        <w:tc>
          <w:tcPr>
            <w:tcW w:w="8480" w:type="dxa"/>
            <w:vAlign w:val="bottom"/>
            <w:shd w:val="clear" w:color="auto" w:fill="CCEEFF"/>
          </w:tcPr>
          <w:p>
            <w:pPr>
              <w:ind w:left="53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25"/>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5"/>
        </w:trPr>
        <w:tc>
          <w:tcPr>
            <w:tcW w:w="8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r>
      <w:tr>
        <w:trPr>
          <w:trHeight w:val="225"/>
        </w:trPr>
        <w:tc>
          <w:tcPr>
            <w:tcW w:w="8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cash</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5"/>
        </w:trPr>
        <w:tc>
          <w:tcPr>
            <w:tcW w:w="8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Receivables,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w:t>
            </w:r>
          </w:p>
        </w:tc>
      </w:tr>
      <w:tr>
        <w:trPr>
          <w:trHeight w:val="225"/>
        </w:trPr>
        <w:tc>
          <w:tcPr>
            <w:tcW w:w="8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330.4</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286.1</w:t>
            </w:r>
          </w:p>
        </w:tc>
      </w:tr>
      <w:tr>
        <w:trPr>
          <w:trHeight w:val="225"/>
        </w:trPr>
        <w:tc>
          <w:tcPr>
            <w:tcW w:w="8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18"/>
        </w:trPr>
        <w:tc>
          <w:tcPr>
            <w:tcW w:w="84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665.5</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592.7</w:t>
            </w:r>
          </w:p>
        </w:tc>
      </w:tr>
      <w:tr>
        <w:trPr>
          <w:trHeight w:val="225"/>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25"/>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r>
      <w:tr>
        <w:trPr>
          <w:trHeight w:val="225"/>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w:t>
            </w:r>
          </w:p>
        </w:tc>
      </w:tr>
      <w:tr>
        <w:trPr>
          <w:trHeight w:val="225"/>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25"/>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19"/>
        </w:trPr>
        <w:tc>
          <w:tcPr>
            <w:tcW w:w="84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941.0</w:t>
            </w:r>
          </w:p>
        </w:tc>
        <w:tc>
          <w:tcPr>
            <w:tcW w:w="140" w:type="dxa"/>
            <w:vAlign w:val="bottom"/>
          </w:tcPr>
          <w:p>
            <w:pPr>
              <w:spacing w:after="0"/>
              <w:rPr>
                <w:sz w:val="19"/>
                <w:szCs w:val="19"/>
                <w:color w:val="auto"/>
              </w:rPr>
            </w:pPr>
          </w:p>
        </w:tc>
        <w:tc>
          <w:tcPr>
            <w:tcW w:w="4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837.0</w:t>
            </w: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31"/>
        </w:trPr>
        <w:tc>
          <w:tcPr>
            <w:tcW w:w="84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25"/>
        </w:trPr>
        <w:tc>
          <w:tcPr>
            <w:tcW w:w="8480" w:type="dxa"/>
            <w:vAlign w:val="bottom"/>
          </w:tcPr>
          <w:p>
            <w:pPr>
              <w:ind w:left="368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5"/>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5"/>
        </w:trPr>
        <w:tc>
          <w:tcPr>
            <w:tcW w:w="8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4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w:t>
            </w:r>
          </w:p>
        </w:tc>
      </w:tr>
      <w:tr>
        <w:trPr>
          <w:trHeight w:val="225"/>
        </w:trPr>
        <w:tc>
          <w:tcPr>
            <w:tcW w:w="8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1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r>
      <w:tr>
        <w:trPr>
          <w:trHeight w:val="218"/>
        </w:trPr>
        <w:tc>
          <w:tcPr>
            <w:tcW w:w="84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282.8</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w:t>
            </w:r>
          </w:p>
        </w:tc>
      </w:tr>
      <w:tr>
        <w:trPr>
          <w:trHeight w:val="225"/>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1,084.3</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833.1</w:t>
            </w:r>
          </w:p>
        </w:tc>
      </w:tr>
      <w:tr>
        <w:trPr>
          <w:trHeight w:val="225"/>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5"/>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8"/>
        </w:trPr>
        <w:tc>
          <w:tcPr>
            <w:tcW w:w="84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1,394.9</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1,042.9</w:t>
            </w:r>
          </w:p>
        </w:tc>
      </w:tr>
      <w:tr>
        <w:trPr>
          <w:trHeight w:val="225"/>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(See Note 14)</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5"/>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5"/>
        </w:trPr>
        <w:tc>
          <w:tcPr>
            <w:tcW w:w="8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Preferred stock, $0.01 par value; 50.0 shares authorized, zero shares issued and outstanding in each year</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Common stock; $0.01 par value; 500.0 shares authorized; 120.8 and 128.8 shares outstanding, respectively</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5"/>
        </w:trPr>
        <w:tc>
          <w:tcPr>
            <w:tcW w:w="8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r>
      <w:tr>
        <w:trPr>
          <w:trHeight w:val="225"/>
        </w:trPr>
        <w:tc>
          <w:tcPr>
            <w:tcW w:w="8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Retained earnings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272.6</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r>
      <w:tr>
        <w:trPr>
          <w:trHeight w:val="225"/>
        </w:trPr>
        <w:tc>
          <w:tcPr>
            <w:tcW w:w="8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5"/>
        </w:trPr>
        <w:tc>
          <w:tcPr>
            <w:tcW w:w="8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Treasury stock, at cost, 16.9 and 7.9 shares, respectively</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(775.6)</w:t>
            </w:r>
          </w:p>
        </w:tc>
        <w:tc>
          <w:tcPr>
            <w:tcW w:w="1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(299.0)</w:t>
            </w:r>
          </w:p>
        </w:tc>
      </w:tr>
      <w:tr>
        <w:trPr>
          <w:trHeight w:val="218"/>
        </w:trPr>
        <w:tc>
          <w:tcPr>
            <w:tcW w:w="8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(453.9)</w:t>
            </w:r>
          </w:p>
        </w:tc>
        <w:tc>
          <w:tcPr>
            <w:tcW w:w="1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w:t>
            </w:r>
          </w:p>
        </w:tc>
      </w:tr>
      <w:tr>
        <w:trPr>
          <w:trHeight w:val="219"/>
        </w:trPr>
        <w:tc>
          <w:tcPr>
            <w:tcW w:w="84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941.0</w:t>
            </w:r>
          </w:p>
        </w:tc>
        <w:tc>
          <w:tcPr>
            <w:tcW w:w="140" w:type="dxa"/>
            <w:vAlign w:val="bottom"/>
          </w:tcPr>
          <w:p>
            <w:pPr>
              <w:spacing w:after="0"/>
              <w:rPr>
                <w:sz w:val="19"/>
                <w:szCs w:val="19"/>
                <w:color w:val="auto"/>
              </w:rPr>
            </w:pPr>
          </w:p>
        </w:tc>
        <w:tc>
          <w:tcPr>
            <w:tcW w:w="4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837.0</w:t>
            </w:r>
          </w:p>
        </w:tc>
      </w:tr>
      <w:tr>
        <w:trPr>
          <w:trHeight w:val="20"/>
        </w:trPr>
        <w:tc>
          <w:tcPr>
            <w:tcW w:w="8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6"/>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Year Ended September 30,</w:t>
            </w:r>
          </w:p>
        </w:tc>
        <w:tc>
          <w:tcPr>
            <w:tcW w:w="1000" w:type="dxa"/>
            <w:vAlign w:val="bottom"/>
            <w:tcBorders>
              <w:bottom w:val="single" w:sz="8" w:color="auto"/>
            </w:tcBorders>
          </w:tcPr>
          <w:p>
            <w:pPr>
              <w:spacing w:after="0"/>
              <w:rPr>
                <w:sz w:val="18"/>
                <w:szCs w:val="18"/>
                <w:color w:val="auto"/>
              </w:rPr>
            </w:pPr>
          </w:p>
        </w:tc>
      </w:tr>
      <w:tr>
        <w:trPr>
          <w:trHeight w:val="207"/>
        </w:trPr>
        <w:tc>
          <w:tcPr>
            <w:tcW w:w="70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25"/>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w:t>
            </w:r>
          </w:p>
        </w:tc>
        <w:tc>
          <w:tcPr>
            <w:tcW w:w="12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14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w:t>
            </w:r>
          </w:p>
        </w:tc>
      </w:tr>
      <w:tr>
        <w:trPr>
          <w:trHeight w:val="225"/>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operating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5"/>
        </w:trPr>
        <w:tc>
          <w:tcPr>
            <w:tcW w:w="7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r>
      <w:tr>
        <w:trPr>
          <w:trHeight w:val="225"/>
        </w:trPr>
        <w:tc>
          <w:tcPr>
            <w:tcW w:w="7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Non-cash stock-based compensation expense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25"/>
        </w:trPr>
        <w:tc>
          <w:tcPr>
            <w:tcW w:w="7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5"/>
        </w:trPr>
        <w:tc>
          <w:tcPr>
            <w:tcW w:w="7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5"/>
        </w:trPr>
        <w:tc>
          <w:tcPr>
            <w:tcW w:w="7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changes in operating assets and liabilities: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5"/>
        </w:trPr>
        <w:tc>
          <w:tcPr>
            <w:tcW w:w="7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(Increase) decrease in receivables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5"/>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(Increase) decrease in inventories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5"/>
        </w:trPr>
        <w:tc>
          <w:tcPr>
            <w:tcW w:w="7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Increase in prepaid expenses and other current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5"/>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Decrease (increase) in other assets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5"/>
        </w:trPr>
        <w:tc>
          <w:tcPr>
            <w:tcW w:w="7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Increase in accounts payable and other current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5"/>
        </w:trPr>
        <w:tc>
          <w:tcPr>
            <w:tcW w:w="7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Increase (decrease) in non-current liabilities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7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w:t>
            </w:r>
          </w:p>
        </w:tc>
      </w:tr>
      <w:tr>
        <w:trPr>
          <w:trHeight w:val="232"/>
        </w:trPr>
        <w:tc>
          <w:tcPr>
            <w:tcW w:w="7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25"/>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5"/>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Additions to property</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8"/>
        </w:trPr>
        <w:tc>
          <w:tcPr>
            <w:tcW w:w="7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2"/>
        </w:trPr>
        <w:tc>
          <w:tcPr>
            <w:tcW w:w="7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25"/>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5"/>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r>
      <w:tr>
        <w:trPr>
          <w:trHeight w:val="225"/>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w:t>
            </w:r>
          </w:p>
        </w:tc>
      </w:tr>
      <w:tr>
        <w:trPr>
          <w:trHeight w:val="225"/>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w:t>
            </w:r>
          </w:p>
        </w:tc>
      </w:tr>
      <w:tr>
        <w:trPr>
          <w:trHeight w:val="225"/>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of deferred financing fees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withholding payments related to stock compensation plans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5"/>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70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(238.3)</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14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(201.7)</w:t>
            </w:r>
          </w:p>
        </w:tc>
      </w:tr>
      <w:tr>
        <w:trPr>
          <w:trHeight w:val="21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18"/>
        </w:trPr>
        <w:tc>
          <w:tcPr>
            <w:tcW w:w="70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Net Increase in Cash, Cash Equivalents and Restricted Cash</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25"/>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Year</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r>
      <w:tr>
        <w:trPr>
          <w:trHeight w:val="218"/>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Year</w:t>
            </w: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w:t>
            </w:r>
          </w:p>
        </w:tc>
      </w:tr>
      <w:tr>
        <w:trPr>
          <w:trHeight w:val="20"/>
        </w:trPr>
        <w:tc>
          <w:tcPr>
            <w:tcW w:w="7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DEFICIT</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r>
        <w:rPr>
          <w:rFonts w:ascii="Times New Roman" w:cs="Times New Roman" w:eastAsia="Times New Roman" w:hAnsi="Times New Roman"/>
          <w:sz w:val="18"/>
          <w:szCs w:val="18"/>
          <w:color w:val="auto"/>
        </w:rPr>
        <w:t>)</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900" w:type="dxa"/>
            <w:vAlign w:val="bottom"/>
            <w:tcBorders>
              <w:bottom w:val="single" w:sz="8" w:color="auto"/>
            </w:tcBorders>
            <w:gridSpan w:val="7"/>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As of and for the Year Ended September 30,</w:t>
            </w:r>
          </w:p>
        </w:tc>
      </w:tr>
      <w:tr>
        <w:trPr>
          <w:trHeight w:val="207"/>
        </w:trPr>
        <w:tc>
          <w:tcPr>
            <w:tcW w:w="70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25"/>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and end of year</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5"/>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and end of year</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5"/>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 Paid-in Capital</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5"/>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of year</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5"/>
        </w:trPr>
        <w:tc>
          <w:tcPr>
            <w:tcW w:w="7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Activity under stock and deferred compensation plans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5"/>
        </w:trPr>
        <w:tc>
          <w:tcPr>
            <w:tcW w:w="70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Non-cash stock-based compensation expense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1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year</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25"/>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Retained Earnings (Accumulated Deficit)</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5"/>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year</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(355.6)</w:t>
            </w:r>
          </w:p>
        </w:tc>
      </w:tr>
      <w:tr>
        <w:trPr>
          <w:trHeight w:val="225"/>
        </w:trPr>
        <w:tc>
          <w:tcPr>
            <w:tcW w:w="70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Net earnings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165.5</w:t>
            </w:r>
          </w:p>
        </w:tc>
      </w:tr>
      <w:tr>
        <w:trPr>
          <w:trHeight w:val="218"/>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year</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w:t>
            </w:r>
          </w:p>
        </w:tc>
      </w:tr>
      <w:tr>
        <w:trPr>
          <w:trHeight w:val="225"/>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5"/>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year</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5"/>
        </w:trPr>
        <w:tc>
          <w:tcPr>
            <w:tcW w:w="70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year</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5"/>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5"/>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year</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25"/>
        </w:trPr>
        <w:tc>
          <w:tcPr>
            <w:tcW w:w="7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w:t>
            </w:r>
          </w:p>
        </w:tc>
      </w:tr>
      <w:tr>
        <w:trPr>
          <w:trHeight w:val="218"/>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year</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w:t>
            </w:r>
          </w:p>
        </w:tc>
      </w:tr>
      <w:tr>
        <w:trPr>
          <w:trHeight w:val="219"/>
        </w:trPr>
        <w:tc>
          <w:tcPr>
            <w:tcW w:w="70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(323.5)</w:t>
            </w:r>
          </w:p>
        </w:tc>
      </w:tr>
      <w:tr>
        <w:trPr>
          <w:trHeight w:val="20"/>
        </w:trPr>
        <w:tc>
          <w:tcPr>
            <w:tcW w:w="70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1"/>
        </w:trPr>
        <w:tc>
          <w:tcPr>
            <w:tcW w:w="70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25"/>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Preferred Stock, shares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5"/>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and end of year</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Common Stock, shares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5"/>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year</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r>
      <w:tr>
        <w:trPr>
          <w:trHeight w:val="225"/>
        </w:trPr>
        <w:tc>
          <w:tcPr>
            <w:tcW w:w="7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Activity under stock and deferred compensation plans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5"/>
        </w:trPr>
        <w:tc>
          <w:tcPr>
            <w:tcW w:w="7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5"/>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year</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w:t>
            </w:r>
          </w:p>
        </w:tc>
      </w:tr>
    </w:tbl>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in millions, except per share information or where indicated otherwise)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BACKGROUND</w:t>
      </w:r>
    </w:p>
    <w:p>
      <w:pPr>
        <w:spacing w:after="0" w:line="11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 xml:space="preserve">BellRing Brands, Inc. is a consumer products holding company operating in the global convenient nutrition category and is a provider of ready-to-drink (“RTD”) protein shakes and powders. The Company’s principal products are protein-based consumer goods and its primary brands are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Dymatize.</w:t>
      </w:r>
    </w:p>
    <w:p>
      <w:pPr>
        <w:spacing w:after="0" w:line="7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Unless otherwise stated or the context otherwise indicates, all references in these financial statements and notes to “BellRing,” the “Company,” “us,” “our” or “we” mean BellRing Brands, Inc. and its consolidated subsidiaries.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111"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Principles of Consolidation </w:t>
      </w:r>
      <w:r>
        <w:rPr>
          <w:rFonts w:ascii="Times New Roman" w:cs="Times New Roman" w:eastAsia="Times New Roman" w:hAnsi="Times New Roman"/>
          <w:sz w:val="18"/>
          <w:szCs w:val="18"/>
          <w:color w:val="auto"/>
        </w:rPr>
        <w:t>— These consolidated financial statements include the operations of BellRing and its subsidiaries. All intercompany balances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transactions have been eliminated. Certain reclassifications have been made to previously reported financial information to conform to the current year presentation.</w:t>
      </w:r>
    </w:p>
    <w:p>
      <w:pPr>
        <w:spacing w:after="0" w:line="67"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Use of Estimates and Allocations </w:t>
      </w:r>
      <w:r>
        <w:rPr>
          <w:rFonts w:ascii="Times New Roman" w:cs="Times New Roman" w:eastAsia="Times New Roman" w:hAnsi="Times New Roman"/>
          <w:sz w:val="18"/>
          <w:szCs w:val="18"/>
          <w:color w:val="auto"/>
        </w:rPr>
        <w:t>— The consolidated financial statements of the Company are prepared in conformity with accounting principles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 accepted in the United States of America (“GAAP”), which require certain elections as to accounting policy, estimates and assumptions that affect the reported amounts of assets and liabilities, the disclosure of contingent liabilities at the dates of the financial statements and the reported amount of net revenues and expenses during the reporting periods. Significant accounting policy elections, estimates and assumptions include, among others, allowance for trade promotions. Actual results could differ from those estimates.</w:t>
      </w:r>
    </w:p>
    <w:p>
      <w:pPr>
        <w:spacing w:after="0" w:line="75"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Cash Equivalents </w:t>
      </w:r>
      <w:r>
        <w:rPr>
          <w:rFonts w:ascii="Times New Roman" w:cs="Times New Roman" w:eastAsia="Times New Roman" w:hAnsi="Times New Roman"/>
          <w:sz w:val="18"/>
          <w:szCs w:val="18"/>
          <w:color w:val="auto"/>
        </w:rPr>
        <w:t>— Cash equivalents include all highly liquid investments with original maturities of less than three months. At September 30, 2025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the Company had $71.8 and $70.8, respectively, in available cash, of which 9.5% and 2.5%, respectively, was outside of the United States (“U.S.”). The Company’s intention is to reinvest these funds indefinitely.</w:t>
      </w:r>
    </w:p>
    <w:p>
      <w:pPr>
        <w:spacing w:after="0" w:line="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 xml:space="preserve">Restricted Cash — </w:t>
      </w:r>
      <w:r>
        <w:rPr>
          <w:rFonts w:ascii="Times New Roman" w:cs="Times New Roman" w:eastAsia="Times New Roman" w:hAnsi="Times New Roman"/>
          <w:sz w:val="17"/>
          <w:szCs w:val="17"/>
          <w:color w:val="auto"/>
        </w:rPr>
        <w:t>Restricted cash includes cash deposits which primarily serve as collateral for certain of the Company’s commodity hedging contracts.</w:t>
      </w:r>
    </w:p>
    <w:p>
      <w:pPr>
        <w:spacing w:after="0" w:line="123"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Receivables </w:t>
      </w:r>
      <w:r>
        <w:rPr>
          <w:rFonts w:ascii="Times New Roman" w:cs="Times New Roman" w:eastAsia="Times New Roman" w:hAnsi="Times New Roman"/>
          <w:sz w:val="18"/>
          <w:szCs w:val="18"/>
          <w:color w:val="auto"/>
        </w:rPr>
        <w:t>— Receivables are reported at net realizable value. This value includes appropriate allowances for credit losses, cash discounts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amounts which the Company does not ultimately expect to collect. To calculate the allowance for credit losses, the Company estimates uncollectible amounts based on a review of past due balances, historical loss information and an evaluation of customer accounts for potential future losses. A receivable is considered past due if payments have not been received within the agreed upon invoice terms. Receivables are written off against the allowance when deemed to be uncollectible based upon the Company’s evaluation of the customer’s solvency. As of September 30, 2025 and 2024, the Company did not have off-balance sheet credit exposure related to its customers.</w:t>
      </w:r>
    </w:p>
    <w:p>
      <w:pPr>
        <w:spacing w:after="0" w:line="79"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Inventories </w:t>
      </w:r>
      <w:r>
        <w:rPr>
          <w:rFonts w:ascii="Times New Roman" w:cs="Times New Roman" w:eastAsia="Times New Roman" w:hAnsi="Times New Roman"/>
          <w:sz w:val="18"/>
          <w:szCs w:val="18"/>
          <w:color w:val="auto"/>
        </w:rPr>
        <w:t>— Inventories are generally valued at the lower of cost (determined on a first-in, first-out basis) or net realizable value. Reported amounts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been reduced by an allowance for obsolete product and packaging materials based on a review of inventories on hand compared to estimated future usage and sales.</w:t>
      </w:r>
    </w:p>
    <w:p>
      <w:pPr>
        <w:spacing w:after="0" w:line="67"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Property </w:t>
      </w:r>
      <w:r>
        <w:rPr>
          <w:rFonts w:ascii="Times New Roman" w:cs="Times New Roman" w:eastAsia="Times New Roman" w:hAnsi="Times New Roman"/>
          <w:sz w:val="18"/>
          <w:szCs w:val="18"/>
          <w:color w:val="auto"/>
        </w:rPr>
        <w:t>— Property is recorded at cost, and depreciation expense is generally provided on a straight-line basis over the estimated useful life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property. Estimated useful lives range from 3 to 10 years for machinery and equipment; 1 to 33 years for buildings, building improvements and leasehold improvements; and 1 to 5 years for software. Total depreciation expense was $1.6, $1.5 and $1.7 in fiscal 2025, 2024 and 2023, respectively. Any gains and losses incurred on the sale or</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disposal of assets would be included in other operating income/expense in the statement of operations. Ordinary repair and maintenance costs are accounted for under the direct expensing method. Property consisted of:</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4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60" w:type="dxa"/>
            <w:vAlign w:val="bottom"/>
            <w:tcBorders>
              <w:bottom w:val="single" w:sz="8" w:color="auto"/>
            </w:tcBorders>
          </w:tcPr>
          <w:p>
            <w:pPr>
              <w:spacing w:after="0"/>
              <w:rPr>
                <w:sz w:val="18"/>
                <w:szCs w:val="18"/>
                <w:color w:val="auto"/>
              </w:rPr>
            </w:pPr>
          </w:p>
        </w:tc>
      </w:tr>
      <w:tr>
        <w:trPr>
          <w:trHeight w:val="207"/>
        </w:trPr>
        <w:tc>
          <w:tcPr>
            <w:tcW w:w="84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5"/>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5"/>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25"/>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5"/>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18"/>
        </w:trPr>
        <w:tc>
          <w:tcPr>
            <w:tcW w:w="8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25"/>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18"/>
        </w:trPr>
        <w:tc>
          <w:tcPr>
            <w:tcW w:w="84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Property, net</w:t>
            </w:r>
          </w:p>
        </w:tc>
        <w:tc>
          <w:tcPr>
            <w:tcW w:w="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40" w:type="dxa"/>
            <w:vAlign w:val="bottom"/>
          </w:tcPr>
          <w:p>
            <w:pPr>
              <w:spacing w:after="0"/>
              <w:rPr>
                <w:sz w:val="19"/>
                <w:szCs w:val="19"/>
                <w:color w:val="auto"/>
              </w:rPr>
            </w:pPr>
          </w:p>
        </w:tc>
        <w:tc>
          <w:tcPr>
            <w:tcW w:w="4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0"/>
        </w:trPr>
        <w:tc>
          <w:tcPr>
            <w:tcW w:w="8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of both September 30, 2025 and 2024, the majority of the Company’s tangible long-lived assets were located in Europe and had a net carrying value of $13.5 and $8.1, respectively; the remainder were located in the U.S.</w:t>
      </w:r>
    </w:p>
    <w:p>
      <w:pPr>
        <w:spacing w:after="0" w:line="5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Goodwill </w:t>
      </w:r>
      <w:r>
        <w:rPr>
          <w:rFonts w:ascii="Times New Roman" w:cs="Times New Roman" w:eastAsia="Times New Roman" w:hAnsi="Times New Roman"/>
          <w:sz w:val="18"/>
          <w:szCs w:val="18"/>
          <w:color w:val="auto"/>
        </w:rPr>
        <w:t>— Goodwill represents the excess of the cost of acquired businesses over the fair market value of their identifiable net assets.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conducts a goodwill impairment assessment during the fourth quarter of each fiscal year following the annual forecasting process, or more frequently if facts and circumstances indicate that goodwill may be impaired. The goodwill impairment assessment performed may be either qualitative or quantitative; however, if adverse qualitative trends are identified that could negatively impact the fair value of the business, a quantitative goodwill impairment test is performed. The goodwill impairment qualitative assessment requires an analysis to determine if it is more likely than not that the fair value of a reporting unit is less than its carrying amount.</w:t>
      </w:r>
    </w:p>
    <w:p>
      <w:pPr>
        <w:spacing w:after="0" w:line="8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qualitative goodwill impairment test requires an entity to evaluate various events, circumstances and factors, such as macroeconomic conditions, sensitivity of valuation inputs utilized in the Company’s most recent quantitative goodwill impairment test, industry trends and results of operations of the entity, to determine whether it is more likely than not that the fair value of a reporting unit is less than its carrying amount. Metrics such as the gross domestic product growth rate and inflation rate, the discount rate and the terminal growth rate utilized in previous quantitative goodwill impairment tests, peer multiples and category trends and actual results compared to forecast are evaluated by management to identify adverse trends that could negatively impact the fair value of the reporting unit.</w:t>
      </w:r>
    </w:p>
    <w:p>
      <w:pPr>
        <w:spacing w:after="0" w:line="7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If adverse qualitative trends are identified that could negatively impact the fair value of a reporting unit, a quantitative goodwill impairment test is performed. The quantitative goodwill impairment test requires an entity to compare the fair value of each reporting unit with its carrying amount. The estimated fair value is determined using a combined income and market approach with a greater weighting on the income approach. The income approach is based on discounted future cash flows and requires significant assumptions, including estimates regarding future revenue, profitability, capital requirements and discount rate. The market approach is based on a market multiple (revenue and EBITDA, which stands for earnings before interest, income taxes, depreciation and amortization) and requires an estimate of appropriate multiples based on market data.</w:t>
      </w:r>
    </w:p>
    <w:p>
      <w:pPr>
        <w:spacing w:after="0" w:line="7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Company has two reporting units, which have been identified at a level below the operating segment level; however, only one reporting unit had a goodwill balance as of September 30, 2025, 2024 and 2023. In fiscal 2025, 2024 and 2023, the Company performed a qualitative impairment test and determined there were no indicators, including adverse trends in the business, that would indicate it was more likely than not that the fair value of the reporting unit was less than its carrying amount. The Company last performed a quantitative impairment test in fiscal 2019. The Company did not record a goodwill impairment charge during the years ended September 30, 2025, 2024 or 2023, as the reporting unit with goodwill passed the qualitative impairment test.</w:t>
      </w:r>
    </w:p>
    <w:p>
      <w:pPr>
        <w:spacing w:after="0" w:line="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components of “Goodwill” on the Consolidated Balance Sheets at both the beginning and end of the years ended September 30, 2025 and 2024 are presented in the following table.</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gross</w:t>
            </w: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w:t>
            </w:r>
          </w:p>
        </w:tc>
      </w:tr>
      <w:tr>
        <w:trPr>
          <w:trHeight w:val="225"/>
        </w:trPr>
        <w:tc>
          <w:tcPr>
            <w:tcW w:w="9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w:t>
            </w:r>
          </w:p>
        </w:tc>
      </w:tr>
      <w:tr>
        <w:trPr>
          <w:trHeight w:val="243"/>
        </w:trPr>
        <w:tc>
          <w:tcPr>
            <w:tcW w:w="99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Intangible Assets </w:t>
      </w:r>
      <w:r>
        <w:rPr>
          <w:rFonts w:ascii="Times New Roman" w:cs="Times New Roman" w:eastAsia="Times New Roman" w:hAnsi="Times New Roman"/>
          <w:sz w:val="18"/>
          <w:szCs w:val="18"/>
          <w:color w:val="auto"/>
        </w:rPr>
        <w:t>— Intangible assets consist primarily of definite-lived customer relationships, trademarks and brands. Amortization expense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definite-lived intangible assets, which is provided on a straight-line basis (as it approximates the economic benefit) over the estimated useful lives of the assets, was $17.0, $35.0 and $26.6 in fiscal 2025, 2024 and 2023, respectively. For the definite-lived intangible assets recorded as of September 30, 2025, amortization expense is expected to be $17.0 per year for fiscal 2026 through fiscal 2030. Intangible assets consisted of:</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6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September 30, 2025</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8"/>
              </w:rPr>
              <w:t>September 30, 2024</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155"/>
        </w:trPr>
        <w:tc>
          <w:tcPr>
            <w:tcW w:w="2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right"/>
              <w:ind w:right="235"/>
              <w:spacing w:after="0" w:line="155"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jc w:val="center"/>
              <w:ind w:right="300"/>
              <w:spacing w:after="0" w:line="155" w:lineRule="exact"/>
              <w:rPr>
                <w:sz w:val="20"/>
                <w:szCs w:val="20"/>
                <w:color w:val="auto"/>
              </w:rPr>
            </w:pPr>
            <w:r>
              <w:rPr>
                <w:rFonts w:ascii="Times New Roman" w:cs="Times New Roman" w:eastAsia="Times New Roman" w:hAnsi="Times New Roman"/>
                <w:sz w:val="16"/>
                <w:szCs w:val="16"/>
                <w:b w:val="1"/>
                <w:bCs w:val="1"/>
                <w:color w:val="auto"/>
                <w:w w:val="99"/>
              </w:rPr>
              <w:t>Accumulated</w:t>
            </w:r>
          </w:p>
        </w:tc>
        <w:tc>
          <w:tcPr>
            <w:tcW w:w="240" w:type="dxa"/>
            <w:vAlign w:val="bottom"/>
          </w:tcPr>
          <w:p>
            <w:pPr>
              <w:spacing w:after="0"/>
              <w:rPr>
                <w:sz w:val="13"/>
                <w:szCs w:val="13"/>
                <w:color w:val="auto"/>
              </w:rPr>
            </w:pPr>
          </w:p>
        </w:tc>
        <w:tc>
          <w:tcPr>
            <w:tcW w:w="1060" w:type="dxa"/>
            <w:vAlign w:val="bottom"/>
          </w:tcPr>
          <w:p>
            <w:pPr>
              <w:jc w:val="center"/>
              <w:ind w:right="135"/>
              <w:spacing w:after="0" w:line="155" w:lineRule="exact"/>
              <w:rPr>
                <w:sz w:val="20"/>
                <w:szCs w:val="20"/>
                <w:color w:val="auto"/>
              </w:rPr>
            </w:pPr>
            <w:r>
              <w:rPr>
                <w:rFonts w:ascii="Times New Roman" w:cs="Times New Roman" w:eastAsia="Times New Roman" w:hAnsi="Times New Roman"/>
                <w:sz w:val="16"/>
                <w:szCs w:val="16"/>
                <w:b w:val="1"/>
                <w:bCs w:val="1"/>
                <w:color w:val="auto"/>
                <w:w w:val="99"/>
              </w:rPr>
              <w:t>Net</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right"/>
              <w:ind w:right="255"/>
              <w:spacing w:after="0" w:line="155"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280"/>
              <w:spacing w:after="0" w:line="155" w:lineRule="exact"/>
              <w:rPr>
                <w:sz w:val="20"/>
                <w:szCs w:val="20"/>
                <w:color w:val="auto"/>
              </w:rPr>
            </w:pPr>
            <w:r>
              <w:rPr>
                <w:rFonts w:ascii="Times New Roman" w:cs="Times New Roman" w:eastAsia="Times New Roman" w:hAnsi="Times New Roman"/>
                <w:sz w:val="16"/>
                <w:szCs w:val="16"/>
                <w:b w:val="1"/>
                <w:bCs w:val="1"/>
                <w:color w:val="auto"/>
                <w:w w:val="99"/>
              </w:rPr>
              <w:t>Accumulated</w:t>
            </w:r>
          </w:p>
        </w:tc>
        <w:tc>
          <w:tcPr>
            <w:tcW w:w="240" w:type="dxa"/>
            <w:vAlign w:val="bottom"/>
          </w:tcPr>
          <w:p>
            <w:pPr>
              <w:spacing w:after="0"/>
              <w:rPr>
                <w:sz w:val="13"/>
                <w:szCs w:val="13"/>
                <w:color w:val="auto"/>
              </w:rPr>
            </w:pPr>
          </w:p>
        </w:tc>
        <w:tc>
          <w:tcPr>
            <w:tcW w:w="1060" w:type="dxa"/>
            <w:vAlign w:val="bottom"/>
          </w:tcPr>
          <w:p>
            <w:pPr>
              <w:jc w:val="right"/>
              <w:ind w:right="455"/>
              <w:spacing w:after="0" w:line="155" w:lineRule="exact"/>
              <w:rPr>
                <w:sz w:val="20"/>
                <w:szCs w:val="20"/>
                <w:color w:val="auto"/>
              </w:rPr>
            </w:pPr>
            <w:r>
              <w:rPr>
                <w:rFonts w:ascii="Times New Roman" w:cs="Times New Roman" w:eastAsia="Times New Roman" w:hAnsi="Times New Roman"/>
                <w:sz w:val="16"/>
                <w:szCs w:val="16"/>
                <w:b w:val="1"/>
                <w:bCs w:val="1"/>
                <w:color w:val="auto"/>
              </w:rPr>
              <w:t>Net</w:t>
            </w:r>
          </w:p>
        </w:tc>
      </w:tr>
      <w:tr>
        <w:trPr>
          <w:trHeight w:val="211"/>
        </w:trPr>
        <w:tc>
          <w:tcPr>
            <w:tcW w:w="2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40" w:type="dxa"/>
            <w:vAlign w:val="bottom"/>
          </w:tcPr>
          <w:p>
            <w:pPr>
              <w:spacing w:after="0"/>
              <w:rPr>
                <w:sz w:val="18"/>
                <w:szCs w:val="18"/>
                <w:color w:val="auto"/>
              </w:rPr>
            </w:pPr>
          </w:p>
        </w:tc>
        <w:tc>
          <w:tcPr>
            <w:tcW w:w="130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20" w:type="dxa"/>
            <w:vAlign w:val="bottom"/>
          </w:tcPr>
          <w:p>
            <w:pPr>
              <w:spacing w:after="0"/>
              <w:rPr>
                <w:sz w:val="18"/>
                <w:szCs w:val="18"/>
                <w:color w:val="auto"/>
              </w:rPr>
            </w:pPr>
          </w:p>
        </w:tc>
        <w:tc>
          <w:tcPr>
            <w:tcW w:w="1100" w:type="dxa"/>
            <w:vAlign w:val="bottom"/>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40" w:type="dxa"/>
            <w:vAlign w:val="bottom"/>
          </w:tcPr>
          <w:p>
            <w:pPr>
              <w:spacing w:after="0"/>
              <w:rPr>
                <w:sz w:val="18"/>
                <w:szCs w:val="18"/>
                <w:color w:val="auto"/>
              </w:rPr>
            </w:pPr>
          </w:p>
        </w:tc>
        <w:tc>
          <w:tcPr>
            <w:tcW w:w="1060" w:type="dxa"/>
            <w:vAlign w:val="bottom"/>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20"/>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2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r>
      <w:tr>
        <w:trPr>
          <w:trHeight w:val="225"/>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 and brands</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r>
      <w:tr>
        <w:trPr>
          <w:trHeight w:val="225"/>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26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2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328.4</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328.2</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141.8</w:t>
            </w:r>
          </w:p>
        </w:tc>
      </w:tr>
      <w:tr>
        <w:trPr>
          <w:trHeight w:val="20"/>
        </w:trPr>
        <w:tc>
          <w:tcPr>
            <w:tcW w:w="2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color w:val="auto"/>
        </w:rPr>
        <w:t xml:space="preserve">In August 2023, the Company approved a plan to discontinue the </w:t>
      </w:r>
      <w:r>
        <w:rPr>
          <w:rFonts w:ascii="Times New Roman" w:cs="Times New Roman" w:eastAsia="Times New Roman" w:hAnsi="Times New Roman"/>
          <w:sz w:val="18"/>
          <w:szCs w:val="18"/>
          <w:i w:val="1"/>
          <w:iCs w:val="1"/>
          <w:color w:val="auto"/>
        </w:rPr>
        <w:t>PowerBar</w:t>
      </w:r>
      <w:r>
        <w:rPr>
          <w:rFonts w:ascii="Times New Roman" w:cs="Times New Roman" w:eastAsia="Times New Roman" w:hAnsi="Times New Roman"/>
          <w:sz w:val="18"/>
          <w:szCs w:val="18"/>
          <w:color w:val="auto"/>
        </w:rPr>
        <w:t xml:space="preserve"> business in North America</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 connection with the discontinuance, the Company updated the useful lives of the customer relationships and trademark associated with the </w:t>
      </w:r>
      <w:r>
        <w:rPr>
          <w:rFonts w:ascii="Times New Roman" w:cs="Times New Roman" w:eastAsia="Times New Roman" w:hAnsi="Times New Roman"/>
          <w:sz w:val="18"/>
          <w:szCs w:val="18"/>
          <w:i w:val="1"/>
          <w:iCs w:val="1"/>
          <w:color w:val="auto"/>
        </w:rPr>
        <w:t>PowerBar</w:t>
      </w:r>
      <w:r>
        <w:rPr>
          <w:rFonts w:ascii="Times New Roman" w:cs="Times New Roman" w:eastAsia="Times New Roman" w:hAnsi="Times New Roman"/>
          <w:sz w:val="18"/>
          <w:szCs w:val="18"/>
          <w:color w:val="auto"/>
        </w:rPr>
        <w:t xml:space="preserve"> business in North America to reflect the remaining period in which the Company expected to sell existing </w:t>
      </w:r>
      <w:r>
        <w:rPr>
          <w:rFonts w:ascii="Times New Roman" w:cs="Times New Roman" w:eastAsia="Times New Roman" w:hAnsi="Times New Roman"/>
          <w:sz w:val="18"/>
          <w:szCs w:val="18"/>
          <w:i w:val="1"/>
          <w:iCs w:val="1"/>
          <w:color w:val="auto"/>
        </w:rPr>
        <w:t>PowerBar</w:t>
      </w:r>
      <w:r>
        <w:rPr>
          <w:rFonts w:ascii="Times New Roman" w:cs="Times New Roman" w:eastAsia="Times New Roman" w:hAnsi="Times New Roman"/>
          <w:sz w:val="18"/>
          <w:szCs w:val="18"/>
          <w:color w:val="auto"/>
        </w:rPr>
        <w:t xml:space="preserve"> product inventory in North America. Accelerated amortization of $17.4 and $7.1 was recorded during the years ended September 30, 2024 and 2023, respectively, resulting from the updated useful lives of the customer relationships and trademark associated with the </w:t>
      </w:r>
      <w:r>
        <w:rPr>
          <w:rFonts w:ascii="Times New Roman" w:cs="Times New Roman" w:eastAsia="Times New Roman" w:hAnsi="Times New Roman"/>
          <w:sz w:val="18"/>
          <w:szCs w:val="18"/>
          <w:i w:val="1"/>
          <w:iCs w:val="1"/>
          <w:color w:val="auto"/>
        </w:rPr>
        <w:t>PowerBar</w:t>
      </w:r>
      <w:r>
        <w:rPr>
          <w:rFonts w:ascii="Times New Roman" w:cs="Times New Roman" w:eastAsia="Times New Roman" w:hAnsi="Times New Roman"/>
          <w:sz w:val="18"/>
          <w:szCs w:val="18"/>
          <w:color w:val="auto"/>
        </w:rPr>
        <w:t xml:space="preserve"> business in North America, which were fully amortized and written off as of September 30, 2024.</w:t>
      </w:r>
    </w:p>
    <w:p>
      <w:pPr>
        <w:spacing w:after="0" w:line="7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Recoverability of Assets </w:t>
      </w:r>
      <w:r>
        <w:rPr>
          <w:rFonts w:ascii="Times New Roman" w:cs="Times New Roman" w:eastAsia="Times New Roman" w:hAnsi="Times New Roman"/>
          <w:sz w:val="18"/>
          <w:szCs w:val="18"/>
          <w:color w:val="auto"/>
        </w:rPr>
        <w:t>— The Company continually evaluates whether events or circumstances have occurred which might impair the recoverability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carrying value of its assets, including property, identifiable intangibles, goodwill and right-of-use (“ROU”) assets. Definite-lived assets (groups) are tested for recoverability whenever events or changes in circumstances indicate that the carrying amount of an asset (group) may not be recoverable or the estimated useful life is no longer appropriate. The Company groups assets at the lowest level for which cash flows are separately identifiable. If circumstances require that a definite-lived asset (group) be tested for possible impairment, the Company will compare the undiscounted cash flows expected to be generated by the asset (group) to the carrying amount of the asset (group). If the carrying amount of the asset (group) is not recoverable on an undiscounted cash flow basis, an impairment is recognized to the extent that the carrying amount of the asset (group) exceeds its fair value. There were no impairments recorded on the Company’s definite-lived assets (groups) in fiscal 2025, 2024 or 2023.</w:t>
      </w:r>
    </w:p>
    <w:p>
      <w:pPr>
        <w:spacing w:after="0" w:line="77"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Derivative Financial Instruments </w:t>
      </w:r>
      <w:r>
        <w:rPr>
          <w:rFonts w:ascii="Times New Roman" w:cs="Times New Roman" w:eastAsia="Times New Roman" w:hAnsi="Times New Roman"/>
          <w:sz w:val="18"/>
          <w:szCs w:val="18"/>
          <w:color w:val="auto"/>
        </w:rPr>
        <w:t>— In the ordinary course of business, the Company is exposed to commodity price risks relating to the purchase of raw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materials and supplies, interest rate risks relating to variable rate debt and foreign currency exchange rate risks. The Company may utilize derivative instruments, including futures contracts, option contracts and swaps to manage certain of these exposures by hedging when it is practical to do so. The Company does not hold or issue financial instruments for speculative or trading purposes.</w:t>
      </w:r>
    </w:p>
    <w:p>
      <w:pPr>
        <w:spacing w:after="0" w:line="73"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The Company’s derivative programs may include strategies that qualify and strategies that do not qualify for hedge accounting treatment. To qualify for hedge accounting, the hedging relationship, both at inception of the hedge and on an ongoing basis, is expected to be highly effective in achieving offsetting changes in the fair value of the hedged risk during the period that the hedge is designated. All derivatives are recognized on the balance sheet at fair value.</w:t>
      </w:r>
    </w:p>
    <w:p>
      <w:pPr>
        <w:spacing w:after="0" w:line="5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Company does not have any derivatives currently designated as hedging instruments under Accounting Standards Codification (“ASC”) Topic 815, “Derivatives and Hedging.” The derivatives currently held by the Company are considered natural hedging instruments, where changes in their fair values act as economic offsets to changes in fair values of the underlying hedged items and are not designated for hedge accounting. Changes in the fair value of derivatives currently held by the Company are recognized immediately in the Consolidated Statements of Operations and any associated cash flows are classified in the same category on the Consolidated Statements of Cash Flows on a basis consistent with the nature of the instruments.</w:t>
      </w:r>
    </w:p>
    <w:p>
      <w:pPr>
        <w:spacing w:after="0" w:line="7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Leases </w:t>
      </w:r>
      <w:r>
        <w:rPr>
          <w:rFonts w:ascii="Times New Roman" w:cs="Times New Roman" w:eastAsia="Times New Roman" w:hAnsi="Times New Roman"/>
          <w:sz w:val="18"/>
          <w:szCs w:val="18"/>
          <w:color w:val="auto"/>
        </w:rPr>
        <w:t>— The Company leases office space, certain warehouses and equipment primarily through operating lease agreements. The Company has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finance lease agreements. The Company determines if an arrangement is a lease at its inception. When the arrangements include lease and non-lease components, the Company accounts for them as a single lease component. Leases with an initial term of less than 12 months are not reported on the balance sheet, but rather are recognized as lease expense on a straight-line basis over the lease term. Arrangements may include options to extend or terminate the lease arrangement. These options are included in the lease term used to establish ROU assets and lease liabilities when it is reasonably certain they will be exercised. The Company will reassess expected lease terms based on changes in circumstances that indicate options may be more or less likely to be exercised.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Company has certain lease arrangements that include variable rental payments. The future variability of these payments and adjustments are unknown and therefore are not included in minimum rental payments used to determine ROU assets and lease liabilities. The Company has lease arrangements where it makes separate payments to the lessor based on the lessor's common area maintenance expenses, property and casualty insurance costs, property taxes assessed on the property and other variable expenses. As the Company has elected the practical expedient not to separate lease and non-lease components, these variable amounts are captured in operating lease expense in the period in which they are incurred. Variable rental payments are recognized in the period in which the associated obligation is incurred.</w:t>
      </w:r>
    </w:p>
    <w:p>
      <w:pPr>
        <w:spacing w:after="0" w:line="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For lease arrangements that do not provide an implicit interest rate, an incremental borrowing rate (“IBR”) is applied in determining the present value of future payments. The Company’s IBR is selected based upon information available at the lease commencement date.</w:t>
      </w:r>
    </w:p>
    <w:p>
      <w:pPr>
        <w:spacing w:after="0" w:line="5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ROU assets are recorded as “Other assets,” and lease liabilities are recorded as “Other current liabilities” and “Other liabilities” on the Consolidated Balance Sheets. Operating lease expense is recognized on a straight-line basis over the lease term and is included in “Selling, general and administrative expenses” in the Consolidated Statements of Operations.</w:t>
      </w:r>
    </w:p>
    <w:p>
      <w:pPr>
        <w:spacing w:after="0" w:line="70"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 The Company recognizes revenue when performance obligations have been satisfied by transferring control of the goods to customers.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is generally transferred upon delivery of the goods to the customer. At the time of delivery, the customer is invoiced using previously agreed-upon credit terms. Shipping and/or handling costs that occur before the customer obtains control of the goods are deemed fulfillment activities and are accounted for as fulfillment costs. The Company’s contracts with customers generally contain one performance obligation.</w:t>
      </w:r>
    </w:p>
    <w:p>
      <w:pPr>
        <w:spacing w:after="0" w:line="73"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Many of the Company’s contracts with customers include some form of variable or fixed consideration. The most common forms of variable and fixed consideration are trade promotions, rebates and discount programs. As of September 30, 2025 and 2024, these programs resulted in an allowance for trade promotions of $48.6 and $38.8, respectively, which were recorded as a reduction of “Receivables, net” on the Consolidated Balance Sheets. Variable consideration is treated as a reduction of revenue at the time product revenue is recognized. Methodologies for determining these provisions are dependent on specific customer pricing and promotional practices, which range from contractually fixed percentage price reductions to reimbursement based on actual occurrence or performance. The Company does not believe that there will be significant changes to its estimates of variable consideration when any uncertainties are resolved with customers. The Company reviews and updates estimates of variable consideration each period. Uncertainties related to the estimates of variable consideration are resolved in a short time frame and do not require any additional constraint on variable consideration. The majority of trade promotions are redeemed in the form of invoice credits against trade receivables.</w:t>
      </w:r>
    </w:p>
    <w:p>
      <w:pPr>
        <w:spacing w:after="0" w:line="8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Company’s products are sold with no right of return, except in the case of goods which do not meet product specifications or are damaged. No services beyond this assurance-type warranty are provided to customers. Customer remedies include either a cash refund or an exchange of the product. As a result, the right of return and related refund liability is estimated and recorded as a reduction of revenue based on historical sales return experience.</w:t>
      </w:r>
    </w:p>
    <w:p>
      <w:pPr>
        <w:spacing w:after="0" w:line="70"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Cost of Goods Sold </w:t>
      </w:r>
      <w:r>
        <w:rPr>
          <w:rFonts w:ascii="Times New Roman" w:cs="Times New Roman" w:eastAsia="Times New Roman" w:hAnsi="Times New Roman"/>
          <w:sz w:val="18"/>
          <w:szCs w:val="18"/>
          <w:color w:val="auto"/>
        </w:rPr>
        <w:t>— Cost of goods sold includes, among other things, inbound and outbound freight costs and depreciation expense related to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used in production, while storage and other warehousing costs are included in “Selling, general and administrative expenses” in the Consolidated Statements of Operations. Storage and other warehousing costs totaled $37.3, $25.3 and $20.1 in fiscal 2025, 2024 and 2023, respectively.</w:t>
      </w:r>
    </w:p>
    <w:p>
      <w:pPr>
        <w:spacing w:after="0" w:line="67"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Advertising </w:t>
      </w:r>
      <w:r>
        <w:rPr>
          <w:rFonts w:ascii="Times New Roman" w:cs="Times New Roman" w:eastAsia="Times New Roman" w:hAnsi="Times New Roman"/>
          <w:sz w:val="18"/>
          <w:szCs w:val="18"/>
          <w:color w:val="auto"/>
        </w:rPr>
        <w:t>— Advertising costs are expensed as incurred, except for costs of producing media advertising such as television commercials or magazine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online advertisements, which are deferred until the first time the advertising takes place and amortized over the period the advertising runs. These amounts were reported within “Prepaid expenses and other current assets” on the Consolidated Balance Sheets and were immaterial as of both September 30, 2025 and 2024.</w:t>
      </w:r>
    </w:p>
    <w:p>
      <w:pPr>
        <w:spacing w:after="0" w:line="71"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Stock-based Compensation </w:t>
      </w:r>
      <w:r>
        <w:rPr>
          <w:rFonts w:ascii="Times New Roman" w:cs="Times New Roman" w:eastAsia="Times New Roman" w:hAnsi="Times New Roman"/>
          <w:sz w:val="18"/>
          <w:szCs w:val="18"/>
          <w:color w:val="auto"/>
        </w:rPr>
        <w:t>— The Company recognizes the cost of employee services received in exchange for awards of equity instruments based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grant-date fair value of the equity award. The cost for an equity award is recognized ratably over the period during which an employee is required to provide service in exchange for the award — the requisite service period (usually the vesting period). Any forfeitures of stock-based awards are recorded as they occur.</w:t>
      </w:r>
    </w:p>
    <w:p>
      <w:pPr>
        <w:spacing w:after="0" w:line="71"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Income Tax Expense </w:t>
      </w:r>
      <w:r>
        <w:rPr>
          <w:rFonts w:ascii="Times New Roman" w:cs="Times New Roman" w:eastAsia="Times New Roman" w:hAnsi="Times New Roman"/>
          <w:sz w:val="17"/>
          <w:szCs w:val="17"/>
          <w:color w:val="auto"/>
        </w:rPr>
        <w:t>— Income tax expense is estimated based on income taxes in each jurisdiction and includes the effects of both current tax exposures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the temporary differences resulting from differing treatment of items for tax and financial reporting purposes. These temporary differences result in deferred tax assets and liabilities. A valuation allowance is established against the related deferred tax assets to the extent that it is not “more likely than not” that the future benefits will be realized. Reserves are recorded for estimated exposures associated with the Company’s tax filing positions, which are subject to periodic audits by governmental taxing authorities. Interest incurred due to an underpayment of income taxes is classified as income tax expense.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RECENTLY ISSUED AND ADOPTED ACCOUNTING STANDARDS</w:t>
      </w:r>
    </w:p>
    <w:p>
      <w:pPr>
        <w:spacing w:after="0" w:line="11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 has considered all new accounting pronouncements and has concluded there are no new pronouncements (other than the ones described below) that had or will have a material impact on the Company’s results of operations, comprehensive income, financial condition, cash flows, stockholders’ equity or related disclosures based on current information.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w:t>
      </w:r>
    </w:p>
    <w:p>
      <w:pPr>
        <w:spacing w:after="0" w:line="11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September 2025, the Financial Accounting Standards Board (the “FASB”) issued Accounting Standards Update (“ASU”) 2025-06, “Intangibles — Goodwill and Other — Internal-Use Software (Subtopic 350-40): Targeted Improvements to the Accounting for Internal-Use Software.” This ASU is effective for fiscal years beginning after December 15, 2027 (i.e., the Company’s annual financial statements for the year ended September 30, 2029), with early adoption permitted. This ASU can be adopted either (i) prospectively, (ii) using a modified transition approach or (iii) retrospectively. The Company is currently evaluating the impact of this standard.</w:t>
      </w:r>
    </w:p>
    <w:p>
      <w:pPr>
        <w:spacing w:after="0" w:line="7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This ASU is effective for fiscal years beginning after December 15, 2026 (i.e., the Company’s annual financial statements for the year ended September 30, 2028) and for interim periods within fiscal years beginning after December 15, 2027 (i.e., the Company’s interim financial statements for the three months ended December 31, 2028), with early adoption permitted. This ASU can be adopted either (i) prospectively to financial statements issued for reporting periods after the effective date of the ASU or (ii) retrospectively to any or all prior periods presented in the financial statements. The Company is currently evaluating the impact of this standard.</w:t>
      </w:r>
    </w:p>
    <w:p>
      <w:pPr>
        <w:spacing w:after="0" w:line="7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This ASU is effective for fiscal years beginning after December 15, 2024 (i.e., the Company’s annual financial statements for the year ended September 30, 2026), with early adoption permitted. This ASU should be adopted prospectively; however, retrospective adoption is permitted. The Company is currently evaluating the impact of this standard.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w:t>
      </w:r>
    </w:p>
    <w:p>
      <w:pPr>
        <w:spacing w:after="0" w:line="11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which expands annual and interim disclosure requirements for reportable segments, primarily through enhanced disclosures about significant segment expenses. The Company adopted this ASU in the fourth quarter of fiscal 2025 and the updated disclosures were applied retrospectively for all periods presented (see Note 17). There were no other impacts of this standard to the Company’s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REVENUE</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net sales by product.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6"/>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Year Ended September 30,</w:t>
            </w:r>
          </w:p>
        </w:tc>
        <w:tc>
          <w:tcPr>
            <w:tcW w:w="1000" w:type="dxa"/>
            <w:vAlign w:val="bottom"/>
            <w:tcBorders>
              <w:bottom w:val="single" w:sz="8" w:color="auto"/>
            </w:tcBorders>
          </w:tcPr>
          <w:p>
            <w:pPr>
              <w:spacing w:after="0"/>
              <w:rPr>
                <w:sz w:val="18"/>
                <w:szCs w:val="18"/>
                <w:color w:val="auto"/>
              </w:rPr>
            </w:pPr>
          </w:p>
        </w:tc>
      </w:tr>
      <w:tr>
        <w:trPr>
          <w:trHeight w:val="207"/>
        </w:trPr>
        <w:tc>
          <w:tcPr>
            <w:tcW w:w="70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Shakes</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1,618.8</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1,320.2</w:t>
            </w:r>
          </w:p>
        </w:tc>
      </w:tr>
      <w:tr>
        <w:trPr>
          <w:trHeight w:val="225"/>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Powders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289.7</w:t>
            </w:r>
          </w:p>
        </w:tc>
      </w:tr>
      <w:tr>
        <w:trPr>
          <w:trHeight w:val="225"/>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r>
      <w:tr>
        <w:trPr>
          <w:trHeight w:val="218"/>
        </w:trPr>
        <w:tc>
          <w:tcPr>
            <w:tcW w:w="70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2,316.6</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1,996.2</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1,666.8</w:t>
            </w:r>
          </w:p>
        </w:tc>
      </w:tr>
      <w:tr>
        <w:trPr>
          <w:trHeight w:val="20"/>
        </w:trPr>
        <w:tc>
          <w:tcPr>
            <w:tcW w:w="7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Company’s revenues were primarily generated by sales within the U.S.; foreign sales were 11.9%, 10.8% and 10.5% of total fiscal 2025, 2024 and 2023 net sales, respectively. The largest concentration of foreign sales in fiscal 2025, 2024 and 2023 was within Canada, which accounted for 35.6%, 37.7% and 40.8% of total foreign sales, respectively.</w:t>
      </w:r>
    </w:p>
    <w:p>
      <w:pPr>
        <w:spacing w:after="0" w:line="7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Three customers individually accounted for more than 10% of total net sales in each of the years ended September 30, 2025, 2024 and 2023. One customer accounted for 34.3%, 35.8% and 33.9% of total net sales in the years ended September 30, 2025, 2024 and 2023, respectively. A second customer accounted for 27.5%, 27.3% and 30.0% of total net sales in the years ended September 30, 2025, 2024 and 2023, respectively. A third customer accounted for 12.2%, 11.7% and 11.4% of total net sales in the years ended September 30, 2025, 2024 and 2023,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RELATED PARTY TRANSACTIONS</w:t>
      </w:r>
    </w:p>
    <w:p>
      <w:pPr>
        <w:spacing w:after="0" w:line="11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Transactions between the Company and Post Holdings, Inc. (“Post”) were considered related party transactions as certain of the Company’s directors serve as officers and/or directors of Post.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MSA Fees and Royalties</w:t>
      </w:r>
    </w:p>
    <w:p>
      <w:pPr>
        <w:spacing w:after="0" w:line="11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uses certain functions and services performed by Post under a master services agreement (the “MSA”). These functions and services include finance, internal audit, treasury, information technology support, insurance and tax matters, the use of office and/or data center space, tax compliance services and, prior to January 2025, payroll processing services. During the years ended September 30, 2025, 2024 and 2023, MSA fees were $3.0, $3.4 and $4.0, respectively. MSA fees were reported in “Selling, general and administrative expenses” in the Consolidated Statements of Operations.</w:t>
      </w:r>
    </w:p>
    <w:p>
      <w:pPr>
        <w:spacing w:after="0" w:line="7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 licenses certain intellectual property to and from Post and its subsidiaries based upon prices governed by agreements between the Company and Post and its subsidiaries, consistent with prices of similar arm's-length transactions. During each of the years ended September 30, 2025, 2024 and 2023, royalties paid to and received from Post and its subsidiaries were immaterial.</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Co-Packing Agreement</w:t>
      </w:r>
    </w:p>
    <w:p>
      <w:pPr>
        <w:spacing w:after="0" w:line="11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Premier Nutrition Company, LLC (“Premier Nutrition”), a subsidiary of the Company, has a co-packing agreement with Comet Processing, Inc. (“Comet”), a wholly-owned subsidiary of Post (the “Co-Packing Agreement”). Under the Co-Packing Agreement, Premier Nutrition procures certain packaging materials for Comet that Comet utilizes in the production of RTD shakes for Premier Nutrition. Comet began manufacturing RTD shakes in December 2023. The Company purchased $62.2 and $8.6 of RTD shakes from Comet during the years ended September 30, 2025 and 2024, respectively. There were no purchases of RTD shakes manufactured by Comet during fiscal 2023.</w:t>
      </w:r>
    </w:p>
    <w:p>
      <w:pPr>
        <w:spacing w:after="0" w:line="7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of September 30, 2025 and 2024, the Company had current payables with Post of $3.7</w:t>
      </w:r>
      <w:r>
        <w:rPr>
          <w:rFonts w:ascii="Times New Roman" w:cs="Times New Roman" w:eastAsia="Times New Roman" w:hAnsi="Times New Roman"/>
          <w:sz w:val="18"/>
          <w:szCs w:val="18"/>
          <w:color w:val="EE2724"/>
        </w:rPr>
        <w:t> </w:t>
      </w:r>
      <w:r>
        <w:rPr>
          <w:rFonts w:ascii="Times New Roman" w:cs="Times New Roman" w:eastAsia="Times New Roman" w:hAnsi="Times New Roman"/>
          <w:sz w:val="18"/>
          <w:szCs w:val="18"/>
          <w:color w:val="auto"/>
        </w:rPr>
        <w:t>and $1.5, respectively, related to RTD shake purchases and MSA fees, which were included in “Accounts payable” on the Consolidated Balance Sheets. Current receivables with Post at both September 30, 2025 and 2024 were immaterial.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INCOME TAXES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expense (benefit) for income taxes consisted of the following: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6"/>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Year Ended September 30,</w:t>
            </w:r>
          </w:p>
        </w:tc>
        <w:tc>
          <w:tcPr>
            <w:tcW w:w="1000" w:type="dxa"/>
            <w:vAlign w:val="bottom"/>
            <w:tcBorders>
              <w:bottom w:val="single" w:sz="8" w:color="auto"/>
            </w:tcBorders>
          </w:tcPr>
          <w:p>
            <w:pPr>
              <w:spacing w:after="0"/>
              <w:rPr>
                <w:sz w:val="18"/>
                <w:szCs w:val="18"/>
                <w:color w:val="auto"/>
              </w:rPr>
            </w:pPr>
          </w:p>
        </w:tc>
      </w:tr>
      <w:tr>
        <w:trPr>
          <w:trHeight w:val="207"/>
        </w:trPr>
        <w:tc>
          <w:tcPr>
            <w:tcW w:w="70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25"/>
        </w:trPr>
        <w:tc>
          <w:tcPr>
            <w:tcW w:w="7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2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4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r>
      <w:tr>
        <w:trPr>
          <w:trHeight w:val="225"/>
        </w:trPr>
        <w:tc>
          <w:tcPr>
            <w:tcW w:w="7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25"/>
        </w:trPr>
        <w:tc>
          <w:tcPr>
            <w:tcW w:w="70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Foreign</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18"/>
        </w:trPr>
        <w:tc>
          <w:tcPr>
            <w:tcW w:w="70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r>
      <w:tr>
        <w:trPr>
          <w:trHeight w:val="205"/>
        </w:trPr>
        <w:tc>
          <w:tcPr>
            <w:tcW w:w="704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Deferred:</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25"/>
        </w:trPr>
        <w:tc>
          <w:tcPr>
            <w:tcW w:w="7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5"/>
        </w:trPr>
        <w:tc>
          <w:tcPr>
            <w:tcW w:w="70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8"/>
        </w:trPr>
        <w:tc>
          <w:tcPr>
            <w:tcW w:w="70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8"/>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w:t>
            </w:r>
          </w:p>
        </w:tc>
      </w:tr>
      <w:tr>
        <w:trPr>
          <w:trHeight w:val="20"/>
        </w:trPr>
        <w:tc>
          <w:tcPr>
            <w:tcW w:w="7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effective income tax rate for fiscal 2025, 2024 and 2023 was 25.2%, 25.2% and 24.9%, respectively.</w:t>
      </w:r>
    </w:p>
    <w:p>
      <w:pPr>
        <w:spacing w:after="0" w:line="1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the reconciliation of income tax expense with amounts computed at the federal statutory tax rate.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4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6"/>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Year Ended September 30,</w:t>
            </w:r>
          </w:p>
        </w:tc>
        <w:tc>
          <w:tcPr>
            <w:tcW w:w="1000" w:type="dxa"/>
            <w:vAlign w:val="bottom"/>
            <w:tcBorders>
              <w:bottom w:val="single" w:sz="8" w:color="auto"/>
            </w:tcBorders>
          </w:tcPr>
          <w:p>
            <w:pPr>
              <w:spacing w:after="0"/>
              <w:rPr>
                <w:sz w:val="18"/>
                <w:szCs w:val="18"/>
                <w:color w:val="auto"/>
              </w:rPr>
            </w:pPr>
          </w:p>
        </w:tc>
      </w:tr>
      <w:tr>
        <w:trPr>
          <w:trHeight w:val="207"/>
        </w:trPr>
        <w:tc>
          <w:tcPr>
            <w:tcW w:w="704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Computed tax at federal statutory rate (21%)</w:t>
            </w:r>
          </w:p>
        </w:tc>
        <w:tc>
          <w:tcPr>
            <w:tcW w:w="880" w:type="dxa"/>
            <w:vAlign w:val="bottom"/>
            <w:shd w:val="clear" w:color="auto" w:fill="CCEEFF"/>
          </w:tcPr>
          <w:p>
            <w:pPr>
              <w:jc w:val="right"/>
              <w:ind w:right="69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r>
      <w:tr>
        <w:trPr>
          <w:trHeight w:val="225"/>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income taxes, net of effect on federal tax</w:t>
            </w:r>
          </w:p>
        </w:tc>
        <w:tc>
          <w:tcPr>
            <w:tcW w:w="8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25"/>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compensation</w:t>
            </w: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5"/>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net (none in excess of 5% of computed tax)</w:t>
            </w:r>
          </w:p>
        </w:tc>
        <w:tc>
          <w:tcPr>
            <w:tcW w:w="8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43"/>
        </w:trPr>
        <w:tc>
          <w:tcPr>
            <w:tcW w:w="7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880" w:type="dxa"/>
            <w:vAlign w:val="bottom"/>
            <w:tcBorders>
              <w:bottom w:val="single" w:sz="8" w:color="auto"/>
            </w:tcBorders>
            <w:shd w:val="clear" w:color="auto" w:fill="CCEEFF"/>
          </w:tcPr>
          <w:p>
            <w:pPr>
              <w:jc w:val="right"/>
              <w:ind w:right="69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and liabilities for financial reporting purposes and the amounts used for income tax purposes. Deferred tax non-current assets (liabilities) were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September 30, 2025</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September 30, 2024</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r>
      <w:tr>
        <w:trPr>
          <w:trHeight w:val="207"/>
        </w:trPr>
        <w:tc>
          <w:tcPr>
            <w:tcW w:w="4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Liabilities</w:t>
            </w:r>
          </w:p>
        </w:tc>
        <w:tc>
          <w:tcPr>
            <w:tcW w:w="240" w:type="dxa"/>
            <w:vAlign w:val="bottom"/>
          </w:tcPr>
          <w:p>
            <w:pPr>
              <w:spacing w:after="0"/>
              <w:rPr>
                <w:sz w:val="17"/>
                <w:szCs w:val="17"/>
                <w:color w:val="auto"/>
              </w:rPr>
            </w:pPr>
          </w:p>
        </w:tc>
        <w:tc>
          <w:tcPr>
            <w:tcW w:w="78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Net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Liabilities</w:t>
            </w:r>
          </w:p>
        </w:tc>
        <w:tc>
          <w:tcPr>
            <w:tcW w:w="240" w:type="dxa"/>
            <w:vAlign w:val="bottom"/>
          </w:tcPr>
          <w:p>
            <w:pPr>
              <w:spacing w:after="0"/>
              <w:rPr>
                <w:sz w:val="17"/>
                <w:szCs w:val="17"/>
                <w:color w:val="auto"/>
              </w:rPr>
            </w:pPr>
          </w:p>
        </w:tc>
        <w:tc>
          <w:tcPr>
            <w:tcW w:w="78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Net</w:t>
            </w:r>
          </w:p>
        </w:tc>
      </w:tr>
      <w:tr>
        <w:trPr>
          <w:trHeight w:val="220"/>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5"/>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vacation, incentive and severance</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5"/>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research and development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5"/>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5"/>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awards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5"/>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5"/>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25"/>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ROU assets</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5"/>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5"/>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items</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2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Total deferred income taxes</w:t>
            </w: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No provision has been made for income taxes on undistributed earnings of consolidated foreign subsidiaries of $3.0 and $4.2 at September 30, 2025 and 2024, respectively, as it is the Company’s intention to indefinitely reinvest undistributed earnings of its foreign subsidiaries. Any additional income taxes and applicable foreign withholding taxes that would be payable on the remittance of such undistributed earnings would be immaterial.</w:t>
      </w:r>
    </w:p>
    <w:p>
      <w:pPr>
        <w:spacing w:after="0" w:line="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fiscal 2025, 2024 and 2023, foreign (loss) income before income taxes was $(1.5), $2.0 and $2.0, respectively.</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Unrecognized Tax Benefits</w:t>
      </w:r>
    </w:p>
    <w:p>
      <w:pPr>
        <w:spacing w:after="0" w:line="11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recognizes the tax benefit from uncertain tax positions only if it is “more likely than not” that the tax position will be sustained on examination by the taxing authorities. The tax benefits recognized from such positions are measured based on the largest benefit that has a greater than 50% likelihood of being realized upon ultimate settlement. To the extent the Company’s assessment of such tax positions changes, the change in estimate will be recorded in the period in which the determination is made.</w:t>
      </w:r>
    </w:p>
    <w:p>
      <w:pPr>
        <w:spacing w:after="0" w:line="7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At September 30, 2025 and 2024, the Company had net unrecognized tax benefits of $1.3 and $1.4, respectively. There was no material unrecognized tax benefits activity during the years ended September 30, 2025, 2024 or 2023. The amount of the net unrecognized tax benefits that, if recognized, would directly affect the effective tax rate was $1.3 at September 30, 2025. No material changes to unrecognized tax benefits at September 30, 2025 are expected to be recognized within the next twelve months.</w:t>
      </w:r>
    </w:p>
    <w:p>
      <w:pPr>
        <w:spacing w:after="0" w:line="7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computes tax-related interest and penalties as the difference between the tax position recognized for financial reporting purposes and the amount previously taken on the Company’s tax returns and classifies these amounts as components of income tax (benefit) expense. During each of the years ended September 30, 2025, 2024 and 2023, expenses recorded related to interest and penalties were immaterial, and the Company had immaterial interest and penalty accruals at both September 30, 2025 and 2024.</w:t>
      </w:r>
    </w:p>
    <w:p>
      <w:pPr>
        <w:spacing w:after="0" w:line="7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U.S. federal, U.S. state and foreign jurisdiction income tax returns for the tax years ended September 30, 2022 through September 30, 2024 are generally open and subject to examination by the tax authorities in each respective jurisdiction.</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Legislation</w:t>
      </w:r>
    </w:p>
    <w:p>
      <w:pPr>
        <w:spacing w:after="0" w:line="11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On July 4, 2025, the H.R.1 tax law was enacted in the U.S. (the “H.R.1 Tax Act”). The H.R.1 Tax Act includes provisions, such as the permanent extension of certain expiring provisions of the Tax Cuts and Jobs Act of 2017, modifications to the international tax framework and the restoration of favorable tax treatment for certain business provisions. The H.R.1 Tax Act has multiple effective dates, beginning in calendar year 2025 and extending through calendar year 2027. The H.R.1 Tax Act did not have a material impact on the Company’s effective income tax rate, results of operations, financial condition or cash flows during the year ended September 30, 2025.</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EARNINGS PER SHARE</w:t>
      </w:r>
    </w:p>
    <w:p>
      <w:pPr>
        <w:spacing w:after="0" w:line="113" w:lineRule="exact"/>
        <w:rPr>
          <w:sz w:val="20"/>
          <w:szCs w:val="20"/>
          <w:color w:val="auto"/>
        </w:rPr>
      </w:pPr>
    </w:p>
    <w:p>
      <w:pPr>
        <w:jc w:val="both"/>
        <w:ind w:right="100" w:firstLine="318"/>
        <w:spacing w:after="0" w:line="259" w:lineRule="auto"/>
        <w:rPr>
          <w:sz w:val="20"/>
          <w:szCs w:val="20"/>
          <w:color w:val="auto"/>
        </w:rPr>
      </w:pPr>
      <w:r>
        <w:rPr>
          <w:rFonts w:ascii="Times New Roman" w:cs="Times New Roman" w:eastAsia="Times New Roman" w:hAnsi="Times New Roman"/>
          <w:sz w:val="18"/>
          <w:szCs w:val="18"/>
          <w:color w:val="auto"/>
        </w:rPr>
        <w:t>Basic earnings per share is based on the average number of shares of common stock outstanding during the year. Diluted earnings per share is based on the average number of shares of common stock used for the basic earnings per share calculation, adjusted for the dilutive effect of stock options and restricted stock units using the “treasury stock” method.</w:t>
      </w:r>
    </w:p>
    <w:p>
      <w:pPr>
        <w:spacing w:after="0" w:line="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w:t>
      </w:r>
    </w:p>
    <w:p>
      <w:pPr>
        <w:spacing w:after="0" w:line="153"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704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6"/>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Year Ended September 30,</w:t>
            </w:r>
          </w:p>
        </w:tc>
        <w:tc>
          <w:tcPr>
            <w:tcW w:w="780" w:type="dxa"/>
            <w:vAlign w:val="bottom"/>
            <w:tcBorders>
              <w:bottom w:val="single" w:sz="8" w:color="auto"/>
            </w:tcBorders>
          </w:tcPr>
          <w:p>
            <w:pPr>
              <w:spacing w:after="0"/>
              <w:rPr>
                <w:sz w:val="18"/>
                <w:szCs w:val="18"/>
                <w:color w:val="auto"/>
              </w:rPr>
            </w:pPr>
          </w:p>
        </w:tc>
      </w:tr>
      <w:tr>
        <w:trPr>
          <w:trHeight w:val="207"/>
        </w:trPr>
        <w:tc>
          <w:tcPr>
            <w:tcW w:w="704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820" w:type="dxa"/>
            <w:vAlign w:val="bottom"/>
            <w:shd w:val="clear" w:color="auto" w:fill="CCEEFF"/>
          </w:tcPr>
          <w:p>
            <w:pPr>
              <w:jc w:val="right"/>
              <w:ind w:right="634"/>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216.2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65"/>
        </w:trPr>
        <w:tc>
          <w:tcPr>
            <w:tcW w:w="70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25"/>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shares in millions</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5"/>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for basic earnings per share</w:t>
            </w: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126.9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25"/>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5"/>
        </w:trPr>
        <w:tc>
          <w:tcPr>
            <w:tcW w:w="7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options</w:t>
            </w: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25"/>
        </w:trPr>
        <w:tc>
          <w:tcPr>
            <w:tcW w:w="7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Restricted stock units</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25"/>
        </w:trPr>
        <w:tc>
          <w:tcPr>
            <w:tcW w:w="70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Performance-based restricted stock units</w:t>
            </w:r>
          </w:p>
        </w:tc>
        <w:tc>
          <w:tcPr>
            <w:tcW w:w="8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43"/>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for diluted earnings per share</w:t>
            </w:r>
          </w:p>
        </w:tc>
        <w:tc>
          <w:tcPr>
            <w:tcW w:w="82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128.5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7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50"/>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820" w:type="dxa"/>
            <w:vAlign w:val="bottom"/>
            <w:tcBorders>
              <w:bottom w:val="single" w:sz="8" w:color="auto"/>
            </w:tcBorders>
            <w:shd w:val="clear" w:color="auto" w:fill="CCEEFF"/>
          </w:tcPr>
          <w:p>
            <w:pPr>
              <w:jc w:val="right"/>
              <w:ind w:right="634"/>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70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Diluted earnings per share</w:t>
            </w:r>
          </w:p>
        </w:tc>
        <w:tc>
          <w:tcPr>
            <w:tcW w:w="820" w:type="dxa"/>
            <w:vAlign w:val="bottom"/>
            <w:tcBorders>
              <w:bottom w:val="single" w:sz="8" w:color="auto"/>
            </w:tcBorders>
          </w:tcPr>
          <w:p>
            <w:pPr>
              <w:jc w:val="right"/>
              <w:ind w:right="634"/>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1.68</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92"/>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1.86</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12"/>
              <w:spacing w:after="0" w:line="198"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70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right="100"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details the securities that have been excluded from the calculation of weighted-average shares for diluted earnings per share as they were anti-dilutive.</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shares in millions</w:t>
            </w:r>
          </w:p>
        </w:tc>
        <w:tc>
          <w:tcPr>
            <w:tcW w:w="2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10"/>
          </w:tcPr>
          <w:p>
            <w:pPr>
              <w:ind w:left="300"/>
              <w:spacing w:after="0"/>
              <w:rPr>
                <w:sz w:val="20"/>
                <w:szCs w:val="20"/>
                <w:color w:val="auto"/>
              </w:rPr>
            </w:pPr>
            <w:r>
              <w:rPr>
                <w:rFonts w:ascii="Times New Roman" w:cs="Times New Roman" w:eastAsia="Times New Roman" w:hAnsi="Times New Roman"/>
                <w:sz w:val="16"/>
                <w:szCs w:val="16"/>
                <w:b w:val="1"/>
                <w:bCs w:val="1"/>
                <w:color w:val="auto"/>
              </w:rPr>
              <w:t>Year Ended September 30,</w:t>
            </w: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040" w:type="dxa"/>
            <w:vAlign w:val="bottom"/>
            <w:tcBorders>
              <w:bottom w:val="single" w:sz="8" w:color="CCEEFF"/>
            </w:tcBorders>
            <w:vMerge w:val="continue"/>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Performance-based restricted stock units</w:t>
            </w: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8"/>
        </w:trPr>
        <w:tc>
          <w:tcPr>
            <w:tcW w:w="7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8 — SUPPLEMENTAL OPERATIONS STATEMENT AND CASH FLOW INFORMATION</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70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10"/>
          </w:tcPr>
          <w:p>
            <w:pPr>
              <w:ind w:left="320"/>
              <w:spacing w:after="0"/>
              <w:rPr>
                <w:sz w:val="20"/>
                <w:szCs w:val="20"/>
                <w:color w:val="auto"/>
              </w:rPr>
            </w:pPr>
            <w:r>
              <w:rPr>
                <w:rFonts w:ascii="Times New Roman" w:cs="Times New Roman" w:eastAsia="Times New Roman" w:hAnsi="Times New Roman"/>
                <w:sz w:val="16"/>
                <w:szCs w:val="16"/>
                <w:b w:val="1"/>
                <w:bCs w:val="1"/>
                <w:color w:val="auto"/>
              </w:rPr>
              <w:t>Year Ended September 30,</w:t>
            </w: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704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4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Advertising expenses</w:t>
            </w:r>
          </w:p>
        </w:tc>
        <w:tc>
          <w:tcPr>
            <w:tcW w:w="880" w:type="dxa"/>
            <w:vAlign w:val="bottom"/>
            <w:gridSpan w:val="2"/>
            <w:shd w:val="clear" w:color="auto" w:fill="CCEEFF"/>
          </w:tcPr>
          <w:p>
            <w:pPr>
              <w:jc w:val="right"/>
              <w:ind w:right="701"/>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25"/>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25"/>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paid</w:t>
            </w: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66.6</w:t>
            </w:r>
          </w:p>
        </w:tc>
        <w:tc>
          <w:tcPr>
            <w:tcW w:w="0" w:type="dxa"/>
            <w:vAlign w:val="bottom"/>
          </w:tcPr>
          <w:p>
            <w:pPr>
              <w:spacing w:after="0"/>
              <w:rPr>
                <w:sz w:val="1"/>
                <w:szCs w:val="1"/>
                <w:color w:val="auto"/>
              </w:rPr>
            </w:pPr>
          </w:p>
        </w:tc>
      </w:tr>
      <w:tr>
        <w:trPr>
          <w:trHeight w:val="231"/>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 paid</w:t>
            </w: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60.9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333" w:right="2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SUPPLEMENTAL BALANCE SHEET INFORMATION</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4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4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0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Receivables, net</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Trade</w:t>
            </w: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14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0" w:type="dxa"/>
            <w:vAlign w:val="bottom"/>
          </w:tcPr>
          <w:p>
            <w:pPr>
              <w:spacing w:after="0"/>
              <w:rPr>
                <w:sz w:val="1"/>
                <w:szCs w:val="1"/>
                <w:color w:val="auto"/>
              </w:rPr>
            </w:pPr>
          </w:p>
        </w:tc>
      </w:tr>
      <w:tr>
        <w:trPr>
          <w:trHeight w:val="225"/>
        </w:trPr>
        <w:tc>
          <w:tcPr>
            <w:tcW w:w="8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18"/>
        </w:trPr>
        <w:tc>
          <w:tcPr>
            <w:tcW w:w="8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0" w:type="dxa"/>
            <w:vAlign w:val="bottom"/>
          </w:tcPr>
          <w:p>
            <w:pPr>
              <w:spacing w:after="0"/>
              <w:rPr>
                <w:sz w:val="1"/>
                <w:szCs w:val="1"/>
                <w:color w:val="auto"/>
              </w:rPr>
            </w:pPr>
          </w:p>
        </w:tc>
      </w:tr>
      <w:tr>
        <w:trPr>
          <w:trHeight w:val="225"/>
        </w:trPr>
        <w:tc>
          <w:tcPr>
            <w:tcW w:w="8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8"/>
        </w:trPr>
        <w:tc>
          <w:tcPr>
            <w:tcW w:w="8480" w:type="dxa"/>
            <w:vAlign w:val="bottom"/>
          </w:tcPr>
          <w:p>
            <w:pPr>
              <w:spacing w:after="0"/>
              <w:rPr>
                <w:sz w:val="19"/>
                <w:szCs w:val="19"/>
                <w:color w:val="auto"/>
              </w:rPr>
            </w:pPr>
          </w:p>
        </w:tc>
        <w:tc>
          <w:tcPr>
            <w:tcW w:w="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223.4</w:t>
            </w:r>
          </w:p>
        </w:tc>
        <w:tc>
          <w:tcPr>
            <w:tcW w:w="140" w:type="dxa"/>
            <w:vAlign w:val="bottom"/>
          </w:tcPr>
          <w:p>
            <w:pPr>
              <w:spacing w:after="0"/>
              <w:rPr>
                <w:sz w:val="19"/>
                <w:szCs w:val="19"/>
                <w:color w:val="auto"/>
              </w:rPr>
            </w:pPr>
          </w:p>
        </w:tc>
        <w:tc>
          <w:tcPr>
            <w:tcW w:w="4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220.4</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480" w:type="dxa"/>
            <w:vAlign w:val="bottom"/>
            <w:shd w:val="clear" w:color="auto" w:fill="CCEEFF"/>
          </w:tcPr>
          <w:p>
            <w:pPr>
              <w:ind w:left="20"/>
              <w:spacing w:after="0" w:line="192" w:lineRule="exact"/>
              <w:rPr>
                <w:sz w:val="20"/>
                <w:szCs w:val="20"/>
                <w:color w:val="auto"/>
              </w:rPr>
            </w:pPr>
            <w:r>
              <w:rPr>
                <w:rFonts w:ascii="Times New Roman" w:cs="Times New Roman" w:eastAsia="Times New Roman" w:hAnsi="Times New Roman"/>
                <w:sz w:val="18"/>
                <w:szCs w:val="18"/>
                <w:b w:val="1"/>
                <w:bCs w:val="1"/>
                <w:color w:val="auto"/>
              </w:rPr>
              <w:t>Inventories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8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4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0" w:type="dxa"/>
            <w:vAlign w:val="bottom"/>
          </w:tcPr>
          <w:p>
            <w:pPr>
              <w:spacing w:after="0"/>
              <w:rPr>
                <w:sz w:val="1"/>
                <w:szCs w:val="1"/>
                <w:color w:val="auto"/>
              </w:rPr>
            </w:pPr>
          </w:p>
        </w:tc>
      </w:tr>
      <w:tr>
        <w:trPr>
          <w:trHeight w:val="225"/>
        </w:trPr>
        <w:tc>
          <w:tcPr>
            <w:tcW w:w="8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Work in process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8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Finished products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242.0</w:t>
            </w:r>
          </w:p>
        </w:tc>
        <w:tc>
          <w:tcPr>
            <w:tcW w:w="1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0" w:type="dxa"/>
            <w:vAlign w:val="bottom"/>
          </w:tcPr>
          <w:p>
            <w:pPr>
              <w:spacing w:after="0"/>
              <w:rPr>
                <w:sz w:val="1"/>
                <w:szCs w:val="1"/>
                <w:color w:val="auto"/>
              </w:rPr>
            </w:pPr>
          </w:p>
        </w:tc>
      </w:tr>
      <w:tr>
        <w:trPr>
          <w:trHeight w:val="243"/>
        </w:trPr>
        <w:tc>
          <w:tcPr>
            <w:tcW w:w="84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330.4</w:t>
            </w:r>
          </w:p>
        </w:tc>
        <w:tc>
          <w:tcPr>
            <w:tcW w:w="1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Accounts Payable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84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8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Trade</w:t>
            </w: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0" w:type="dxa"/>
            <w:vAlign w:val="bottom"/>
          </w:tcPr>
          <w:p>
            <w:pPr>
              <w:spacing w:after="0"/>
              <w:rPr>
                <w:sz w:val="1"/>
                <w:szCs w:val="1"/>
                <w:color w:val="auto"/>
              </w:rPr>
            </w:pPr>
          </w:p>
        </w:tc>
      </w:tr>
      <w:tr>
        <w:trPr>
          <w:trHeight w:val="225"/>
        </w:trPr>
        <w:tc>
          <w:tcPr>
            <w:tcW w:w="8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Related party</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5"/>
        </w:trPr>
        <w:tc>
          <w:tcPr>
            <w:tcW w:w="8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8"/>
        </w:trPr>
        <w:tc>
          <w:tcPr>
            <w:tcW w:w="8480" w:type="dxa"/>
            <w:vAlign w:val="bottom"/>
          </w:tcPr>
          <w:p>
            <w:pPr>
              <w:spacing w:after="0"/>
              <w:rPr>
                <w:sz w:val="19"/>
                <w:szCs w:val="19"/>
                <w:color w:val="auto"/>
              </w:rPr>
            </w:pPr>
          </w:p>
        </w:tc>
        <w:tc>
          <w:tcPr>
            <w:tcW w:w="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40" w:type="dxa"/>
            <w:vAlign w:val="bottom"/>
          </w:tcPr>
          <w:p>
            <w:pPr>
              <w:spacing w:after="0"/>
              <w:rPr>
                <w:sz w:val="19"/>
                <w:szCs w:val="19"/>
                <w:color w:val="auto"/>
              </w:rPr>
            </w:pPr>
          </w:p>
        </w:tc>
        <w:tc>
          <w:tcPr>
            <w:tcW w:w="4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480" w:type="dxa"/>
            <w:vAlign w:val="bottom"/>
            <w:shd w:val="clear" w:color="auto" w:fill="CCEEFF"/>
          </w:tcPr>
          <w:p>
            <w:pPr>
              <w:ind w:left="20"/>
              <w:spacing w:after="0" w:line="192" w:lineRule="exact"/>
              <w:rPr>
                <w:sz w:val="20"/>
                <w:szCs w:val="20"/>
                <w:color w:val="auto"/>
              </w:rPr>
            </w:pPr>
            <w:r>
              <w:rPr>
                <w:rFonts w:ascii="Times New Roman" w:cs="Times New Roman" w:eastAsia="Times New Roman" w:hAnsi="Times New Roman"/>
                <w:sz w:val="18"/>
                <w:szCs w:val="18"/>
                <w:b w:val="1"/>
                <w:bCs w:val="1"/>
                <w:color w:val="auto"/>
              </w:rPr>
              <w:t>Other Current Liabilities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8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legal matters</w:t>
            </w: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4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25"/>
        </w:trPr>
        <w:tc>
          <w:tcPr>
            <w:tcW w:w="8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compensation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25"/>
        </w:trPr>
        <w:tc>
          <w:tcPr>
            <w:tcW w:w="8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Derivative liabilities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5"/>
        </w:trPr>
        <w:tc>
          <w:tcPr>
            <w:tcW w:w="8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Advertising and promotion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25"/>
        </w:trPr>
        <w:tc>
          <w:tcPr>
            <w:tcW w:w="8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43"/>
        </w:trPr>
        <w:tc>
          <w:tcPr>
            <w:tcW w:w="84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1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LEASES</w:t>
      </w:r>
    </w:p>
    <w:p>
      <w:pPr>
        <w:spacing w:after="0" w:line="11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 leases office space, certain warehouses and equipment primarily through operating lease agreements. The Company has no finance lease agreements. Leases have remaining terms which range from less than 1 year to 12 years and most leases provide the Company with the option to exercise one or more renewal terms.</w:t>
      </w:r>
    </w:p>
    <w:p>
      <w:pPr>
        <w:spacing w:after="0" w:line="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the balance sheet location of the Company’s operating leases.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48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60" w:type="dxa"/>
            <w:vAlign w:val="bottom"/>
            <w:tcBorders>
              <w:bottom w:val="single" w:sz="8" w:color="auto"/>
            </w:tcBorders>
          </w:tcPr>
          <w:p>
            <w:pPr>
              <w:spacing w:after="0"/>
              <w:rPr>
                <w:sz w:val="18"/>
                <w:szCs w:val="18"/>
                <w:color w:val="auto"/>
              </w:rPr>
            </w:pPr>
          </w:p>
        </w:tc>
      </w:tr>
      <w:tr>
        <w:trPr>
          <w:trHeight w:val="207"/>
        </w:trPr>
        <w:tc>
          <w:tcPr>
            <w:tcW w:w="848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6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w:t>
            </w:r>
          </w:p>
        </w:tc>
        <w:tc>
          <w:tcPr>
            <w:tcW w:w="8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25"/>
        </w:trPr>
        <w:tc>
          <w:tcPr>
            <w:tcW w:w="8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assets</w:t>
            </w:r>
          </w:p>
        </w:tc>
        <w:tc>
          <w:tcPr>
            <w:tcW w:w="860" w:type="dxa"/>
            <w:vAlign w:val="bottom"/>
          </w:tcPr>
          <w:p>
            <w:pPr>
              <w:jc w:val="right"/>
              <w:ind w:right="65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4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52"/>
        </w:trPr>
        <w:tc>
          <w:tcPr>
            <w:tcW w:w="84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r>
      <w:tr>
        <w:trPr>
          <w:trHeight w:val="225"/>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5"/>
        </w:trPr>
        <w:tc>
          <w:tcPr>
            <w:tcW w:w="8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860" w:type="dxa"/>
            <w:vAlign w:val="bottom"/>
            <w:shd w:val="clear" w:color="auto" w:fill="CCEEFF"/>
          </w:tcPr>
          <w:p>
            <w:pPr>
              <w:jc w:val="right"/>
              <w:ind w:right="65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5"/>
        </w:trPr>
        <w:tc>
          <w:tcPr>
            <w:tcW w:w="84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Other liabilities</w:t>
            </w:r>
          </w:p>
        </w:tc>
        <w:tc>
          <w:tcPr>
            <w:tcW w:w="8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43"/>
        </w:trPr>
        <w:tc>
          <w:tcPr>
            <w:tcW w:w="84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860" w:type="dxa"/>
            <w:vAlign w:val="bottom"/>
            <w:tcBorders>
              <w:bottom w:val="single" w:sz="8" w:color="auto"/>
            </w:tcBorders>
            <w:shd w:val="clear" w:color="auto" w:fill="CCEEFF"/>
          </w:tcPr>
          <w:p>
            <w:pPr>
              <w:jc w:val="right"/>
              <w:ind w:right="65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Future minimum payments of the Company’s operating lease liabilities as of September 30, 2025 are presented in the following table.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2026</w:t>
            </w:r>
          </w:p>
        </w:tc>
        <w:tc>
          <w:tcPr>
            <w:tcW w:w="800" w:type="dxa"/>
            <w:vAlign w:val="bottom"/>
            <w:shd w:val="clear" w:color="auto" w:fill="CCEEFF"/>
          </w:tcPr>
          <w:p>
            <w:pPr>
              <w:spacing w:after="0"/>
              <w:rPr>
                <w:sz w:val="19"/>
                <w:szCs w:val="19"/>
                <w:color w:val="auto"/>
              </w:rPr>
            </w:pPr>
          </w:p>
        </w:tc>
        <w:tc>
          <w:tcPr>
            <w:tcW w:w="2080" w:type="dxa"/>
            <w:vAlign w:val="bottom"/>
            <w:gridSpan w:val="5"/>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5"/>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5"/>
        </w:trPr>
        <w:tc>
          <w:tcPr>
            <w:tcW w:w="7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2028</w:t>
            </w:r>
          </w:p>
        </w:tc>
        <w:tc>
          <w:tcPr>
            <w:tcW w:w="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5"/>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Fiscal 2029</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5"/>
        </w:trPr>
        <w:tc>
          <w:tcPr>
            <w:tcW w:w="7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2030</w:t>
            </w:r>
          </w:p>
        </w:tc>
        <w:tc>
          <w:tcPr>
            <w:tcW w:w="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5"/>
        </w:trPr>
        <w:tc>
          <w:tcPr>
            <w:tcW w:w="7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8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219"/>
        </w:trPr>
        <w:tc>
          <w:tcPr>
            <w:tcW w:w="7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future minimum payments</w:t>
            </w:r>
          </w:p>
        </w:tc>
        <w:tc>
          <w:tcPr>
            <w:tcW w:w="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0" w:type="dxa"/>
            <w:vAlign w:val="bottom"/>
          </w:tcPr>
          <w:p>
            <w:pPr>
              <w:spacing w:after="0"/>
              <w:rPr>
                <w:sz w:val="1"/>
                <w:szCs w:val="1"/>
                <w:color w:val="auto"/>
              </w:rPr>
            </w:pPr>
          </w:p>
        </w:tc>
      </w:tr>
      <w:tr>
        <w:trPr>
          <w:trHeight w:val="225"/>
        </w:trPr>
        <w:tc>
          <w:tcPr>
            <w:tcW w:w="7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Less: Implied interest</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25"/>
        </w:trPr>
        <w:tc>
          <w:tcPr>
            <w:tcW w:w="7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Less: Tenant improvement allowance</w:t>
            </w:r>
          </w:p>
        </w:tc>
        <w:tc>
          <w:tcPr>
            <w:tcW w:w="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8"/>
        </w:trPr>
        <w:tc>
          <w:tcPr>
            <w:tcW w:w="73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 lease liabilities</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8"/>
                <w:szCs w:val="18"/>
                <w:color w:val="auto"/>
                <w:w w:val="98"/>
              </w:rPr>
              <w:t>The following table presents supplemental information related to the Company’s operating leases.</w:t>
            </w: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7320" w:type="dxa"/>
            <w:vAlign w:val="bottom"/>
            <w:gridSpan w:val="2"/>
            <w:vMerge w:val="continue"/>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70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5"/>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Year Ended September 30,</w:t>
            </w: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7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680" w:type="dxa"/>
            <w:vAlign w:val="bottom"/>
            <w:gridSpan w:val="3"/>
          </w:tcPr>
          <w:p>
            <w:pPr>
              <w:jc w:val="center"/>
              <w:ind w:left="275"/>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center"/>
              <w:ind w:right="192"/>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0" w:type="dxa"/>
            <w:vAlign w:val="bottom"/>
          </w:tcPr>
          <w:p>
            <w:pPr>
              <w:spacing w:after="0"/>
              <w:rPr>
                <w:sz w:val="1"/>
                <w:szCs w:val="1"/>
                <w:color w:val="auto"/>
              </w:rPr>
            </w:pPr>
          </w:p>
        </w:tc>
      </w:tr>
      <w:tr>
        <w:trPr>
          <w:trHeight w:val="220"/>
        </w:trPr>
        <w:tc>
          <w:tcPr>
            <w:tcW w:w="7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expense</w:t>
            </w:r>
          </w:p>
        </w:tc>
        <w:tc>
          <w:tcPr>
            <w:tcW w:w="28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center"/>
              <w:ind w:right="172"/>
              <w:spacing w:after="0"/>
              <w:rPr>
                <w:sz w:val="20"/>
                <w:szCs w:val="20"/>
                <w:color w:val="auto"/>
              </w:rPr>
            </w:pPr>
            <w:r>
              <w:rPr>
                <w:rFonts w:ascii="Times New Roman" w:cs="Times New Roman" w:eastAsia="Times New Roman" w:hAnsi="Times New Roman"/>
                <w:sz w:val="18"/>
                <w:szCs w:val="18"/>
                <w:color w:val="auto"/>
                <w:w w:val="95"/>
              </w:rPr>
              <w:t>$3.1</w:t>
            </w:r>
          </w:p>
        </w:tc>
        <w:tc>
          <w:tcPr>
            <w:tcW w:w="0" w:type="dxa"/>
            <w:vAlign w:val="bottom"/>
          </w:tcPr>
          <w:p>
            <w:pPr>
              <w:spacing w:after="0"/>
              <w:rPr>
                <w:sz w:val="1"/>
                <w:szCs w:val="1"/>
                <w:color w:val="auto"/>
              </w:rPr>
            </w:pPr>
          </w:p>
        </w:tc>
      </w:tr>
      <w:tr>
        <w:trPr>
          <w:trHeight w:val="225"/>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Variable lease expense</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1.3</w:t>
            </w:r>
          </w:p>
        </w:tc>
        <w:tc>
          <w:tcPr>
            <w:tcW w:w="1680" w:type="dxa"/>
            <w:vAlign w:val="bottom"/>
            <w:gridSpan w:val="3"/>
          </w:tcPr>
          <w:p>
            <w:pPr>
              <w:jc w:val="center"/>
              <w:ind w:left="295"/>
              <w:spacing w:after="0"/>
              <w:rPr>
                <w:sz w:val="20"/>
                <w:szCs w:val="20"/>
                <w:color w:val="auto"/>
              </w:rPr>
            </w:pPr>
            <w:r>
              <w:rPr>
                <w:rFonts w:ascii="Times New Roman" w:cs="Times New Roman" w:eastAsia="Times New Roman" w:hAnsi="Times New Roman"/>
                <w:sz w:val="18"/>
                <w:szCs w:val="18"/>
                <w:color w:val="auto"/>
                <w:w w:val="97"/>
              </w:rPr>
              <w:t>1.0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7"/>
              </w:rPr>
              <w:t>0.9</w:t>
            </w:r>
          </w:p>
        </w:tc>
        <w:tc>
          <w:tcPr>
            <w:tcW w:w="0" w:type="dxa"/>
            <w:vAlign w:val="bottom"/>
          </w:tcPr>
          <w:p>
            <w:pPr>
              <w:spacing w:after="0"/>
              <w:rPr>
                <w:sz w:val="1"/>
                <w:szCs w:val="1"/>
                <w:color w:val="auto"/>
              </w:rPr>
            </w:pPr>
          </w:p>
        </w:tc>
      </w:tr>
      <w:tr>
        <w:trPr>
          <w:trHeight w:val="265"/>
        </w:trPr>
        <w:tc>
          <w:tcPr>
            <w:tcW w:w="70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400" w:type="dxa"/>
            <w:vAlign w:val="bottom"/>
            <w:gridSpan w:val="2"/>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 years</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gridSpan w:val="3"/>
          </w:tcPr>
          <w:p>
            <w:pPr>
              <w:jc w:val="right"/>
              <w:ind w:right="712"/>
              <w:spacing w:after="0"/>
              <w:rPr>
                <w:sz w:val="20"/>
                <w:szCs w:val="20"/>
                <w:color w:val="auto"/>
              </w:rPr>
            </w:pPr>
            <w:r>
              <w:rPr>
                <w:rFonts w:ascii="Times New Roman" w:cs="Times New Roman" w:eastAsia="Times New Roman" w:hAnsi="Times New Roman"/>
                <w:sz w:val="18"/>
                <w:szCs w:val="18"/>
                <w:color w:val="auto"/>
              </w:rPr>
              <w:t>4 years</w:t>
            </w:r>
          </w:p>
        </w:tc>
        <w:tc>
          <w:tcPr>
            <w:tcW w:w="104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4 years</w:t>
            </w:r>
          </w:p>
        </w:tc>
        <w:tc>
          <w:tcPr>
            <w:tcW w:w="0" w:type="dxa"/>
            <w:vAlign w:val="bottom"/>
          </w:tcPr>
          <w:p>
            <w:pPr>
              <w:spacing w:after="0"/>
              <w:rPr>
                <w:sz w:val="1"/>
                <w:szCs w:val="1"/>
                <w:color w:val="auto"/>
              </w:rPr>
            </w:pPr>
          </w:p>
        </w:tc>
      </w:tr>
      <w:tr>
        <w:trPr>
          <w:trHeight w:val="225"/>
        </w:trPr>
        <w:tc>
          <w:tcPr>
            <w:tcW w:w="7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incremental borrowing rate</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7.0%</w:t>
            </w:r>
          </w:p>
        </w:tc>
        <w:tc>
          <w:tcPr>
            <w:tcW w:w="1680" w:type="dxa"/>
            <w:vAlign w:val="bottom"/>
            <w:gridSpan w:val="3"/>
            <w:shd w:val="clear" w:color="auto" w:fill="CCEEFF"/>
          </w:tcPr>
          <w:p>
            <w:pPr>
              <w:jc w:val="center"/>
              <w:ind w:left="275"/>
              <w:spacing w:after="0"/>
              <w:rPr>
                <w:sz w:val="20"/>
                <w:szCs w:val="20"/>
                <w:color w:val="auto"/>
              </w:rPr>
            </w:pPr>
            <w:r>
              <w:rPr>
                <w:rFonts w:ascii="Times New Roman" w:cs="Times New Roman" w:eastAsia="Times New Roman" w:hAnsi="Times New Roman"/>
                <w:sz w:val="18"/>
                <w:szCs w:val="18"/>
                <w:color w:val="auto"/>
                <w:w w:val="95"/>
              </w:rPr>
              <w:t>4.9%</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right="172"/>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bl>
    <w:p>
      <w:pPr>
        <w:spacing w:after="0" w:line="16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Operating cash flows for amounts included in the measurement of the Company’s operating lease liabilities for the years ended September 30, 2025, 2024 and 2023 were $2.5, $2.5 and $2.4, respectively. Short-term lease expense for the years ended September 30, 2025, 2024 and 2023 was immaterial. ROU assets obtained in exchange for operating lease liabilities were $22.4 during the year ended September 30, 2025. ROU assets obtained in exchange for operating lease liabilities during the years ended September 30, 2024 and 2023 were immaterial.</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DERIVATIVE FINANCIAL INSTRUMENTS</w:t>
      </w:r>
    </w:p>
    <w:p>
      <w:pPr>
        <w:spacing w:after="0" w:line="11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At September 30, 2025, the Company’s derivative instruments, none of which were designated as hedging instruments under ASC Topic 815, consisted of commodity futures and option contracts which relate to inputs that generally will be utilized within the next year. The notional amounts of the commodity contracts were $136.6 and $53.5 at September 30, 2025 and 2024, respectively.</w:t>
      </w:r>
    </w:p>
    <w:p>
      <w:pPr>
        <w:spacing w:after="0" w:line="7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presents the balance sheet location and fair value of the Company’s commodity contracts. The Company does not offset derivative assets and liabilities within the Consolidated Balance Sheets.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48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60" w:type="dxa"/>
            <w:vAlign w:val="bottom"/>
            <w:tcBorders>
              <w:bottom w:val="single" w:sz="8" w:color="auto"/>
            </w:tcBorders>
          </w:tcPr>
          <w:p>
            <w:pPr>
              <w:spacing w:after="0"/>
              <w:rPr>
                <w:sz w:val="18"/>
                <w:szCs w:val="18"/>
                <w:color w:val="auto"/>
              </w:rPr>
            </w:pPr>
          </w:p>
        </w:tc>
      </w:tr>
      <w:tr>
        <w:trPr>
          <w:trHeight w:val="207"/>
        </w:trPr>
        <w:tc>
          <w:tcPr>
            <w:tcW w:w="848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6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6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1"/>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8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bl>
    <w:p>
      <w:pPr>
        <w:spacing w:after="0" w:line="17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 recognized a loss on derivatives of $18.1, $2.1 and $5.8 for the years ended September 30, 2025, 2024 and 2023, respectively, which were included in “Costs of goods sold” on the Company’s Consolidated Statements of Operations.</w:t>
      </w:r>
    </w:p>
    <w:p>
      <w:pPr>
        <w:spacing w:after="0" w:line="5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At September 30, 2025 and 2024, the Company had cash deposits which served as pledged collateral for certain of its commodity contracts of $17.3 and $0.3, respectively, which were classified as “Restricted cash” on the Consolidated Balance Sheets.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FAIR VALUE MEASUREMENTS</w:t>
      </w:r>
    </w:p>
    <w:p>
      <w:pPr>
        <w:spacing w:after="0" w:line="11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 utilizes the income approach to measure fair value for its commodity derivatives using Level 2 inputs. The income approach uses pricing models that rely on market observable inputs such as yield curves and forward prices. Refer to</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Note 11 for the classification of changes in fair value of derivative assets and liabilities measured at fair value on a recurring basis within the Consolidated Statements of Operations.</w:t>
      </w:r>
    </w:p>
    <w:p>
      <w:pPr>
        <w:spacing w:after="0" w:line="5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Company’s financial assets and liabilities also include cash, cash equivalents and restricted cash, receivables and accounts payable for which the carrying value approximates fair value due to their short maturities (less than 12 months). The Company does not record its long-term debt at fair value on the Consolidated Balance Sheets. The fair value of any outstanding borrowings under the Revolving Credit Facility (as defined in Note 13) approximated its carrying value. Based on market rates, the fair value (Level 2) of the Company’s debt, excluding any borrowings under the Revolving Credit Facility, was $869.0 and $880.6 as of September 30, 2025 and 2024, respectively.</w:t>
      </w:r>
    </w:p>
    <w:p>
      <w:pPr>
        <w:spacing w:after="0" w:line="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Certain assets and liabilities, including property, goodwill and other intangible assets, are measured at fair value on a non-recurring basis using Level 3 inputs. No impairment charges were recorded for property, goodwill or other intangible assets during the years ended September 30, 2025, 2024 or 2023.</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LONG-TERM DEBT</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the components of “Long-term debt” on the Consolidated Balance Sheets.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4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60" w:type="dxa"/>
            <w:vAlign w:val="bottom"/>
            <w:tcBorders>
              <w:bottom w:val="single" w:sz="8" w:color="auto"/>
            </w:tcBorders>
          </w:tcPr>
          <w:p>
            <w:pPr>
              <w:spacing w:after="0"/>
              <w:rPr>
                <w:sz w:val="18"/>
                <w:szCs w:val="18"/>
                <w:color w:val="auto"/>
              </w:rPr>
            </w:pPr>
          </w:p>
        </w:tc>
      </w:tr>
      <w:tr>
        <w:trPr>
          <w:trHeight w:val="207"/>
        </w:trPr>
        <w:tc>
          <w:tcPr>
            <w:tcW w:w="84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7.00% Senior Notes maturing in March 2030</w:t>
            </w: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840.0</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840.0</w:t>
            </w:r>
          </w:p>
        </w:tc>
      </w:tr>
      <w:tr>
        <w:trPr>
          <w:trHeight w:val="225"/>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8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principal amount of debt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1,090.0</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840.0</w:t>
            </w:r>
          </w:p>
        </w:tc>
      </w:tr>
      <w:tr>
        <w:trPr>
          <w:trHeight w:val="225"/>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Debt issuance costs, net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43"/>
        </w:trPr>
        <w:tc>
          <w:tcPr>
            <w:tcW w:w="8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1,084.3</w:t>
            </w:r>
          </w:p>
        </w:tc>
        <w:tc>
          <w:tcPr>
            <w:tcW w:w="1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833.1</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p>
      <w:pPr>
        <w:spacing w:after="0" w:line="115"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On March 10, 2022, the Company issued $840.0 aggregate principal amount of 7.00% senior notes maturing in March 2030 (the “7.00% Senior Notes”). The 7.00% Senior Notes were issued at par, and the Company incurred debt issuance costs of $10.2, which were deferred and are being amortized to interest expense over the term of the 7.00% Senior Notes. Interest payments are due semi-annually each March 15 and September 15. The 7.00% Senior Notes are senior unsecured obligations of the Company and are guaranteed by the Company’s existing and subsequently acquired or organized wholly-owned domestic subsidiaries that guarantee the Credit Agreement or certain other indebtedness of the Company (other than immaterial subsidiaries, certain excluded subsidiaries and subsidiaries the Company designates as unrestricted subsidiaries). The maturity date of the 7.00% Senior Notes is March 15, 2030.</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11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On March 10, 2022, the Company entered into a credit agreement (as amended, the “Credit Agreement”), which provided for a revolving credit facility in an aggregate principal amount of $250.0 (the “Revolving Credit Facility”), with commitments made available to the Company in U.S. Dollars, Euros and United Kingdom (“U.K.”) Pounds Sterling. Letters of credit are available under the Credit Agreement in an aggregate amount of up to $20.0. The Company incurred $1.5 of financing fees in connection with the Credit Agreement, which were deferred and are being amortized to interest expense over the term of the Revolving Credit Facility.</w:t>
      </w:r>
    </w:p>
    <w:p>
      <w:pPr>
        <w:spacing w:after="0" w:line="7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August 22, 2025, the Company entered into a First Amendment to the Credit Agreement (the “Amendment”) by and among the Company, as borrower, certain of the Company’s subsidiaries, as guarantors, JPMorgan Chase Bank, N.A. as administrative agent and each lender (as defined in the Credit Agreement).</w:t>
      </w:r>
    </w:p>
    <w:p>
      <w:pPr>
        <w:spacing w:after="0" w:line="72"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7"/>
          <w:szCs w:val="17"/>
          <w:color w:val="auto"/>
        </w:rPr>
        <w:t>The Amendment amended the Company’s Credit Agreement to, among other matters, (i) increase the aggregate principal amount available under the Revolving Credit Facility to $500.0, (ii) extend the maturity date of the Revolving Credit Facility to August 22, 2030, provided that if on December 14, 2029, the Company’s 7.00% Senior Notes have not been redeemed in full in cash or refinanced and replaced in full with notes and/or loans maturing at least 91 days after August 22, 2030, then the maturity date of the Revolving Credit Facility will be December 14, 2029, (iii) reduce the interest rate on borrowings under the Revolving Credit Facility (as discussed below) and (iv) broaden certain exceptions to covenants contained in the Credit Agreement that would otherwise restrict certain activities by the Company, such as repurchases by the Company of its common stock. The Company incurred $2.1 of financing fees in connection with the Amendment, which were deferred and are being amortized to interest expense over the term of the Revolving Credit Facility.</w:t>
      </w:r>
    </w:p>
    <w:p>
      <w:pPr>
        <w:spacing w:after="0" w:line="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Following the Amendment, borrowings under the Revolving Credit Facility bear interest at an annual rate equal to: (i) in the case of loans denominated in U.S. Dollars, at the Company’s option, the base rate (as defined in the Credit Agreement) plus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 margin which will range from 1.00% to 1.75% depending on the Company’s secured net leverage ratio (as defined in the Credit Agreement), or the term SOFR rate (as defined in the Credit Agreement) for the applicable interest period plus a margin which will range from 2.00% to 2.75% depending on the Company’s secured net leverage ratio; (ii) in the case of loans denominated in Euros, the adjusted Eurodollar rate (as defined in the Credit Agreement) for the applicable interest period plus a margin which will range from 2.00% to 2.75% depending on the Company’s secured net leverage ratio; and (iii) in the case of loans denominated in U.K. Pounds Sterling, the daily simple RFR (as defined in the Credit Agreement) plus a margin which will range from 2.00% to 2.75% depending on the Company’s secured net leverage ratio. Facility fees on the daily unused amount of commitments under the Revolving Credit Facility initially will accrue at rates ranging from 0.25% to 0.350% per annum, depending on the Company’s secured net leverage ratio.</w:t>
      </w:r>
    </w:p>
    <w:p>
      <w:pPr>
        <w:spacing w:after="0" w:line="8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Prior to the Amendment, borrowings under the Revolving Credit Facility bore interest at an annual rate equal to: (i) in the case of loans denominated in U.S. Dollars, at the Company’s option, the base rate (as defined in the Credit Agreement) plus a margin which ranged from 2.00% to 2.75% depending on the Company’s secured net leverage ratio (as defined in the Credit Agreement), or the adjusted term SOFR rate (as defined in the Credit Agreement) for the applicable interest period plus a margin which ranged from 3.00% to 3.75% depending on the Company’s secured net leverage ratio; (ii) in the case of loans denominated in Euros, the adjusted Eurodollar rate (as defined in the Credit Agreement) for the applicable interest period plus a margin which ranged from 3.00% to 3.75% depending on the Company’s secured net leverage ratio; and (iii) in the case of loans denominated in U.K. Pounds Sterling, the adjusted daily simple RFR (as defined in the Credit Agreement) plus a margin which ranged from 3.00% to 3.75% depending on the Company’s secured net leverage ratio. Facility fees on the daily unused amount of commitments under the Revolving Credit Facility accrued at rates ranging from 0.25% to 0.375% per annum, depending on the Company’s secured net leverage ratio.</w:t>
      </w:r>
    </w:p>
    <w:p>
      <w:pPr>
        <w:spacing w:after="0" w:line="81" w:lineRule="exact"/>
        <w:rPr>
          <w:sz w:val="20"/>
          <w:szCs w:val="20"/>
          <w:color w:val="auto"/>
        </w:rPr>
      </w:pPr>
    </w:p>
    <w:p>
      <w:pPr>
        <w:jc w:val="both"/>
        <w:ind w:firstLine="318"/>
        <w:spacing w:after="0" w:line="241" w:lineRule="auto"/>
        <w:rPr>
          <w:sz w:val="20"/>
          <w:szCs w:val="20"/>
          <w:color w:val="auto"/>
        </w:rPr>
      </w:pPr>
      <w:r>
        <w:rPr>
          <w:rFonts w:ascii="Times New Roman" w:cs="Times New Roman" w:eastAsia="Times New Roman" w:hAnsi="Times New Roman"/>
          <w:sz w:val="18"/>
          <w:szCs w:val="18"/>
          <w:color w:val="auto"/>
        </w:rPr>
        <w:t>During the years ended September 30, 2025, 2024 and 2023, the Company borrowed $700.0, zero and $115.0 under the Revolving Credit Facility, respectively, and repaid $450.0, $25.0 and $189.0 under the Revolving Credit Facility, respectively. As of September 30, 2025, the interest rate on the utilized portion of the Revolving Credit Facility was 6.14%, the available borrowing capacity under the Revolving Credit Facility was $247.6 and outstanding letters of credit totaled $2.4. As of September 30, 2024, there were no amounts outstanding on the Revolving Credit Facility, the available borrowing capacity under the Revolving Credit Facility was $250.0 and there were no outstanding letters of credit.</w:t>
      </w:r>
    </w:p>
    <w:p>
      <w:pPr>
        <w:spacing w:after="0" w:line="8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Under the terms of the Credit Agreement, the Company is required to maintain a total net leverage ratio (as defined in the Credit Agreement) not to exceed 6.00:1.00, measured as of the last day of each fiscal quarter. The total net leverage ratio of the Company did not exceed this threshold as of September 30, 2025.</w:t>
      </w:r>
    </w:p>
    <w:p>
      <w:pPr>
        <w:spacing w:after="0" w:line="7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Credit Agreement provides for potential incremental revolving and term facilities at the Company’s request and at the discretion of the lenders or other persons providing such incremental facilities, in each case on terms to be determined, and also permits the Company to incur other secured or unsecured debt, in all cases subject to conditions and limitations as specified in the Credit Agreement.</w:t>
      </w:r>
    </w:p>
    <w:p>
      <w:pPr>
        <w:spacing w:after="0" w:line="7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Furthermore, the Credit Agreement provides for customary events of default. Upon the occurrence and during the continuance of an event of default, the maturity of the loans under the Credit Agreement may accelerate and the administrative agent and lenders under the Credit Agreement may exercise other rights and remedies available at law or under the loan documents, including with respect to the collateral securing, and guarantees of, the Company’s obligations under the Credit Agreement.</w:t>
      </w:r>
    </w:p>
    <w:p>
      <w:pPr>
        <w:spacing w:after="0" w:line="7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Company’s obligations under the Credit Agreement are unconditionally guaranteed by its existing and subsequently acquired or organized direct and indirect subsidiaries (other than immaterial subsidiaries, certain excluded subsidiaries and subsidiaries the Company designates as unrestricted subsidiaries) and are secured by security interests in substantially all of the Company’s assets and the assets of its subsidiary guarantors, but excluding, in each case, real property.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Estimated Future Payments</w:t>
      </w:r>
    </w:p>
    <w:p>
      <w:pPr>
        <w:spacing w:after="0" w:line="11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As of September 30, 2025, the Company expects to make principal payments of $1,090.0 in fiscal 2030. There are no other expected principal payments on the Company’s debt for the next five fiscal years based on the debt maturity dates, and any additional future borrowings under the Revolving Credit Facility will be required to be repaid on or before the August 22, 2030 maturity date (or such earlier maturity date as discussed above) under the Credit Agreement. Estimated future interest payments on the Company’s debt through fiscal 2030 are expected to be $342.7 (with $74.8 expected in fiscal 2026) based on the interest rates at September 30, 2025.</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COMMITMENTS AND CONTINGENCIES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Joint Juice Litigation</w:t>
      </w:r>
    </w:p>
    <w:p>
      <w:pPr>
        <w:spacing w:after="0" w:line="113"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 xml:space="preserve">In March 2013, a complaint was filed on behalf of a putative, nationwide class of consumers against Premier Nutrition in the U.S. District Court for the Northern District of California seeking monetary damages and injunctive relief. The case asserted that some of Premier Nutrition’s advertising claims regarding its </w:t>
      </w:r>
      <w:r>
        <w:rPr>
          <w:rFonts w:ascii="Times New Roman" w:cs="Times New Roman" w:eastAsia="Times New Roman" w:hAnsi="Times New Roman"/>
          <w:sz w:val="17"/>
          <w:szCs w:val="17"/>
          <w:i w:val="1"/>
          <w:iCs w:val="1"/>
          <w:color w:val="auto"/>
        </w:rPr>
        <w:t>Joint Juice</w:t>
      </w:r>
      <w:r>
        <w:rPr>
          <w:rFonts w:ascii="Times New Roman" w:cs="Times New Roman" w:eastAsia="Times New Roman" w:hAnsi="Times New Roman"/>
          <w:sz w:val="17"/>
          <w:szCs w:val="17"/>
          <w:color w:val="auto"/>
        </w:rPr>
        <w:t xml:space="preserve"> line of glucosamine and chondroitin dietary supplement beverages, which it discontinued in the first quarter of fiscal 2023, were false and misleading. In April 2016, the district court certified a California-only class of consumers in this lawsuit (this lawsuit is hereinafter referred to as the “California Federal Class Lawsuit”). In April 2018, the district court dismissed the California Federal Class Lawsuit with prejudice. This dismissal was upheld on appeal by the U.S. Court of Appeals for the Ninth Circuit in 2020, and plaintiff’s petition for an </w:t>
      </w:r>
      <w:r>
        <w:rPr>
          <w:rFonts w:ascii="Times New Roman" w:cs="Times New Roman" w:eastAsia="Times New Roman" w:hAnsi="Times New Roman"/>
          <w:sz w:val="17"/>
          <w:szCs w:val="17"/>
          <w:i w:val="1"/>
          <w:iCs w:val="1"/>
          <w:color w:val="auto"/>
        </w:rPr>
        <w:t>en banc</w:t>
      </w:r>
      <w:r>
        <w:rPr>
          <w:rFonts w:ascii="Times New Roman" w:cs="Times New Roman" w:eastAsia="Times New Roman" w:hAnsi="Times New Roman"/>
          <w:sz w:val="17"/>
          <w:szCs w:val="17"/>
          <w:color w:val="auto"/>
        </w:rPr>
        <w:t xml:space="preserve"> rehearing by the Ninth Circuit was denied.</w:t>
      </w:r>
    </w:p>
    <w:p>
      <w:pPr>
        <w:spacing w:after="0" w:line="63"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In September 2020, the same lead counsel re-filed the California Federal Class Lawsuit against Premier Nutrition in the California Superior Court for the County of Alameda, alleging identical claims and seeking restitution and injunctive relief on behalf of the same putative class of California consumers as the California Federal Class Lawsuit. In March 2023, the Alameda Superior Court granted in part and denied in part Premier Nutrition’s motion for judgment based on res judicata, and in May 2023, the Court reaffirmed its ruling. In July 2023, Premier Nutrition filed a petition for writ of mandamus in the California Court of Appeal, which writ was denied in March 2024. In January 2025, the plaintiff filed a motion for the application of issue preclusion arising from certain rulings in the action on behalf of New York consumers (the “New York Case”). On May 14, 2025, the court entered an order holding that issue preclusion will apply on certain issues.</w:t>
      </w:r>
    </w:p>
    <w:p>
      <w:pPr>
        <w:spacing w:after="0" w:line="81"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 xml:space="preserve">In 2016 and 2017, the lead plaintiff’s counsel in the California Federal Class Lawsuit filed ten additional class action complaints in the U.S. District Court for the Northern District of California on behalf of putative classes of consumers under the laws of Connecticut, Florida, Illinois, New Jersey, New Mexico, New York, Maryland, Massachusetts, Michigan and Pennsylvania (the “Related Federal Actions”). These complaints contain factual allegations similar to the California Federal Class Lawsuit, also seeking monetary damages and injunctive relief. The action on behalf of New Jersey consumers was voluntarily dismissed. Trial in the New York Case was held beginning in May 2022, and the jury delivered its verdict in favor of plaintiff in June 2022. In August 2022, the Court entered a judgment in that case in favor of plaintiff in the amount of $12.9, which includes statutory damages and prejudgment interest, and in August 2023, the Court entered a judgment awarding plaintiff $7.9 in attorneys’ fees and costs. In October 2022, each plaintiff and Premier Nutrition filed Notices of Appeal to the Ninth Circuit on the damages award and in December 2023 Premier Nutrition filed its Notice of Appeal to the Ninth Circuit on the attorneys’ fees award. In August 2024, the Court of Appeals issued an opinion on the damages award affirming the trial court’s decision on liability, vacating and remanding to the trial court for further consideration of its decision on calculated damages and reversing the trial court’s award of prejudgment interest to plaintiff. Premier Nutrition’s subsequent petition for </w:t>
      </w:r>
      <w:r>
        <w:rPr>
          <w:rFonts w:ascii="Times New Roman" w:cs="Times New Roman" w:eastAsia="Times New Roman" w:hAnsi="Times New Roman"/>
          <w:sz w:val="18"/>
          <w:szCs w:val="18"/>
          <w:i w:val="1"/>
          <w:iCs w:val="1"/>
          <w:color w:val="auto"/>
        </w:rPr>
        <w:t>en banc</w:t>
      </w:r>
      <w:r>
        <w:rPr>
          <w:rFonts w:ascii="Times New Roman" w:cs="Times New Roman" w:eastAsia="Times New Roman" w:hAnsi="Times New Roman"/>
          <w:sz w:val="18"/>
          <w:szCs w:val="18"/>
          <w:color w:val="auto"/>
        </w:rPr>
        <w:t xml:space="preserve"> rehearing with the Ninth Circuit Court of Appeals was denied in October 2024. On January 25, 2025, the Ninth Circuit affirmed the trial court’s attorneys’ fees award. On February 3, 2025, the trial court entered an order awarding $0.9 in attorneys’ fees and costs. On March 10, 2025, the trial court entered an order again limiting statutory damages to $8.3 under the due process clause. Each plaintiff and Premier Nutrition filed Notices of Appeal to the Ninth Circuit on the damages award. On March 13, 2025, Premier Nutrition filed a certiorari petition with the United States Supreme Court seeking review of the Ninth Circuit’s merits decision.</w:t>
      </w:r>
    </w:p>
    <w:p>
      <w:pPr>
        <w:spacing w:after="0" w:line="9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231F20"/>
        </w:rPr>
        <w:t>In February 2025, the court set a trial date for February 2026 in the Related Federal Action on behalf of the class of consumers in Illinois (the “Illinois Case”). Plaintiff filed a motion to apply issue preclusion from certain rulings in the New York Case to the Illinois Ca</w:t>
      </w:r>
      <w:r>
        <w:rPr>
          <w:rFonts w:ascii="Times New Roman" w:cs="Times New Roman" w:eastAsia="Times New Roman" w:hAnsi="Times New Roman"/>
          <w:sz w:val="18"/>
          <w:szCs w:val="18"/>
          <w:color w:val="000000"/>
        </w:rPr>
        <w:t>se. On May 2, 2025, the trial court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entered an order holding that issue preclusion will apply in the Illinois Case on the issues of deceptiveness, materiality, the measure of damages, and the First Amendment, but not on the issues of causation, intent, or punitive damages. The seven other Related Federal Actions remain pending, and the court has certified individual state classes in each of those cases (except New Mexico).</w:t>
      </w:r>
    </w:p>
    <w:p>
      <w:pPr>
        <w:spacing w:after="0" w:line="7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 xml:space="preserve">In January 2019, the same lead counsel filed an additional class action complaint against Premier Nutrition in California Superior Court for the County of Alameda, alleging claims similar to the above actions and seeking monetary damages and injunctive relief on behalf of a putative class of California consumers, beginning after the California Federal Class Lawsuit class period (the “California State Case”). In July 2020, the court issued an order certifying a statewide class. Premier Nutrition moved for summary judgment in July 2023, which motion was tentatively granted in part and denied in part on August 23, 2023. In January 2025, the plaintiff filed a motion for the application of issue preclusion arising from certain rulings in the New York Case decision. </w:t>
      </w:r>
      <w:r>
        <w:rPr>
          <w:rFonts w:ascii="Times New Roman" w:cs="Times New Roman" w:eastAsia="Times New Roman" w:hAnsi="Times New Roman"/>
          <w:sz w:val="18"/>
          <w:szCs w:val="18"/>
          <w:color w:val="231F20"/>
        </w:rPr>
        <w:t>On May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14, 2025, the court entered an order holding that issue preclusion will apply on certain issues.</w:t>
      </w:r>
    </w:p>
    <w:p>
      <w:pPr>
        <w:spacing w:after="0" w:line="143"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color w:val="auto"/>
        </w:rPr>
        <w:t xml:space="preserve">On June 25, 2025, the parties reached a class-wide settlement in principle related to the </w:t>
      </w:r>
      <w:r>
        <w:rPr>
          <w:rFonts w:ascii="Times New Roman" w:cs="Times New Roman" w:eastAsia="Times New Roman" w:hAnsi="Times New Roman"/>
          <w:sz w:val="18"/>
          <w:szCs w:val="18"/>
          <w:i w:val="1"/>
          <w:iCs w:val="1"/>
          <w:color w:val="auto"/>
        </w:rPr>
        <w:t>Joint Juice Litigation,</w:t>
      </w:r>
      <w:r>
        <w:rPr>
          <w:rFonts w:ascii="Times New Roman" w:cs="Times New Roman" w:eastAsia="Times New Roman" w:hAnsi="Times New Roman"/>
          <w:sz w:val="18"/>
          <w:szCs w:val="18"/>
          <w:color w:val="auto"/>
        </w:rPr>
        <w:t xml:space="preserve"> which includes the California Federal Class Lawsuit, all of the Related Federal Actions (except New Mexico) and the California State Case through a court-ordered settlement conference, which settlement in principle is subject to judicial approval. On June 26,</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2025, the parties filed a joint motion with the United States Supreme Court to hold the certiorari petition in the New York Case in abeyance pending approval of the class settlement. On July 2, 2025, the parties filed a joint motion with the Ninth Circuit to hold the appeal in the New York Case in abeyance pending approval of the class settlement.</w:t>
      </w:r>
    </w:p>
    <w:p>
      <w:pPr>
        <w:spacing w:after="0" w:line="7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On October 17, 2025, the parties executed a Stipulation of Settlement in the New York Case (the “New York Settlement”). On October 20, 2025, Plaintiff filed an unopposed motion for preliminary approval of the New York Settlement, which motion remains pending. Pursuant to the terms of the New York Settlement, if the settlement receives final approval and becomes effective, the Company will pay a total of $19.2 into a settlement fund to resolve the New York Case. The New York Settlement does not constitute an admission of liability or wrongdoing by the Company or any of its current or former directors or officers.</w:t>
      </w:r>
    </w:p>
    <w:p>
      <w:pPr>
        <w:spacing w:after="0" w:line="79"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On October 22, 2025, the parties executed a Stipulation of Settlement in the California State Case (the “Multistate Settlement”). The Multistate Settlement also encompasses the California Federal Class Lawsuit (which has been consolidated with the California State Case) and the Related Federal Actions (which will be added to the California State Case via a stipulated amended complaint pursuant to the terms of the Multistate Settlement) excluding New York and New Mexico. On October 23, 2025, Plaintiffs filed an unopposed motion for preliminary approval of the Multistate Settlement, which motion remains pending. Pursuant to the terms of the Multistate Settlement, if the settlement receives final approval and becomes effective, the Company will pay a total of $70.8 into a settlement fund to resolve the California State Case, California Federal Class Lawsuit, and Related Federal Actions excluding New York and New Mexico. The Multistate Settlement does not constitute an admission of liability or wrongdoing by the Company or any of its current or former directors or officers.</w:t>
      </w:r>
    </w:p>
    <w:p>
      <w:pPr>
        <w:spacing w:after="0" w:line="8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November 12, 2025, the parties entered into a confidential settlement agreement and release in the New Mexico Federal Related Action, which is not subject to court approval. Pursuant to the terms of the settlement agreement, the Company will make an immaterial payment to resolve the New Mexico action.</w:t>
      </w:r>
    </w:p>
    <w:p>
      <w:pPr>
        <w:spacing w:after="0" w:line="7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 xml:space="preserve">During the years ended September 30, 2025, 2024 and 2023, the Company expensed $69.0, zero and $5.0, respectively, related to the legal matter and plaintiff legal fees in connection with the </w:t>
      </w:r>
      <w:r>
        <w:rPr>
          <w:rFonts w:ascii="Times New Roman" w:cs="Times New Roman" w:eastAsia="Times New Roman" w:hAnsi="Times New Roman"/>
          <w:sz w:val="18"/>
          <w:szCs w:val="18"/>
          <w:i w:val="1"/>
          <w:iCs w:val="1"/>
          <w:color w:val="auto"/>
        </w:rPr>
        <w:t>Joint Juice</w:t>
      </w:r>
      <w:r>
        <w:rPr>
          <w:rFonts w:ascii="Times New Roman" w:cs="Times New Roman" w:eastAsia="Times New Roman" w:hAnsi="Times New Roman"/>
          <w:sz w:val="18"/>
          <w:szCs w:val="18"/>
          <w:color w:val="auto"/>
        </w:rPr>
        <w:t xml:space="preserve"> litigation, which was included in “Selling, general and administrative expenses” on the Consolidated Statements of Operations. At September 30, 2025 and 2024, the Company had an estimated liability of $90.0 and $21.0, respectively, related to these matters that was included in “Other current liabilities” on the Consolidated Balance Sheets.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13"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Company is subject to various other legal proceedings and actions arising in the normal course of business. In the opinion of management, based upon the information presently known, the ultimate liability, if any, arising from such pending legal proceedings, as well as from asserted legal claims and known potential legal claims which are likely to be asserted, taking into account established accruals for estimated liabilities (if any), are not expected to be material individually or in the aggregate to the consolidated financial condition, results of operations or cash flows of the Company. In addition, although it is difficult to estimate the potential financial impact of actions regarding expenditures for compliance with regulatory matters, in the opinion of management, based upon the information currently available, the ultimate liability arising from such compliance matters is not expected to be material to the consolidated financial condition, results of operations or cash flows of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STOCK-BASED COMPENSATION</w:t>
      </w:r>
    </w:p>
    <w:p>
      <w:pPr>
        <w:spacing w:after="0" w:line="113"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The Company’s employees participate in the Company’s long-term incentive plan (the “BellRing Long-Term Incentive Plan”). Awards issued under the BellRing Long-Term Incentive Plan have a maximum term of 10 years, provided, however, that the Corporate Governance and Compensation Committee of the Company’s Board of Directors may, in its discretion, grant awards with a longer term to participants who are located outside of the U.S. On September 12, 2024, the Company registered an additional 6.0 million shares reserved for issuance under the BellRing Long-Term Incentive Plan. At September 30, 2025 there were 6.2 million shares available to be issued for stock-based compensation awards under the BellRing Long-Term Incentive Plan.</w:t>
      </w:r>
    </w:p>
    <w:p>
      <w:pPr>
        <w:spacing w:after="0" w:line="6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During the years ended September 30, 2025, 2024 and 2023, total compensation cost for the Company’s non-cash stock-based compensation awards recognized was $22.1, $21.0 and $14.2, respectively, and the related recognized deferred tax benefit was $1.6, $2.0 and $1.6, respectively. As of September 30, 2025, the total compensation cost related to the Company’s nonvested awards not yet recognized was $24.7, which is expected to be recognized over a weighted-average period of 0.9 years.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about stock options is summarized in the following table.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48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center"/>
              <w:ind w:left="399"/>
              <w:spacing w:after="0" w:line="159"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gridSpan w:val="2"/>
          </w:tcPr>
          <w:p>
            <w:pPr>
              <w:jc w:val="center"/>
              <w:ind w:right="140"/>
              <w:spacing w:after="0" w:line="159"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260" w:type="dxa"/>
            <w:vAlign w:val="bottom"/>
          </w:tcPr>
          <w:p>
            <w:pPr>
              <w:spacing w:after="0"/>
              <w:rPr>
                <w:sz w:val="13"/>
                <w:szCs w:val="13"/>
                <w:color w:val="auto"/>
              </w:rPr>
            </w:pPr>
          </w:p>
        </w:tc>
        <w:tc>
          <w:tcPr>
            <w:tcW w:w="1240" w:type="dxa"/>
            <w:vAlign w:val="bottom"/>
            <w:vMerge w:val="restart"/>
          </w:tcPr>
          <w:p>
            <w:pPr>
              <w:jc w:val="center"/>
              <w:ind w:right="176"/>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159"/>
        </w:trPr>
        <w:tc>
          <w:tcPr>
            <w:tcW w:w="48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3"/>
          </w:tcPr>
          <w:p>
            <w:pPr>
              <w:jc w:val="center"/>
              <w:ind w:right="140"/>
              <w:spacing w:after="0" w:line="159"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1620" w:type="dxa"/>
            <w:vAlign w:val="bottom"/>
            <w:gridSpan w:val="2"/>
          </w:tcPr>
          <w:p>
            <w:pPr>
              <w:jc w:val="center"/>
              <w:ind w:right="120"/>
              <w:spacing w:after="0" w:line="159" w:lineRule="exact"/>
              <w:rPr>
                <w:sz w:val="20"/>
                <w:szCs w:val="20"/>
                <w:color w:val="auto"/>
              </w:rPr>
            </w:pPr>
            <w:r>
              <w:rPr>
                <w:rFonts w:ascii="Times New Roman" w:cs="Times New Roman" w:eastAsia="Times New Roman" w:hAnsi="Times New Roman"/>
                <w:sz w:val="16"/>
                <w:szCs w:val="16"/>
                <w:b w:val="1"/>
                <w:bCs w:val="1"/>
                <w:color w:val="auto"/>
                <w:w w:val="99"/>
              </w:rPr>
              <w:t>Remaining</w:t>
            </w:r>
          </w:p>
        </w:tc>
        <w:tc>
          <w:tcPr>
            <w:tcW w:w="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8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 in millions, except per share</w:t>
            </w:r>
          </w:p>
        </w:tc>
        <w:tc>
          <w:tcPr>
            <w:tcW w:w="1500" w:type="dxa"/>
            <w:vAlign w:val="bottom"/>
            <w:vMerge w:val="restart"/>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Stock Options</w:t>
            </w:r>
          </w:p>
        </w:tc>
        <w:tc>
          <w:tcPr>
            <w:tcW w:w="120" w:type="dxa"/>
            <w:vAlign w:val="bottom"/>
          </w:tcPr>
          <w:p>
            <w:pPr>
              <w:spacing w:after="0"/>
              <w:rPr>
                <w:sz w:val="13"/>
                <w:szCs w:val="13"/>
                <w:color w:val="auto"/>
              </w:rPr>
            </w:pPr>
          </w:p>
        </w:tc>
        <w:tc>
          <w:tcPr>
            <w:tcW w:w="1640" w:type="dxa"/>
            <w:vAlign w:val="bottom"/>
            <w:gridSpan w:val="3"/>
          </w:tcPr>
          <w:p>
            <w:pPr>
              <w:jc w:val="center"/>
              <w:ind w:right="140"/>
              <w:spacing w:after="0" w:line="159" w:lineRule="exact"/>
              <w:rPr>
                <w:sz w:val="20"/>
                <w:szCs w:val="20"/>
                <w:color w:val="auto"/>
              </w:rPr>
            </w:pPr>
            <w:r>
              <w:rPr>
                <w:rFonts w:ascii="Times New Roman" w:cs="Times New Roman" w:eastAsia="Times New Roman" w:hAnsi="Times New Roman"/>
                <w:sz w:val="16"/>
                <w:szCs w:val="16"/>
                <w:b w:val="1"/>
                <w:bCs w:val="1"/>
                <w:color w:val="auto"/>
                <w:w w:val="97"/>
              </w:rPr>
              <w:t>Price Per</w:t>
            </w:r>
          </w:p>
        </w:tc>
        <w:tc>
          <w:tcPr>
            <w:tcW w:w="1620" w:type="dxa"/>
            <w:vAlign w:val="bottom"/>
            <w:gridSpan w:val="2"/>
          </w:tcPr>
          <w:p>
            <w:pPr>
              <w:jc w:val="center"/>
              <w:ind w:right="120"/>
              <w:spacing w:after="0" w:line="159" w:lineRule="exact"/>
              <w:rPr>
                <w:sz w:val="20"/>
                <w:szCs w:val="20"/>
                <w:color w:val="auto"/>
              </w:rPr>
            </w:pPr>
            <w:r>
              <w:rPr>
                <w:rFonts w:ascii="Times New Roman" w:cs="Times New Roman" w:eastAsia="Times New Roman" w:hAnsi="Times New Roman"/>
                <w:sz w:val="16"/>
                <w:szCs w:val="16"/>
                <w:b w:val="1"/>
                <w:bCs w:val="1"/>
                <w:color w:val="auto"/>
                <w:w w:val="99"/>
              </w:rPr>
              <w:t>Contractual</w:t>
            </w:r>
          </w:p>
        </w:tc>
        <w:tc>
          <w:tcPr>
            <w:tcW w:w="260" w:type="dxa"/>
            <w:vAlign w:val="bottom"/>
          </w:tcPr>
          <w:p>
            <w:pPr>
              <w:spacing w:after="0"/>
              <w:rPr>
                <w:sz w:val="13"/>
                <w:szCs w:val="13"/>
                <w:color w:val="auto"/>
              </w:rPr>
            </w:pPr>
          </w:p>
        </w:tc>
        <w:tc>
          <w:tcPr>
            <w:tcW w:w="1240" w:type="dxa"/>
            <w:vAlign w:val="bottom"/>
          </w:tcPr>
          <w:p>
            <w:pPr>
              <w:jc w:val="center"/>
              <w:ind w:right="176"/>
              <w:spacing w:after="0" w:line="159" w:lineRule="exact"/>
              <w:rPr>
                <w:sz w:val="20"/>
                <w:szCs w:val="20"/>
                <w:color w:val="auto"/>
              </w:rPr>
            </w:pPr>
            <w:r>
              <w:rPr>
                <w:rFonts w:ascii="Times New Roman" w:cs="Times New Roman" w:eastAsia="Times New Roman" w:hAnsi="Times New Roman"/>
                <w:sz w:val="16"/>
                <w:szCs w:val="16"/>
                <w:b w:val="1"/>
                <w:bCs w:val="1"/>
                <w:color w:val="auto"/>
                <w:w w:val="98"/>
              </w:rPr>
              <w:t>Intrinsic</w:t>
            </w:r>
          </w:p>
        </w:tc>
        <w:tc>
          <w:tcPr>
            <w:tcW w:w="0" w:type="dxa"/>
            <w:vAlign w:val="bottom"/>
          </w:tcPr>
          <w:p>
            <w:pPr>
              <w:spacing w:after="0"/>
              <w:rPr>
                <w:sz w:val="1"/>
                <w:szCs w:val="1"/>
                <w:color w:val="auto"/>
              </w:rPr>
            </w:pPr>
          </w:p>
        </w:tc>
      </w:tr>
      <w:tr>
        <w:trPr>
          <w:trHeight w:val="211"/>
        </w:trPr>
        <w:tc>
          <w:tcPr>
            <w:tcW w:w="4820" w:type="dxa"/>
            <w:vAlign w:val="bottom"/>
            <w:vMerge w:val="continue"/>
          </w:tcPr>
          <w:p>
            <w:pPr>
              <w:spacing w:after="0"/>
              <w:rPr>
                <w:sz w:val="18"/>
                <w:szCs w:val="18"/>
                <w:color w:val="auto"/>
              </w:rPr>
            </w:pPr>
          </w:p>
        </w:tc>
        <w:tc>
          <w:tcPr>
            <w:tcW w:w="15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left="399"/>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Term in Years</w:t>
            </w:r>
          </w:p>
        </w:tc>
        <w:tc>
          <w:tcPr>
            <w:tcW w:w="260" w:type="dxa"/>
            <w:vAlign w:val="bottom"/>
          </w:tcPr>
          <w:p>
            <w:pPr>
              <w:spacing w:after="0"/>
              <w:rPr>
                <w:sz w:val="18"/>
                <w:szCs w:val="18"/>
                <w:color w:val="auto"/>
              </w:rPr>
            </w:pPr>
          </w:p>
        </w:tc>
        <w:tc>
          <w:tcPr>
            <w:tcW w:w="1240" w:type="dxa"/>
            <w:vAlign w:val="bottom"/>
          </w:tcPr>
          <w:p>
            <w:pPr>
              <w:jc w:val="center"/>
              <w:ind w:right="176"/>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20"/>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September 30, 2024</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258,987</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17.74</w:t>
            </w:r>
          </w:p>
        </w:tc>
        <w:tc>
          <w:tcPr>
            <w:tcW w:w="14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17.30</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Expired</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September 30, 2025</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247,987</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17.76</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20" w:type="dxa"/>
            <w:vAlign w:val="bottom"/>
          </w:tcPr>
          <w:p>
            <w:pPr>
              <w:spacing w:after="0"/>
              <w:rPr>
                <w:sz w:val="19"/>
                <w:szCs w:val="19"/>
                <w:color w:val="auto"/>
              </w:rPr>
            </w:pP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as of September 30, 2025</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247,987</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17.76</w:t>
            </w:r>
          </w:p>
        </w:tc>
        <w:tc>
          <w:tcPr>
            <w:tcW w:w="1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8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Exercisable at September 30, 2025</w:t>
            </w:r>
          </w:p>
        </w:tc>
        <w:tc>
          <w:tcPr>
            <w:tcW w:w="150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247,987</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w w:val="93"/>
              </w:rPr>
              <w:t>17.76</w:t>
            </w:r>
          </w:p>
        </w:tc>
        <w:tc>
          <w:tcPr>
            <w:tcW w:w="140" w:type="dxa"/>
            <w:vAlign w:val="bottom"/>
          </w:tcPr>
          <w:p>
            <w:pPr>
              <w:spacing w:after="0"/>
              <w:rPr>
                <w:sz w:val="17"/>
                <w:szCs w:val="17"/>
                <w:color w:val="auto"/>
              </w:rPr>
            </w:pPr>
          </w:p>
        </w:tc>
        <w:tc>
          <w:tcPr>
            <w:tcW w:w="15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4.83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There were no stock options granted during the years ended September 30, 2025, 2024 or 2023. The total intrinsic value of stock options exercised was $0.2 in the year ended September 30, 2025, and the Company received proceeds from the exercise of stock options of $0.2 during the year ended September 30, 2025. There were no stock options exercised during the years ended September 30, 2024 or 2023.</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 (“RSUs”)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about RSUs is summarized in the following table.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0" w:type="dxa"/>
            <w:vAlign w:val="bottom"/>
          </w:tcPr>
          <w:p>
            <w:pPr>
              <w:spacing w:after="0"/>
              <w:rPr>
                <w:sz w:val="1"/>
                <w:szCs w:val="1"/>
                <w:color w:val="auto"/>
              </w:rPr>
            </w:pPr>
          </w:p>
        </w:tc>
      </w:tr>
      <w:tr>
        <w:trPr>
          <w:trHeight w:val="159"/>
        </w:trPr>
        <w:tc>
          <w:tcPr>
            <w:tcW w:w="8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jc w:val="center"/>
              <w:ind w:right="56"/>
              <w:spacing w:after="0" w:line="159"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0" w:type="dxa"/>
            <w:vAlign w:val="bottom"/>
          </w:tcPr>
          <w:p>
            <w:pPr>
              <w:spacing w:after="0"/>
              <w:rPr>
                <w:sz w:val="1"/>
                <w:szCs w:val="1"/>
                <w:color w:val="auto"/>
              </w:rPr>
            </w:pPr>
          </w:p>
        </w:tc>
      </w:tr>
      <w:tr>
        <w:trPr>
          <w:trHeight w:val="159"/>
        </w:trPr>
        <w:tc>
          <w:tcPr>
            <w:tcW w:w="8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jc w:val="center"/>
              <w:ind w:right="76"/>
              <w:spacing w:after="0" w:line="159" w:lineRule="exact"/>
              <w:rPr>
                <w:sz w:val="20"/>
                <w:szCs w:val="20"/>
                <w:color w:val="auto"/>
              </w:rPr>
            </w:pPr>
            <w:r>
              <w:rPr>
                <w:rFonts w:ascii="Times New Roman" w:cs="Times New Roman" w:eastAsia="Times New Roman" w:hAnsi="Times New Roman"/>
                <w:sz w:val="16"/>
                <w:szCs w:val="16"/>
                <w:b w:val="1"/>
                <w:bCs w:val="1"/>
                <w:color w:val="auto"/>
                <w:w w:val="98"/>
              </w:rPr>
              <w:t>Grant Date Fair</w:t>
            </w:r>
          </w:p>
        </w:tc>
        <w:tc>
          <w:tcPr>
            <w:tcW w:w="0" w:type="dxa"/>
            <w:vAlign w:val="bottom"/>
          </w:tcPr>
          <w:p>
            <w:pPr>
              <w:spacing w:after="0"/>
              <w:rPr>
                <w:sz w:val="1"/>
                <w:szCs w:val="1"/>
                <w:color w:val="auto"/>
              </w:rPr>
            </w:pPr>
          </w:p>
        </w:tc>
      </w:tr>
      <w:tr>
        <w:trPr>
          <w:trHeight w:val="159"/>
        </w:trPr>
        <w:tc>
          <w:tcPr>
            <w:tcW w:w="8120" w:type="dxa"/>
            <w:vAlign w:val="bottom"/>
          </w:tcPr>
          <w:p>
            <w:pPr>
              <w:spacing w:after="0"/>
              <w:rPr>
                <w:sz w:val="13"/>
                <w:szCs w:val="13"/>
                <w:color w:val="auto"/>
              </w:rPr>
            </w:pPr>
          </w:p>
        </w:tc>
        <w:tc>
          <w:tcPr>
            <w:tcW w:w="1500" w:type="dxa"/>
            <w:vAlign w:val="bottom"/>
            <w:vMerge w:val="restart"/>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RSUs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jc w:val="center"/>
              <w:ind w:right="76"/>
              <w:spacing w:after="0" w:line="159" w:lineRule="exact"/>
              <w:rPr>
                <w:sz w:val="20"/>
                <w:szCs w:val="20"/>
                <w:color w:val="auto"/>
              </w:rPr>
            </w:pPr>
            <w:r>
              <w:rPr>
                <w:rFonts w:ascii="Times New Roman" w:cs="Times New Roman" w:eastAsia="Times New Roman" w:hAnsi="Times New Roman"/>
                <w:sz w:val="16"/>
                <w:szCs w:val="16"/>
                <w:b w:val="1"/>
                <w:bCs w:val="1"/>
                <w:color w:val="auto"/>
                <w:w w:val="97"/>
              </w:rPr>
              <w:t>Value Per</w:t>
            </w:r>
          </w:p>
        </w:tc>
        <w:tc>
          <w:tcPr>
            <w:tcW w:w="0" w:type="dxa"/>
            <w:vAlign w:val="bottom"/>
          </w:tcPr>
          <w:p>
            <w:pPr>
              <w:spacing w:after="0"/>
              <w:rPr>
                <w:sz w:val="1"/>
                <w:szCs w:val="1"/>
                <w:color w:val="auto"/>
              </w:rPr>
            </w:pPr>
          </w:p>
        </w:tc>
      </w:tr>
      <w:tr>
        <w:trPr>
          <w:trHeight w:val="211"/>
        </w:trPr>
        <w:tc>
          <w:tcPr>
            <w:tcW w:w="812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0" w:type="dxa"/>
            <w:vAlign w:val="bottom"/>
          </w:tcPr>
          <w:p>
            <w:pPr>
              <w:spacing w:after="0"/>
              <w:rPr>
                <w:sz w:val="1"/>
                <w:szCs w:val="1"/>
                <w:color w:val="auto"/>
              </w:rPr>
            </w:pPr>
          </w:p>
        </w:tc>
      </w:tr>
      <w:tr>
        <w:trPr>
          <w:trHeight w:val="22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at September 30, 2024</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433,260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36.63</w:t>
            </w:r>
          </w:p>
        </w:tc>
        <w:tc>
          <w:tcPr>
            <w:tcW w:w="0" w:type="dxa"/>
            <w:vAlign w:val="bottom"/>
          </w:tcPr>
          <w:p>
            <w:pPr>
              <w:spacing w:after="0"/>
              <w:rPr>
                <w:sz w:val="1"/>
                <w:szCs w:val="1"/>
                <w:color w:val="auto"/>
              </w:rPr>
            </w:pPr>
          </w:p>
        </w:tc>
      </w:tr>
      <w:tr>
        <w:trPr>
          <w:trHeight w:val="225"/>
        </w:trPr>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69.67</w:t>
            </w:r>
          </w:p>
        </w:tc>
        <w:tc>
          <w:tcPr>
            <w:tcW w:w="0" w:type="dxa"/>
            <w:vAlign w:val="bottom"/>
          </w:tcPr>
          <w:p>
            <w:pPr>
              <w:spacing w:after="0"/>
              <w:rPr>
                <w:sz w:val="1"/>
                <w:szCs w:val="1"/>
                <w:color w:val="auto"/>
              </w:rPr>
            </w:pPr>
          </w:p>
        </w:tc>
      </w:tr>
      <w:tr>
        <w:trPr>
          <w:trHeight w:val="225"/>
        </w:trPr>
        <w:tc>
          <w:tcPr>
            <w:tcW w:w="8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w:t>
            </w:r>
          </w:p>
        </w:tc>
        <w:tc>
          <w:tcPr>
            <w:tcW w:w="0" w:type="dxa"/>
            <w:vAlign w:val="bottom"/>
          </w:tcPr>
          <w:p>
            <w:pPr>
              <w:spacing w:after="0"/>
              <w:rPr>
                <w:sz w:val="1"/>
                <w:szCs w:val="1"/>
                <w:color w:val="auto"/>
              </w:rPr>
            </w:pPr>
          </w:p>
        </w:tc>
      </w:tr>
      <w:tr>
        <w:trPr>
          <w:trHeight w:val="225"/>
        </w:trPr>
        <w:tc>
          <w:tcPr>
            <w:tcW w:w="81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(17,972)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39.77</w:t>
            </w:r>
          </w:p>
        </w:tc>
        <w:tc>
          <w:tcPr>
            <w:tcW w:w="0" w:type="dxa"/>
            <w:vAlign w:val="bottom"/>
          </w:tcPr>
          <w:p>
            <w:pPr>
              <w:spacing w:after="0"/>
              <w:rPr>
                <w:sz w:val="1"/>
                <w:szCs w:val="1"/>
                <w:color w:val="auto"/>
              </w:rPr>
            </w:pPr>
          </w:p>
        </w:tc>
      </w:tr>
      <w:tr>
        <w:trPr>
          <w:trHeight w:val="243"/>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at September 30, 2025</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349,695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42.48</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grant date fair value of each RSU was determined based upon the closing price of the Company’s common stock on the date of grant. The weighted-average grant date fair value of nonvested RSUs was $42.48, $36.63 and $24.06 at September 30, 2025, 2024 and 2023, respectively. The total vest date fair value of RSUs that vested during fiscal 2025, 2024 and 2023 was $14.4, $11.8 and $7.8,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Restricted Stock Units (“PRSUs”)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about PRSUs is summarized in the following table.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0" w:type="dxa"/>
            <w:vAlign w:val="bottom"/>
          </w:tcPr>
          <w:p>
            <w:pPr>
              <w:spacing w:after="0"/>
              <w:rPr>
                <w:sz w:val="1"/>
                <w:szCs w:val="1"/>
                <w:color w:val="auto"/>
              </w:rPr>
            </w:pPr>
          </w:p>
        </w:tc>
      </w:tr>
      <w:tr>
        <w:trPr>
          <w:trHeight w:val="159"/>
        </w:trPr>
        <w:tc>
          <w:tcPr>
            <w:tcW w:w="8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jc w:val="center"/>
              <w:ind w:right="56"/>
              <w:spacing w:after="0" w:line="159"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0" w:type="dxa"/>
            <w:vAlign w:val="bottom"/>
          </w:tcPr>
          <w:p>
            <w:pPr>
              <w:spacing w:after="0"/>
              <w:rPr>
                <w:sz w:val="1"/>
                <w:szCs w:val="1"/>
                <w:color w:val="auto"/>
              </w:rPr>
            </w:pPr>
          </w:p>
        </w:tc>
      </w:tr>
      <w:tr>
        <w:trPr>
          <w:trHeight w:val="159"/>
        </w:trPr>
        <w:tc>
          <w:tcPr>
            <w:tcW w:w="8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jc w:val="center"/>
              <w:ind w:right="76"/>
              <w:spacing w:after="0" w:line="159" w:lineRule="exact"/>
              <w:rPr>
                <w:sz w:val="20"/>
                <w:szCs w:val="20"/>
                <w:color w:val="auto"/>
              </w:rPr>
            </w:pPr>
            <w:r>
              <w:rPr>
                <w:rFonts w:ascii="Times New Roman" w:cs="Times New Roman" w:eastAsia="Times New Roman" w:hAnsi="Times New Roman"/>
                <w:sz w:val="16"/>
                <w:szCs w:val="16"/>
                <w:b w:val="1"/>
                <w:bCs w:val="1"/>
                <w:color w:val="auto"/>
                <w:w w:val="98"/>
              </w:rPr>
              <w:t>Grant Date Fair</w:t>
            </w:r>
          </w:p>
        </w:tc>
        <w:tc>
          <w:tcPr>
            <w:tcW w:w="0" w:type="dxa"/>
            <w:vAlign w:val="bottom"/>
          </w:tcPr>
          <w:p>
            <w:pPr>
              <w:spacing w:after="0"/>
              <w:rPr>
                <w:sz w:val="1"/>
                <w:szCs w:val="1"/>
                <w:color w:val="auto"/>
              </w:rPr>
            </w:pPr>
          </w:p>
        </w:tc>
      </w:tr>
      <w:tr>
        <w:trPr>
          <w:trHeight w:val="159"/>
        </w:trPr>
        <w:tc>
          <w:tcPr>
            <w:tcW w:w="8120" w:type="dxa"/>
            <w:vAlign w:val="bottom"/>
          </w:tcPr>
          <w:p>
            <w:pPr>
              <w:spacing w:after="0"/>
              <w:rPr>
                <w:sz w:val="13"/>
                <w:szCs w:val="13"/>
                <w:color w:val="auto"/>
              </w:rPr>
            </w:pPr>
          </w:p>
        </w:tc>
        <w:tc>
          <w:tcPr>
            <w:tcW w:w="1500" w:type="dxa"/>
            <w:vAlign w:val="bottom"/>
            <w:vMerge w:val="restart"/>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PRSUs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jc w:val="center"/>
              <w:ind w:right="76"/>
              <w:spacing w:after="0" w:line="159" w:lineRule="exact"/>
              <w:rPr>
                <w:sz w:val="20"/>
                <w:szCs w:val="20"/>
                <w:color w:val="auto"/>
              </w:rPr>
            </w:pPr>
            <w:r>
              <w:rPr>
                <w:rFonts w:ascii="Times New Roman" w:cs="Times New Roman" w:eastAsia="Times New Roman" w:hAnsi="Times New Roman"/>
                <w:sz w:val="16"/>
                <w:szCs w:val="16"/>
                <w:b w:val="1"/>
                <w:bCs w:val="1"/>
                <w:color w:val="auto"/>
                <w:w w:val="97"/>
              </w:rPr>
              <w:t>Value Per</w:t>
            </w:r>
          </w:p>
        </w:tc>
        <w:tc>
          <w:tcPr>
            <w:tcW w:w="0" w:type="dxa"/>
            <w:vAlign w:val="bottom"/>
          </w:tcPr>
          <w:p>
            <w:pPr>
              <w:spacing w:after="0"/>
              <w:rPr>
                <w:sz w:val="1"/>
                <w:szCs w:val="1"/>
                <w:color w:val="auto"/>
              </w:rPr>
            </w:pPr>
          </w:p>
        </w:tc>
      </w:tr>
      <w:tr>
        <w:trPr>
          <w:trHeight w:val="211"/>
        </w:trPr>
        <w:tc>
          <w:tcPr>
            <w:tcW w:w="812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0" w:type="dxa"/>
            <w:vAlign w:val="bottom"/>
          </w:tcPr>
          <w:p>
            <w:pPr>
              <w:spacing w:after="0"/>
              <w:rPr>
                <w:sz w:val="1"/>
                <w:szCs w:val="1"/>
                <w:color w:val="auto"/>
              </w:rPr>
            </w:pPr>
          </w:p>
        </w:tc>
      </w:tr>
      <w:tr>
        <w:trPr>
          <w:trHeight w:val="22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at September 30, 2024</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773,194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53.79</w:t>
            </w:r>
          </w:p>
        </w:tc>
        <w:tc>
          <w:tcPr>
            <w:tcW w:w="0" w:type="dxa"/>
            <w:vAlign w:val="bottom"/>
          </w:tcPr>
          <w:p>
            <w:pPr>
              <w:spacing w:after="0"/>
              <w:rPr>
                <w:sz w:val="1"/>
                <w:szCs w:val="1"/>
                <w:color w:val="auto"/>
              </w:rPr>
            </w:pPr>
          </w:p>
        </w:tc>
      </w:tr>
      <w:tr>
        <w:trPr>
          <w:trHeight w:val="225"/>
        </w:trPr>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129.89</w:t>
            </w:r>
          </w:p>
        </w:tc>
        <w:tc>
          <w:tcPr>
            <w:tcW w:w="0" w:type="dxa"/>
            <w:vAlign w:val="bottom"/>
          </w:tcPr>
          <w:p>
            <w:pPr>
              <w:spacing w:after="0"/>
              <w:rPr>
                <w:sz w:val="1"/>
                <w:szCs w:val="1"/>
                <w:color w:val="auto"/>
              </w:rPr>
            </w:pPr>
          </w:p>
        </w:tc>
      </w:tr>
      <w:tr>
        <w:trPr>
          <w:trHeight w:val="225"/>
        </w:trPr>
        <w:tc>
          <w:tcPr>
            <w:tcW w:w="8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Adjustment for performance achievement (a)</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600,351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5"/>
        </w:trPr>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(975,570)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41.44</w:t>
            </w:r>
          </w:p>
        </w:tc>
        <w:tc>
          <w:tcPr>
            <w:tcW w:w="0" w:type="dxa"/>
            <w:vAlign w:val="bottom"/>
          </w:tcPr>
          <w:p>
            <w:pPr>
              <w:spacing w:after="0"/>
              <w:rPr>
                <w:sz w:val="1"/>
                <w:szCs w:val="1"/>
                <w:color w:val="auto"/>
              </w:rPr>
            </w:pPr>
          </w:p>
        </w:tc>
      </w:tr>
      <w:tr>
        <w:trPr>
          <w:trHeight w:val="225"/>
        </w:trPr>
        <w:tc>
          <w:tcPr>
            <w:tcW w:w="8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at September 30, 2025</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483,793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77.47</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(a)</w:t>
      </w:r>
      <w:r>
        <w:rPr>
          <w:sz w:val="20"/>
          <w:szCs w:val="20"/>
          <w:color w:val="auto"/>
        </w:rPr>
        <w:tab/>
      </w:r>
      <w:r>
        <w:rPr>
          <w:rFonts w:ascii="Times New Roman" w:cs="Times New Roman" w:eastAsia="Times New Roman" w:hAnsi="Times New Roman"/>
          <w:sz w:val="15"/>
          <w:szCs w:val="15"/>
          <w:color w:val="auto"/>
        </w:rPr>
        <w:t>Represents the adjustment to previously granted PRSUs for performance achievement.</w:t>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Company grants PRSUs to certain employees and directors. These awards will be earned by comparing the Company’s total shareholder return (“TSR”) during a period of approximately three years to the respective TSRs of companies in a performance peer group. Based upon the Company’s ranking in its performance peer group when comparing TSRs, a recipient of the PRSU grant may earn a total award ranging from 0% to 260% of the target award. The fair value of each PRSU was estimated on the grant date using a Monte Carlo simulation. The total vest date fair value of PRSUs that vested during fiscal 2025 was $75.6. No PRSUs vested during fiscal 2024 or 2023.</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weighted-average assumptions for PRSUs granted during the years ended September 30, 2025, 2024 and 2023 are summarized in the table below.</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48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gridSpan w:val="2"/>
          </w:tcPr>
          <w:p>
            <w:pPr>
              <w:jc w:val="center"/>
              <w:ind w:left="273"/>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293"/>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233"/>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221"/>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3 years</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13"/>
              <w:spacing w:after="0"/>
              <w:rPr>
                <w:sz w:val="20"/>
                <w:szCs w:val="20"/>
                <w:color w:val="auto"/>
              </w:rPr>
            </w:pPr>
            <w:r>
              <w:rPr>
                <w:rFonts w:ascii="Times New Roman" w:cs="Times New Roman" w:eastAsia="Times New Roman" w:hAnsi="Times New Roman"/>
                <w:sz w:val="18"/>
                <w:szCs w:val="18"/>
                <w:color w:val="auto"/>
              </w:rPr>
              <w:t>3 years</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413"/>
              <w:spacing w:after="0"/>
              <w:rPr>
                <w:sz w:val="20"/>
                <w:szCs w:val="20"/>
                <w:color w:val="auto"/>
              </w:rPr>
            </w:pPr>
            <w:r>
              <w:rPr>
                <w:rFonts w:ascii="Times New Roman" w:cs="Times New Roman" w:eastAsia="Times New Roman" w:hAnsi="Times New Roman"/>
                <w:sz w:val="18"/>
                <w:szCs w:val="18"/>
                <w:color w:val="auto"/>
              </w:rPr>
              <w:t>3 years</w:t>
            </w:r>
          </w:p>
        </w:tc>
      </w:tr>
      <w:tr>
        <w:trPr>
          <w:trHeight w:val="225"/>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160" w:type="dxa"/>
            <w:vAlign w:val="bottom"/>
            <w:gridSpan w:val="2"/>
          </w:tcPr>
          <w:p>
            <w:pPr>
              <w:jc w:val="center"/>
              <w:ind w:left="253"/>
              <w:spacing w:after="0"/>
              <w:rPr>
                <w:sz w:val="20"/>
                <w:szCs w:val="20"/>
                <w:color w:val="auto"/>
              </w:rPr>
            </w:pPr>
            <w:r>
              <w:rPr>
                <w:rFonts w:ascii="Times New Roman" w:cs="Times New Roman" w:eastAsia="Times New Roman" w:hAnsi="Times New Roman"/>
                <w:sz w:val="18"/>
                <w:szCs w:val="18"/>
                <w:color w:val="auto"/>
                <w:w w:val="98"/>
              </w:rPr>
              <w:t>36.5%</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center"/>
              <w:ind w:right="273"/>
              <w:spacing w:after="0"/>
              <w:rPr>
                <w:sz w:val="20"/>
                <w:szCs w:val="20"/>
                <w:color w:val="auto"/>
              </w:rPr>
            </w:pPr>
            <w:r>
              <w:rPr>
                <w:rFonts w:ascii="Times New Roman" w:cs="Times New Roman" w:eastAsia="Times New Roman" w:hAnsi="Times New Roman"/>
                <w:sz w:val="18"/>
                <w:szCs w:val="18"/>
                <w:color w:val="auto"/>
                <w:w w:val="98"/>
              </w:rPr>
              <w:t>39.4%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center"/>
              <w:ind w:right="253"/>
              <w:spacing w:after="0"/>
              <w:rPr>
                <w:sz w:val="20"/>
                <w:szCs w:val="20"/>
                <w:color w:val="auto"/>
              </w:rPr>
            </w:pPr>
            <w:r>
              <w:rPr>
                <w:rFonts w:ascii="Times New Roman" w:cs="Times New Roman" w:eastAsia="Times New Roman" w:hAnsi="Times New Roman"/>
                <w:sz w:val="18"/>
                <w:szCs w:val="18"/>
                <w:color w:val="auto"/>
                <w:w w:val="98"/>
              </w:rPr>
              <w:t>46.8%</w:t>
            </w:r>
          </w:p>
        </w:tc>
      </w:tr>
      <w:tr>
        <w:trPr>
          <w:trHeight w:val="225"/>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160" w:type="dxa"/>
            <w:vAlign w:val="bottom"/>
            <w:gridSpan w:val="2"/>
            <w:shd w:val="clear" w:color="auto" w:fill="CCEEFF"/>
          </w:tcPr>
          <w:p>
            <w:pPr>
              <w:jc w:val="center"/>
              <w:ind w:left="273"/>
              <w:spacing w:after="0"/>
              <w:rPr>
                <w:sz w:val="20"/>
                <w:szCs w:val="20"/>
                <w:color w:val="auto"/>
              </w:rPr>
            </w:pPr>
            <w:r>
              <w:rPr>
                <w:rFonts w:ascii="Times New Roman" w:cs="Times New Roman" w:eastAsia="Times New Roman" w:hAnsi="Times New Roman"/>
                <w:sz w:val="18"/>
                <w:szCs w:val="18"/>
                <w:color w:val="auto"/>
                <w:w w:val="95"/>
              </w:rPr>
              <w:t>4.1%</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right="293"/>
              <w:spacing w:after="0"/>
              <w:rPr>
                <w:sz w:val="20"/>
                <w:szCs w:val="20"/>
                <w:color w:val="auto"/>
              </w:rPr>
            </w:pPr>
            <w:r>
              <w:rPr>
                <w:rFonts w:ascii="Times New Roman" w:cs="Times New Roman" w:eastAsia="Times New Roman" w:hAnsi="Times New Roman"/>
                <w:sz w:val="18"/>
                <w:szCs w:val="18"/>
                <w:color w:val="auto"/>
                <w:w w:val="95"/>
              </w:rPr>
              <w:t>4.7%</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right="253"/>
              <w:spacing w:after="0"/>
              <w:rPr>
                <w:sz w:val="20"/>
                <w:szCs w:val="20"/>
                <w:color w:val="auto"/>
              </w:rPr>
            </w:pPr>
            <w:r>
              <w:rPr>
                <w:rFonts w:ascii="Times New Roman" w:cs="Times New Roman" w:eastAsia="Times New Roman" w:hAnsi="Times New Roman"/>
                <w:sz w:val="18"/>
                <w:szCs w:val="18"/>
                <w:color w:val="auto"/>
              </w:rPr>
              <w:t>4.1%</w:t>
            </w:r>
          </w:p>
        </w:tc>
      </w:tr>
      <w:tr>
        <w:trPr>
          <w:trHeight w:val="225"/>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dividends</w:t>
            </w:r>
          </w:p>
        </w:tc>
        <w:tc>
          <w:tcPr>
            <w:tcW w:w="240" w:type="dxa"/>
            <w:vAlign w:val="bottom"/>
          </w:tcPr>
          <w:p>
            <w:pPr>
              <w:spacing w:after="0"/>
              <w:rPr>
                <w:sz w:val="19"/>
                <w:szCs w:val="19"/>
                <w:color w:val="auto"/>
              </w:rPr>
            </w:pPr>
          </w:p>
        </w:tc>
        <w:tc>
          <w:tcPr>
            <w:tcW w:w="920" w:type="dxa"/>
            <w:vAlign w:val="bottom"/>
          </w:tcPr>
          <w:p>
            <w:pPr>
              <w:jc w:val="center"/>
              <w:ind w:left="35"/>
              <w:spacing w:after="0"/>
              <w:rPr>
                <w:sz w:val="20"/>
                <w:szCs w:val="20"/>
                <w:color w:val="auto"/>
              </w:rPr>
            </w:pPr>
            <w:r>
              <w:rPr>
                <w:rFonts w:ascii="Times New Roman" w:cs="Times New Roman" w:eastAsia="Times New Roman" w:hAnsi="Times New Roman"/>
                <w:sz w:val="18"/>
                <w:szCs w:val="18"/>
                <w:color w:val="auto"/>
                <w:w w:val="96"/>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color w:val="auto"/>
                <w:w w:val="96"/>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center"/>
              <w:ind w:right="233"/>
              <w:spacing w:after="0"/>
              <w:rPr>
                <w:sz w:val="20"/>
                <w:szCs w:val="20"/>
                <w:color w:val="auto"/>
              </w:rPr>
            </w:pPr>
            <w:r>
              <w:rPr>
                <w:rFonts w:ascii="Times New Roman" w:cs="Times New Roman" w:eastAsia="Times New Roman" w:hAnsi="Times New Roman"/>
                <w:sz w:val="18"/>
                <w:szCs w:val="18"/>
                <w:color w:val="auto"/>
                <w:w w:val="96"/>
              </w:rPr>
              <w:t>—%</w:t>
            </w:r>
          </w:p>
        </w:tc>
      </w:tr>
      <w:tr>
        <w:trPr>
          <w:trHeight w:val="225"/>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(per PRSU)</w:t>
            </w:r>
          </w:p>
        </w:tc>
        <w:tc>
          <w:tcPr>
            <w:tcW w:w="1160" w:type="dxa"/>
            <w:vAlign w:val="bottom"/>
            <w:gridSpan w:val="2"/>
            <w:shd w:val="clear" w:color="auto" w:fill="CCEEFF"/>
          </w:tcPr>
          <w:p>
            <w:pPr>
              <w:jc w:val="center"/>
              <w:ind w:left="253"/>
              <w:spacing w:after="0"/>
              <w:rPr>
                <w:sz w:val="20"/>
                <w:szCs w:val="20"/>
                <w:color w:val="auto"/>
              </w:rPr>
            </w:pPr>
            <w:r>
              <w:rPr>
                <w:rFonts w:ascii="Times New Roman" w:cs="Times New Roman" w:eastAsia="Times New Roman" w:hAnsi="Times New Roman"/>
                <w:sz w:val="18"/>
                <w:szCs w:val="18"/>
                <w:color w:val="auto"/>
                <w:w w:val="99"/>
              </w:rPr>
              <w:t>$129.89</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right="293"/>
              <w:spacing w:after="0"/>
              <w:rPr>
                <w:sz w:val="20"/>
                <w:szCs w:val="20"/>
                <w:color w:val="auto"/>
              </w:rPr>
            </w:pPr>
            <w:r>
              <w:rPr>
                <w:rFonts w:ascii="Times New Roman" w:cs="Times New Roman" w:eastAsia="Times New Roman" w:hAnsi="Times New Roman"/>
                <w:sz w:val="18"/>
                <w:szCs w:val="18"/>
                <w:color w:val="auto"/>
                <w:w w:val="96"/>
              </w:rPr>
              <w:t>$81.42</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right="233"/>
              <w:spacing w:after="0"/>
              <w:rPr>
                <w:sz w:val="20"/>
                <w:szCs w:val="20"/>
                <w:color w:val="auto"/>
              </w:rPr>
            </w:pPr>
            <w:r>
              <w:rPr>
                <w:rFonts w:ascii="Times New Roman" w:cs="Times New Roman" w:eastAsia="Times New Roman" w:hAnsi="Times New Roman"/>
                <w:sz w:val="18"/>
                <w:szCs w:val="18"/>
                <w:color w:val="auto"/>
                <w:w w:val="96"/>
              </w:rPr>
              <w:t>$45.26</w:t>
            </w:r>
          </w:p>
        </w:tc>
      </w:tr>
      <w:tr>
        <w:trPr>
          <w:trHeight w:val="518"/>
        </w:trPr>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16 — STOCKHOLDERS’ DEFICIT</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18"/>
        </w:trPr>
        <w:tc>
          <w:tcPr>
            <w:tcW w:w="6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Company’s repurchases of its common stock.</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41"/>
        </w:trPr>
        <w:tc>
          <w:tcPr>
            <w:tcW w:w="6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9"/>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w w:val="97"/>
              </w:rPr>
              <w:t>Year Ended September 30,</w:t>
            </w:r>
          </w:p>
        </w:tc>
        <w:tc>
          <w:tcPr>
            <w:tcW w:w="1160" w:type="dxa"/>
            <w:vAlign w:val="bottom"/>
            <w:tcBorders>
              <w:bottom w:val="single" w:sz="8" w:color="auto"/>
            </w:tcBorders>
          </w:tcPr>
          <w:p>
            <w:pPr>
              <w:spacing w:after="0"/>
              <w:rPr>
                <w:sz w:val="24"/>
                <w:szCs w:val="24"/>
                <w:color w:val="auto"/>
              </w:rPr>
            </w:pPr>
          </w:p>
        </w:tc>
      </w:tr>
      <w:tr>
        <w:trPr>
          <w:trHeight w:val="207"/>
        </w:trPr>
        <w:tc>
          <w:tcPr>
            <w:tcW w:w="648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Shares repurchased </w:t>
            </w:r>
            <w:r>
              <w:rPr>
                <w:rFonts w:ascii="Times New Roman" w:cs="Times New Roman" w:eastAsia="Times New Roman" w:hAnsi="Times New Roman"/>
                <w:sz w:val="18"/>
                <w:szCs w:val="18"/>
                <w:i w:val="1"/>
                <w:iCs w:val="1"/>
                <w:color w:val="auto"/>
              </w:rPr>
              <w:t>(in millions)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5"/>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price per share (a)</w:t>
            </w:r>
          </w:p>
        </w:tc>
        <w:tc>
          <w:tcPr>
            <w:tcW w:w="1160" w:type="dxa"/>
            <w:vAlign w:val="bottom"/>
            <w:gridSpan w:val="2"/>
          </w:tcPr>
          <w:p>
            <w:pPr>
              <w:jc w:val="right"/>
              <w:ind w:right="735"/>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52.62</w:t>
            </w:r>
          </w:p>
        </w:tc>
        <w:tc>
          <w:tcPr>
            <w:tcW w:w="4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29.56</w:t>
            </w:r>
          </w:p>
        </w:tc>
      </w:tr>
      <w:tr>
        <w:trPr>
          <w:trHeight w:val="225"/>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 repurchase cost (b)</w:t>
            </w:r>
          </w:p>
        </w:tc>
        <w:tc>
          <w:tcPr>
            <w:tcW w:w="1160" w:type="dxa"/>
            <w:vAlign w:val="bottom"/>
            <w:gridSpan w:val="2"/>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476.6</w:t>
            </w:r>
          </w:p>
        </w:tc>
        <w:tc>
          <w:tcPr>
            <w:tcW w:w="4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w:t>
            </w:r>
          </w:p>
        </w:tc>
      </w:tr>
    </w:tbl>
    <w:p>
      <w:pPr>
        <w:spacing w:after="0" w:line="172" w:lineRule="exact"/>
        <w:rPr>
          <w:sz w:val="20"/>
          <w:szCs w:val="20"/>
          <w:color w:val="auto"/>
        </w:rPr>
      </w:pPr>
    </w:p>
    <w:p>
      <w:pPr>
        <w:ind w:left="320" w:hanging="314"/>
        <w:spacing w:after="0"/>
        <w:tabs>
          <w:tab w:leader="none" w:pos="3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Average price per share excludes accrued excise tax and broker’s commissions, which are included in “Total share repurchase cost” within this table.</w:t>
      </w:r>
    </w:p>
    <w:p>
      <w:pPr>
        <w:spacing w:after="0" w:line="120" w:lineRule="exact"/>
        <w:rPr>
          <w:rFonts w:ascii="Times New Roman" w:cs="Times New Roman" w:eastAsia="Times New Roman" w:hAnsi="Times New Roman"/>
          <w:sz w:val="16"/>
          <w:szCs w:val="16"/>
          <w:color w:val="auto"/>
        </w:rPr>
      </w:pPr>
    </w:p>
    <w:p>
      <w:pPr>
        <w:jc w:val="both"/>
        <w:ind w:left="320" w:hanging="314"/>
        <w:spacing w:after="0" w:line="258" w:lineRule="auto"/>
        <w:tabs>
          <w:tab w:leader="none" w:pos="3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“Purchases of treasury stock” in the Consolidated Statements of Cash Flows for the year ended September 30, 2025 excluded $3.9 of accrued excise tax that had not been paid as of September 30, 2025 and included $2.2 of accrued excise tax payments that had been accrued for in prior fiscal years. “Purchases of treasury stock” in the Consolidated Statements of Cash Flows for the years ended September 30, 2024 and </w:t>
      </w:r>
      <w:r>
        <w:rPr>
          <w:rFonts w:ascii="Times New Roman" w:cs="Times New Roman" w:eastAsia="Times New Roman" w:hAnsi="Times New Roman"/>
          <w:sz w:val="17"/>
          <w:szCs w:val="17"/>
          <w:color w:val="auto"/>
        </w:rPr>
        <w:t>2023</w:t>
      </w:r>
      <w:r>
        <w:rPr>
          <w:rFonts w:ascii="Times New Roman" w:cs="Times New Roman" w:eastAsia="Times New Roman" w:hAnsi="Times New Roman"/>
          <w:sz w:val="16"/>
          <w:szCs w:val="16"/>
          <w:color w:val="auto"/>
        </w:rPr>
        <w:t xml:space="preserve"> excluded $1.4 and $0.8, respectively, of accrued excise tax that had not been paid as of September 30, 2024 and 2023, respectively.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SEGMENTS</w:t>
      </w:r>
    </w:p>
    <w:p>
      <w:pPr>
        <w:spacing w:after="0" w:line="11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 manages its operations on a consolidated basis through one operating and reportable segment. The accounting policies of the segment are the same as those described in the summary of significant accounting policies (see Note 2).</w:t>
      </w:r>
    </w:p>
    <w:p>
      <w:pPr>
        <w:spacing w:after="0" w:line="5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Company’s Chief Operating Decision Maker (“CODM”) is the President and Chief Executive Officer of BellRing. The CODM utilizes consolidated single-segment net earnings (reported on the Consolidated Statements of Operations as “Net Earnings”) to evaluate financial performance, allocate resources and forecast future period financial results. The CODM evaluates performance by comparing actual to budgeted results and utilizes this information to decide whether to reinvest into the segment or into other parts of the entity, such as for acquisitions or to repurchase shares. The measure of segment assets is reported on the Consolidated Balance Sheets as “Total Assets”.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net sales, the significant expense categories reviewed by the CODM and net earnings of the Company.</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6"/>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Year Ended September 30,</w:t>
            </w:r>
          </w:p>
        </w:tc>
        <w:tc>
          <w:tcPr>
            <w:tcW w:w="1000" w:type="dxa"/>
            <w:vAlign w:val="bottom"/>
            <w:tcBorders>
              <w:bottom w:val="single" w:sz="8" w:color="auto"/>
            </w:tcBorders>
          </w:tcPr>
          <w:p>
            <w:pPr>
              <w:spacing w:after="0"/>
              <w:rPr>
                <w:sz w:val="18"/>
                <w:szCs w:val="18"/>
                <w:color w:val="auto"/>
              </w:rPr>
            </w:pPr>
          </w:p>
        </w:tc>
      </w:tr>
      <w:tr>
        <w:trPr>
          <w:trHeight w:val="207"/>
        </w:trPr>
        <w:tc>
          <w:tcPr>
            <w:tcW w:w="70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1,666.8</w:t>
            </w:r>
          </w:p>
        </w:tc>
      </w:tr>
      <w:tr>
        <w:trPr>
          <w:trHeight w:val="225"/>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5"/>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goods sold</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1,288.9</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1,136.6</w:t>
            </w:r>
          </w:p>
        </w:tc>
      </w:tr>
      <w:tr>
        <w:trPr>
          <w:trHeight w:val="225"/>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Advertising expenses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r>
      <w:tr>
        <w:trPr>
          <w:trHeight w:val="225"/>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225"/>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segment expenses (a)</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w:t>
            </w:r>
          </w:p>
        </w:tc>
      </w:tr>
      <w:tr>
        <w:trPr>
          <w:trHeight w:val="225"/>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r>
      <w:tr>
        <w:trPr>
          <w:trHeight w:val="225"/>
        </w:trPr>
        <w:tc>
          <w:tcPr>
            <w:tcW w:w="70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w:t>
            </w:r>
          </w:p>
        </w:tc>
      </w:tr>
      <w:tr>
        <w:trPr>
          <w:trHeight w:val="243"/>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left="320" w:hanging="314"/>
        <w:spacing w:after="0" w:line="272" w:lineRule="auto"/>
        <w:tabs>
          <w:tab w:leader="none" w:pos="311"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segment expenses includes employee-related expenses, marketing and distribution, research and development, outside professional services, depreciation and other general expenses.</w:t>
      </w:r>
    </w:p>
    <w:p>
      <w:pPr>
        <w:spacing w:after="0" w:line="160" w:lineRule="exact"/>
        <w:rPr>
          <w:sz w:val="20"/>
          <w:szCs w:val="20"/>
          <w:color w:val="auto"/>
        </w:rPr>
      </w:pPr>
    </w:p>
    <w:p>
      <w:pPr>
        <w:ind w:right="1100"/>
        <w:spacing w:after="0" w:line="399" w:lineRule="auto"/>
        <w:rPr>
          <w:sz w:val="20"/>
          <w:szCs w:val="20"/>
          <w:color w:val="auto"/>
        </w:rPr>
      </w:pPr>
      <w:r>
        <w:rPr>
          <w:rFonts w:ascii="Times New Roman" w:cs="Times New Roman" w:eastAsia="Times New Roman" w:hAnsi="Times New Roman"/>
          <w:sz w:val="18"/>
          <w:szCs w:val="18"/>
          <w:b w:val="1"/>
          <w:bCs w:val="1"/>
          <w:color w:val="auto"/>
        </w:rPr>
        <w:t xml:space="preserve">ITEM 9. CHANGES IN AND DISAGREEMENTS WITH ACCOUNTANTS ON ACCOUNTING AND FINANCIAL DISCLOSURE </w:t>
      </w:r>
      <w:r>
        <w:rPr>
          <w:rFonts w:ascii="Times New Roman" w:cs="Times New Roman" w:eastAsia="Times New Roman" w:hAnsi="Times New Roman"/>
          <w:sz w:val="18"/>
          <w:szCs w:val="18"/>
          <w:color w:val="auto"/>
        </w:rPr>
        <w:t>Not applicable.</w:t>
      </w:r>
    </w:p>
    <w:p>
      <w:pPr>
        <w:spacing w:after="0" w:line="54"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1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management, with our Chief Executive Officer (“CEO”) and Chief Financial Officer (“CFO”) of the Company, has evaluated the effectiveness of our disclosure controls and procedures (as defined in Rules 13a-15(e) and 15d-15(e) under the Securities Exchange Act of 1934, as amended (the “Exchange Act”)) as of September 30, 2025. Based on that evaluation, our CEO and CFO concluded that, as of September 30, 2025, the Company’s disclosure controls and procedures were effective to provide reasonable assurance of achieving the desired control objectives.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Report on Internal Control Over Financial Reporting</w:t>
      </w:r>
    </w:p>
    <w:p>
      <w:pPr>
        <w:spacing w:after="0" w:line="113"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Our management is responsible for establishing and maintaining adequate internal control over financial reporting as such term is defined in Rules 13a-15(f) and 15d-15(f) under the Exchange Act. Our internal control over financial reporting is designed to provide reasonable assurance regarding the reliability of financial reporting and the preparation of financial statements for external purposes in accordance with generally accepted accounting principles.</w:t>
      </w:r>
    </w:p>
    <w:p>
      <w:pPr>
        <w:spacing w:after="0" w:line="5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 xml:space="preserve">As of September 30, 2025, management conducted an assessment of the effectiveness of the Company’s internal control over financial reporting based upon the criteria set forth by the Committee of Sponsoring Organizations of the Treadway Commission (COSO)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(2013)</w:t>
      </w:r>
      <w:r>
        <w:rPr>
          <w:rFonts w:ascii="Times New Roman" w:cs="Times New Roman" w:eastAsia="Times New Roman" w:hAnsi="Times New Roman"/>
          <w:sz w:val="18"/>
          <w:szCs w:val="18"/>
          <w:color w:val="auto"/>
        </w:rPr>
        <w:t>. Based on management’s assessment utilizing these criteria, our management concluded that, as of September 30, 2025, our internal control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reporting was effective.</w:t>
      </w:r>
    </w:p>
    <w:p>
      <w:pPr>
        <w:spacing w:after="0" w:line="7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September 30, 2025 has been audited by PricewaterhouseCoopers LLP, an independent registered public accounting firm, as stated in its report, which appears herein.</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Based on management’s evaluation, there were no changes in our internal control over financial reporting that occurred during the quarter ended September 30, 2025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7" w:name="page68"/>
    <w:bookmarkEnd w:id="67"/>
    <w:p>
      <w:pPr>
        <w:ind w:left="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8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0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Rule 10b5-1 and Non-Rule 10b5-1 Trading Arrangements</w:t>
      </w:r>
    </w:p>
    <w:p>
      <w:pPr>
        <w:spacing w:after="0" w:line="115" w:lineRule="exact"/>
        <w:rPr>
          <w:sz w:val="20"/>
          <w:szCs w:val="20"/>
          <w:color w:val="auto"/>
        </w:rPr>
      </w:pPr>
    </w:p>
    <w:p>
      <w:pPr>
        <w:ind w:left="80" w:firstLine="318"/>
        <w:spacing w:after="0" w:line="274" w:lineRule="auto"/>
        <w:rPr>
          <w:sz w:val="20"/>
          <w:szCs w:val="20"/>
          <w:color w:val="auto"/>
        </w:rPr>
      </w:pPr>
      <w:r>
        <w:rPr>
          <w:rFonts w:ascii="Times New Roman" w:cs="Times New Roman" w:eastAsia="Times New Roman" w:hAnsi="Times New Roman"/>
          <w:sz w:val="18"/>
          <w:szCs w:val="18"/>
          <w:color w:val="auto"/>
        </w:rPr>
        <w:t>During the three months ended September 30, 2025, our directors or officers, as defined in Rule 16a-1(f) under the Securities Exchange Act of 1934, as amended, adopted or terminated the “Rule 10b5-1 trading arrangements” as defined in Item 408 of Regulation S-K, set forth in the table below:</w:t>
      </w:r>
    </w:p>
    <w:p>
      <w:pPr>
        <w:spacing w:after="0" w:line="102"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34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Type of Trading</w:t>
            </w:r>
          </w:p>
        </w:tc>
        <w:tc>
          <w:tcPr>
            <w:tcW w:w="15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34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Arrangement</w:t>
            </w:r>
          </w:p>
        </w:tc>
        <w:tc>
          <w:tcPr>
            <w:tcW w:w="15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580" w:type="dxa"/>
            <w:vAlign w:val="bottom"/>
          </w:tcPr>
          <w:p>
            <w:pPr>
              <w:spacing w:after="0"/>
              <w:rPr>
                <w:sz w:val="2"/>
                <w:szCs w:val="2"/>
                <w:color w:val="auto"/>
              </w:rPr>
            </w:pPr>
          </w:p>
        </w:tc>
        <w:tc>
          <w:tcPr>
            <w:tcW w:w="2140" w:type="dxa"/>
            <w:vAlign w:val="bottom"/>
            <w:vMerge w:val="restart"/>
          </w:tcPr>
          <w:p>
            <w:pPr>
              <w:jc w:val="center"/>
              <w:ind w:left="59"/>
              <w:spacing w:after="0"/>
              <w:rPr>
                <w:sz w:val="20"/>
                <w:szCs w:val="20"/>
                <w:color w:val="auto"/>
              </w:rPr>
            </w:pPr>
            <w:r>
              <w:rPr>
                <w:rFonts w:ascii="Times New Roman" w:cs="Times New Roman" w:eastAsia="Times New Roman" w:hAnsi="Times New Roman"/>
                <w:sz w:val="14"/>
                <w:szCs w:val="14"/>
                <w:b w:val="1"/>
                <w:bCs w:val="1"/>
                <w:color w:val="auto"/>
              </w:rPr>
              <w:t>Total Shares of Common Stock</w:t>
            </w:r>
          </w:p>
        </w:tc>
        <w:tc>
          <w:tcPr>
            <w:tcW w:w="0" w:type="dxa"/>
            <w:vAlign w:val="bottom"/>
          </w:tcPr>
          <w:p>
            <w:pPr>
              <w:spacing w:after="0"/>
              <w:rPr>
                <w:sz w:val="1"/>
                <w:szCs w:val="1"/>
                <w:color w:val="auto"/>
              </w:rPr>
            </w:pPr>
          </w:p>
        </w:tc>
      </w:tr>
      <w:tr>
        <w:trPr>
          <w:trHeight w:val="141"/>
        </w:trPr>
        <w:tc>
          <w:tcPr>
            <w:tcW w:w="34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440" w:type="dxa"/>
            <w:vAlign w:val="bottom"/>
          </w:tcPr>
          <w:p>
            <w:pPr>
              <w:ind w:left="1220"/>
              <w:spacing w:after="0"/>
              <w:rPr>
                <w:sz w:val="20"/>
                <w:szCs w:val="20"/>
                <w:color w:val="auto"/>
              </w:rPr>
            </w:pPr>
            <w:r>
              <w:rPr>
                <w:rFonts w:ascii="Times New Roman" w:cs="Times New Roman" w:eastAsia="Times New Roman" w:hAnsi="Times New Roman"/>
                <w:sz w:val="14"/>
                <w:szCs w:val="14"/>
                <w:b w:val="1"/>
                <w:bCs w:val="1"/>
                <w:color w:val="auto"/>
              </w:rPr>
              <w:t>Name and Position</w:t>
            </w:r>
          </w:p>
        </w:tc>
        <w:tc>
          <w:tcPr>
            <w:tcW w:w="136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Action</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Rule 10b5-1*</w:t>
            </w:r>
          </w:p>
        </w:tc>
        <w:tc>
          <w:tcPr>
            <w:tcW w:w="1580" w:type="dxa"/>
            <w:vAlign w:val="bottom"/>
          </w:tcPr>
          <w:p>
            <w:pPr>
              <w:jc w:val="center"/>
              <w:ind w:left="54"/>
              <w:spacing w:after="0"/>
              <w:rPr>
                <w:sz w:val="20"/>
                <w:szCs w:val="20"/>
                <w:color w:val="auto"/>
              </w:rPr>
            </w:pPr>
            <w:r>
              <w:rPr>
                <w:rFonts w:ascii="Times New Roman" w:cs="Times New Roman" w:eastAsia="Times New Roman" w:hAnsi="Times New Roman"/>
                <w:sz w:val="14"/>
                <w:szCs w:val="14"/>
                <w:b w:val="1"/>
                <w:bCs w:val="1"/>
                <w:color w:val="auto"/>
                <w:w w:val="99"/>
              </w:rPr>
              <w:t>Duration of Plan</w:t>
            </w:r>
          </w:p>
        </w:tc>
        <w:tc>
          <w:tcPr>
            <w:tcW w:w="2140" w:type="dxa"/>
            <w:vAlign w:val="bottom"/>
          </w:tcPr>
          <w:p>
            <w:pPr>
              <w:jc w:val="center"/>
              <w:ind w:left="59"/>
              <w:spacing w:after="0"/>
              <w:rPr>
                <w:sz w:val="20"/>
                <w:szCs w:val="20"/>
                <w:color w:val="auto"/>
              </w:rPr>
            </w:pPr>
            <w:r>
              <w:rPr>
                <w:rFonts w:ascii="Times New Roman" w:cs="Times New Roman" w:eastAsia="Times New Roman" w:hAnsi="Times New Roman"/>
                <w:sz w:val="14"/>
                <w:szCs w:val="14"/>
                <w:b w:val="1"/>
                <w:bCs w:val="1"/>
                <w:color w:val="auto"/>
              </w:rPr>
              <w:t>to be Sold</w:t>
            </w:r>
          </w:p>
        </w:tc>
        <w:tc>
          <w:tcPr>
            <w:tcW w:w="0" w:type="dxa"/>
            <w:vAlign w:val="bottom"/>
          </w:tcPr>
          <w:p>
            <w:pPr>
              <w:spacing w:after="0"/>
              <w:rPr>
                <w:sz w:val="1"/>
                <w:szCs w:val="1"/>
                <w:color w:val="auto"/>
              </w:rPr>
            </w:pPr>
          </w:p>
        </w:tc>
      </w:tr>
      <w:tr>
        <w:trPr>
          <w:trHeight w:val="24"/>
        </w:trPr>
        <w:tc>
          <w:tcPr>
            <w:tcW w:w="3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3440" w:type="dxa"/>
            <w:vAlign w:val="bottom"/>
            <w:shd w:val="clear" w:color="auto" w:fill="CCEEFF"/>
          </w:tcPr>
          <w:p>
            <w:pPr>
              <w:ind w:left="20"/>
              <w:spacing w:after="0" w:line="192" w:lineRule="exact"/>
              <w:rPr>
                <w:sz w:val="20"/>
                <w:szCs w:val="20"/>
                <w:color w:val="auto"/>
              </w:rPr>
            </w:pPr>
            <w:r>
              <w:rPr>
                <w:rFonts w:ascii="Times New Roman" w:cs="Times New Roman" w:eastAsia="Times New Roman" w:hAnsi="Times New Roman"/>
                <w:sz w:val="18"/>
                <w:szCs w:val="18"/>
                <w:color w:val="auto"/>
              </w:rPr>
              <w:t>Darcy H. Davenport</w:t>
            </w:r>
          </w:p>
        </w:tc>
        <w:tc>
          <w:tcPr>
            <w:tcW w:w="1360" w:type="dxa"/>
            <w:vAlign w:val="bottom"/>
            <w:shd w:val="clear" w:color="auto" w:fill="CCEEFF"/>
          </w:tcPr>
          <w:p>
            <w:pPr>
              <w:jc w:val="center"/>
              <w:ind w:left="96"/>
              <w:spacing w:after="0" w:line="192" w:lineRule="exact"/>
              <w:rPr>
                <w:sz w:val="20"/>
                <w:szCs w:val="20"/>
                <w:color w:val="auto"/>
              </w:rPr>
            </w:pPr>
            <w:r>
              <w:rPr>
                <w:rFonts w:ascii="Times New Roman" w:cs="Times New Roman" w:eastAsia="Times New Roman" w:hAnsi="Times New Roman"/>
                <w:sz w:val="18"/>
                <w:szCs w:val="18"/>
                <w:color w:val="auto"/>
                <w:w w:val="96"/>
              </w:rPr>
              <w:t>8/7/2025</w:t>
            </w:r>
          </w:p>
        </w:tc>
        <w:tc>
          <w:tcPr>
            <w:tcW w:w="1240" w:type="dxa"/>
            <w:vAlign w:val="bottom"/>
            <w:shd w:val="clear" w:color="auto" w:fill="CCEEFF"/>
          </w:tcPr>
          <w:p>
            <w:pPr>
              <w:jc w:val="center"/>
              <w:spacing w:after="0" w:line="192" w:lineRule="exact"/>
              <w:rPr>
                <w:sz w:val="20"/>
                <w:szCs w:val="20"/>
                <w:color w:val="auto"/>
              </w:rPr>
            </w:pPr>
            <w:r>
              <w:rPr>
                <w:rFonts w:ascii="Times New Roman" w:cs="Times New Roman" w:eastAsia="Times New Roman" w:hAnsi="Times New Roman"/>
                <w:sz w:val="18"/>
                <w:szCs w:val="18"/>
                <w:color w:val="auto"/>
                <w:w w:val="97"/>
              </w:rPr>
              <w:t>Terminate</w:t>
            </w:r>
          </w:p>
        </w:tc>
        <w:tc>
          <w:tcPr>
            <w:tcW w:w="1480" w:type="dxa"/>
            <w:vAlign w:val="bottom"/>
            <w:shd w:val="clear" w:color="auto" w:fill="CCEEFF"/>
          </w:tcPr>
          <w:p>
            <w:pPr>
              <w:jc w:val="center"/>
              <w:spacing w:after="0" w:line="192" w:lineRule="exact"/>
              <w:rPr>
                <w:sz w:val="20"/>
                <w:szCs w:val="20"/>
                <w:color w:val="auto"/>
              </w:rPr>
            </w:pPr>
            <w:r>
              <w:rPr>
                <w:rFonts w:ascii="Times New Roman" w:cs="Times New Roman" w:eastAsia="Times New Roman" w:hAnsi="Times New Roman"/>
                <w:sz w:val="18"/>
                <w:szCs w:val="18"/>
                <w:color w:val="auto"/>
                <w:w w:val="91"/>
              </w:rPr>
              <w:t>X</w:t>
            </w:r>
          </w:p>
        </w:tc>
        <w:tc>
          <w:tcPr>
            <w:tcW w:w="1580" w:type="dxa"/>
            <w:vAlign w:val="bottom"/>
            <w:shd w:val="clear" w:color="auto" w:fill="CCEEFF"/>
          </w:tcPr>
          <w:p>
            <w:pPr>
              <w:jc w:val="center"/>
              <w:ind w:left="54"/>
              <w:spacing w:after="0" w:line="192" w:lineRule="exact"/>
              <w:rPr>
                <w:sz w:val="20"/>
                <w:szCs w:val="20"/>
                <w:color w:val="auto"/>
              </w:rPr>
            </w:pPr>
            <w:r>
              <w:rPr>
                <w:rFonts w:ascii="Times New Roman" w:cs="Times New Roman" w:eastAsia="Times New Roman" w:hAnsi="Times New Roman"/>
                <w:sz w:val="18"/>
                <w:szCs w:val="18"/>
                <w:color w:val="auto"/>
                <w:w w:val="96"/>
              </w:rPr>
              <w:t>2/26/2025 to</w:t>
            </w:r>
          </w:p>
        </w:tc>
        <w:tc>
          <w:tcPr>
            <w:tcW w:w="2140" w:type="dxa"/>
            <w:vAlign w:val="bottom"/>
            <w:shd w:val="clear" w:color="auto" w:fill="CCEEFF"/>
          </w:tcPr>
          <w:p>
            <w:pPr>
              <w:jc w:val="center"/>
              <w:ind w:left="59"/>
              <w:spacing w:after="0" w:line="192" w:lineRule="exact"/>
              <w:rPr>
                <w:sz w:val="20"/>
                <w:szCs w:val="20"/>
                <w:color w:val="auto"/>
              </w:rPr>
            </w:pPr>
            <w:r>
              <w:rPr>
                <w:rFonts w:ascii="Times New Roman" w:cs="Times New Roman" w:eastAsia="Times New Roman" w:hAnsi="Times New Roman"/>
                <w:sz w:val="18"/>
                <w:szCs w:val="18"/>
                <w:color w:val="auto"/>
                <w:w w:val="97"/>
              </w:rPr>
              <w:t>Up to 59,200</w:t>
            </w:r>
          </w:p>
        </w:tc>
        <w:tc>
          <w:tcPr>
            <w:tcW w:w="0" w:type="dxa"/>
            <w:vAlign w:val="bottom"/>
          </w:tcPr>
          <w:p>
            <w:pPr>
              <w:spacing w:after="0"/>
              <w:rPr>
                <w:sz w:val="1"/>
                <w:szCs w:val="1"/>
                <w:color w:val="auto"/>
              </w:rPr>
            </w:pPr>
          </w:p>
        </w:tc>
      </w:tr>
      <w:tr>
        <w:trPr>
          <w:trHeight w:val="239"/>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c>
          <w:tcPr>
            <w:tcW w:w="1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center"/>
              <w:ind w:left="54"/>
              <w:spacing w:after="0"/>
              <w:rPr>
                <w:sz w:val="20"/>
                <w:szCs w:val="20"/>
                <w:color w:val="auto"/>
              </w:rPr>
            </w:pPr>
            <w:r>
              <w:rPr>
                <w:rFonts w:ascii="Times New Roman" w:cs="Times New Roman" w:eastAsia="Times New Roman" w:hAnsi="Times New Roman"/>
                <w:sz w:val="18"/>
                <w:szCs w:val="18"/>
                <w:color w:val="auto"/>
                <w:w w:val="98"/>
              </w:rPr>
              <w:t>2/26/2026</w:t>
            </w:r>
          </w:p>
        </w:tc>
        <w:tc>
          <w:tcPr>
            <w:tcW w:w="2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3440" w:type="dxa"/>
            <w:vAlign w:val="bottom"/>
          </w:tcPr>
          <w:p>
            <w:pPr>
              <w:ind w:left="20"/>
              <w:spacing w:after="0" w:line="192" w:lineRule="exact"/>
              <w:rPr>
                <w:sz w:val="20"/>
                <w:szCs w:val="20"/>
                <w:color w:val="auto"/>
              </w:rPr>
            </w:pPr>
            <w:r>
              <w:rPr>
                <w:rFonts w:ascii="Times New Roman" w:cs="Times New Roman" w:eastAsia="Times New Roman" w:hAnsi="Times New Roman"/>
                <w:sz w:val="18"/>
                <w:szCs w:val="18"/>
                <w:color w:val="auto"/>
              </w:rPr>
              <w:t>Craig L. Rosenthal</w:t>
            </w:r>
          </w:p>
        </w:tc>
        <w:tc>
          <w:tcPr>
            <w:tcW w:w="1360" w:type="dxa"/>
            <w:vAlign w:val="bottom"/>
          </w:tcPr>
          <w:p>
            <w:pPr>
              <w:jc w:val="center"/>
              <w:ind w:left="96"/>
              <w:spacing w:after="0" w:line="192" w:lineRule="exact"/>
              <w:rPr>
                <w:sz w:val="20"/>
                <w:szCs w:val="20"/>
                <w:color w:val="auto"/>
              </w:rPr>
            </w:pPr>
            <w:r>
              <w:rPr>
                <w:rFonts w:ascii="Times New Roman" w:cs="Times New Roman" w:eastAsia="Times New Roman" w:hAnsi="Times New Roman"/>
                <w:sz w:val="18"/>
                <w:szCs w:val="18"/>
                <w:color w:val="auto"/>
                <w:w w:val="96"/>
              </w:rPr>
              <w:t>8/7/2025</w:t>
            </w:r>
          </w:p>
        </w:tc>
        <w:tc>
          <w:tcPr>
            <w:tcW w:w="124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color w:val="auto"/>
                <w:w w:val="97"/>
              </w:rPr>
              <w:t>Terminate</w:t>
            </w:r>
          </w:p>
        </w:tc>
        <w:tc>
          <w:tcPr>
            <w:tcW w:w="148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color w:val="auto"/>
                <w:w w:val="91"/>
              </w:rPr>
              <w:t>X</w:t>
            </w:r>
          </w:p>
        </w:tc>
        <w:tc>
          <w:tcPr>
            <w:tcW w:w="1580" w:type="dxa"/>
            <w:vAlign w:val="bottom"/>
          </w:tcPr>
          <w:p>
            <w:pPr>
              <w:jc w:val="center"/>
              <w:ind w:left="54"/>
              <w:spacing w:after="0" w:line="192" w:lineRule="exact"/>
              <w:rPr>
                <w:sz w:val="20"/>
                <w:szCs w:val="20"/>
                <w:color w:val="auto"/>
              </w:rPr>
            </w:pPr>
            <w:r>
              <w:rPr>
                <w:rFonts w:ascii="Times New Roman" w:cs="Times New Roman" w:eastAsia="Times New Roman" w:hAnsi="Times New Roman"/>
                <w:sz w:val="18"/>
                <w:szCs w:val="18"/>
                <w:color w:val="auto"/>
                <w:w w:val="96"/>
              </w:rPr>
              <w:t>6/7/2025 to</w:t>
            </w:r>
          </w:p>
        </w:tc>
        <w:tc>
          <w:tcPr>
            <w:tcW w:w="2140" w:type="dxa"/>
            <w:vAlign w:val="bottom"/>
          </w:tcPr>
          <w:p>
            <w:pPr>
              <w:jc w:val="center"/>
              <w:ind w:left="59"/>
              <w:spacing w:after="0" w:line="192" w:lineRule="exact"/>
              <w:rPr>
                <w:sz w:val="20"/>
                <w:szCs w:val="20"/>
                <w:color w:val="auto"/>
              </w:rPr>
            </w:pPr>
            <w:r>
              <w:rPr>
                <w:rFonts w:ascii="Times New Roman" w:cs="Times New Roman" w:eastAsia="Times New Roman" w:hAnsi="Times New Roman"/>
                <w:sz w:val="18"/>
                <w:szCs w:val="18"/>
                <w:color w:val="auto"/>
                <w:w w:val="97"/>
              </w:rPr>
              <w:t>Up to 13,273</w:t>
            </w:r>
          </w:p>
        </w:tc>
        <w:tc>
          <w:tcPr>
            <w:tcW w:w="0" w:type="dxa"/>
            <w:vAlign w:val="bottom"/>
          </w:tcPr>
          <w:p>
            <w:pPr>
              <w:spacing w:after="0"/>
              <w:rPr>
                <w:sz w:val="1"/>
                <w:szCs w:val="1"/>
                <w:color w:val="auto"/>
              </w:rPr>
            </w:pPr>
          </w:p>
        </w:tc>
      </w:tr>
      <w:tr>
        <w:trPr>
          <w:trHeight w:val="199"/>
        </w:trPr>
        <w:tc>
          <w:tcPr>
            <w:tcW w:w="3440" w:type="dxa"/>
            <w:vAlign w:val="bottom"/>
          </w:tcPr>
          <w:p>
            <w:pPr>
              <w:ind w:left="20"/>
              <w:spacing w:after="0" w:line="199" w:lineRule="exact"/>
              <w:rPr>
                <w:sz w:val="20"/>
                <w:szCs w:val="20"/>
                <w:color w:val="auto"/>
              </w:rPr>
            </w:pPr>
            <w:r>
              <w:rPr>
                <w:rFonts w:ascii="Times New Roman" w:cs="Times New Roman" w:eastAsia="Times New Roman" w:hAnsi="Times New Roman"/>
                <w:sz w:val="18"/>
                <w:szCs w:val="18"/>
                <w:i w:val="1"/>
                <w:iCs w:val="1"/>
                <w:color w:val="auto"/>
              </w:rPr>
              <w:t>Chief Legal Officer and Chief Compliance</w:t>
            </w:r>
          </w:p>
        </w:tc>
        <w:tc>
          <w:tcPr>
            <w:tcW w:w="1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80" w:type="dxa"/>
            <w:vAlign w:val="bottom"/>
          </w:tcPr>
          <w:p>
            <w:pPr>
              <w:jc w:val="center"/>
              <w:ind w:left="54"/>
              <w:spacing w:after="0" w:line="199" w:lineRule="exact"/>
              <w:rPr>
                <w:sz w:val="20"/>
                <w:szCs w:val="20"/>
                <w:color w:val="auto"/>
              </w:rPr>
            </w:pPr>
            <w:r>
              <w:rPr>
                <w:rFonts w:ascii="Times New Roman" w:cs="Times New Roman" w:eastAsia="Times New Roman" w:hAnsi="Times New Roman"/>
                <w:sz w:val="18"/>
                <w:szCs w:val="18"/>
                <w:color w:val="auto"/>
                <w:w w:val="99"/>
              </w:rPr>
              <w:t>6/7/2026</w:t>
            </w: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1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3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3440" w:type="dxa"/>
            <w:vAlign w:val="bottom"/>
            <w:shd w:val="clear" w:color="auto" w:fill="CCEEFF"/>
          </w:tcPr>
          <w:p>
            <w:pPr>
              <w:ind w:left="20"/>
              <w:spacing w:after="0" w:line="192" w:lineRule="exact"/>
              <w:rPr>
                <w:sz w:val="20"/>
                <w:szCs w:val="20"/>
                <w:color w:val="auto"/>
              </w:rPr>
            </w:pPr>
            <w:r>
              <w:rPr>
                <w:rFonts w:ascii="Times New Roman" w:cs="Times New Roman" w:eastAsia="Times New Roman" w:hAnsi="Times New Roman"/>
                <w:sz w:val="18"/>
                <w:szCs w:val="18"/>
                <w:color w:val="auto"/>
              </w:rPr>
              <w:t>Robin Singh</w:t>
            </w:r>
          </w:p>
        </w:tc>
        <w:tc>
          <w:tcPr>
            <w:tcW w:w="1360" w:type="dxa"/>
            <w:vAlign w:val="bottom"/>
            <w:shd w:val="clear" w:color="auto" w:fill="CCEEFF"/>
          </w:tcPr>
          <w:p>
            <w:pPr>
              <w:jc w:val="center"/>
              <w:ind w:left="76"/>
              <w:spacing w:after="0" w:line="192" w:lineRule="exact"/>
              <w:rPr>
                <w:sz w:val="20"/>
                <w:szCs w:val="20"/>
                <w:color w:val="auto"/>
              </w:rPr>
            </w:pPr>
            <w:r>
              <w:rPr>
                <w:rFonts w:ascii="Times New Roman" w:cs="Times New Roman" w:eastAsia="Times New Roman" w:hAnsi="Times New Roman"/>
                <w:sz w:val="18"/>
                <w:szCs w:val="18"/>
                <w:color w:val="auto"/>
                <w:w w:val="98"/>
              </w:rPr>
              <w:t>8/20/2025</w:t>
            </w:r>
          </w:p>
        </w:tc>
        <w:tc>
          <w:tcPr>
            <w:tcW w:w="1240" w:type="dxa"/>
            <w:vAlign w:val="bottom"/>
            <w:shd w:val="clear" w:color="auto" w:fill="CCEEFF"/>
          </w:tcPr>
          <w:p>
            <w:pPr>
              <w:jc w:val="center"/>
              <w:spacing w:after="0" w:line="192" w:lineRule="exact"/>
              <w:rPr>
                <w:sz w:val="20"/>
                <w:szCs w:val="20"/>
                <w:color w:val="auto"/>
              </w:rPr>
            </w:pPr>
            <w:r>
              <w:rPr>
                <w:rFonts w:ascii="Times New Roman" w:cs="Times New Roman" w:eastAsia="Times New Roman" w:hAnsi="Times New Roman"/>
                <w:sz w:val="18"/>
                <w:szCs w:val="18"/>
                <w:color w:val="auto"/>
                <w:w w:val="97"/>
              </w:rPr>
              <w:t>Adopt</w:t>
            </w:r>
          </w:p>
        </w:tc>
        <w:tc>
          <w:tcPr>
            <w:tcW w:w="1480" w:type="dxa"/>
            <w:vAlign w:val="bottom"/>
            <w:shd w:val="clear" w:color="auto" w:fill="CCEEFF"/>
          </w:tcPr>
          <w:p>
            <w:pPr>
              <w:jc w:val="center"/>
              <w:spacing w:after="0" w:line="192" w:lineRule="exact"/>
              <w:rPr>
                <w:sz w:val="20"/>
                <w:szCs w:val="20"/>
                <w:color w:val="auto"/>
              </w:rPr>
            </w:pPr>
            <w:r>
              <w:rPr>
                <w:rFonts w:ascii="Times New Roman" w:cs="Times New Roman" w:eastAsia="Times New Roman" w:hAnsi="Times New Roman"/>
                <w:sz w:val="18"/>
                <w:szCs w:val="18"/>
                <w:color w:val="auto"/>
                <w:w w:val="91"/>
              </w:rPr>
              <w:t>X</w:t>
            </w:r>
          </w:p>
        </w:tc>
        <w:tc>
          <w:tcPr>
            <w:tcW w:w="1580" w:type="dxa"/>
            <w:vAlign w:val="bottom"/>
            <w:shd w:val="clear" w:color="auto" w:fill="CCEEFF"/>
          </w:tcPr>
          <w:p>
            <w:pPr>
              <w:jc w:val="center"/>
              <w:ind w:left="54"/>
              <w:spacing w:after="0" w:line="192" w:lineRule="exact"/>
              <w:rPr>
                <w:sz w:val="20"/>
                <w:szCs w:val="20"/>
                <w:color w:val="auto"/>
              </w:rPr>
            </w:pPr>
            <w:r>
              <w:rPr>
                <w:rFonts w:ascii="Times New Roman" w:cs="Times New Roman" w:eastAsia="Times New Roman" w:hAnsi="Times New Roman"/>
                <w:sz w:val="18"/>
                <w:szCs w:val="18"/>
                <w:color w:val="auto"/>
                <w:w w:val="96"/>
              </w:rPr>
              <w:t>8/20/2025 to</w:t>
            </w:r>
          </w:p>
        </w:tc>
        <w:tc>
          <w:tcPr>
            <w:tcW w:w="2140" w:type="dxa"/>
            <w:vAlign w:val="bottom"/>
            <w:shd w:val="clear" w:color="auto" w:fill="CCEEFF"/>
          </w:tcPr>
          <w:p>
            <w:pPr>
              <w:jc w:val="center"/>
              <w:ind w:left="59"/>
              <w:spacing w:after="0" w:line="192" w:lineRule="exact"/>
              <w:rPr>
                <w:sz w:val="20"/>
                <w:szCs w:val="20"/>
                <w:color w:val="auto"/>
              </w:rPr>
            </w:pPr>
            <w:r>
              <w:rPr>
                <w:rFonts w:ascii="Times New Roman" w:cs="Times New Roman" w:eastAsia="Times New Roman" w:hAnsi="Times New Roman"/>
                <w:sz w:val="18"/>
                <w:szCs w:val="18"/>
                <w:color w:val="auto"/>
                <w:w w:val="98"/>
              </w:rPr>
              <w:t>Up to 2,500</w:t>
            </w:r>
          </w:p>
        </w:tc>
        <w:tc>
          <w:tcPr>
            <w:tcW w:w="0" w:type="dxa"/>
            <w:vAlign w:val="bottom"/>
          </w:tcPr>
          <w:p>
            <w:pPr>
              <w:spacing w:after="0"/>
              <w:rPr>
                <w:sz w:val="1"/>
                <w:szCs w:val="1"/>
                <w:color w:val="auto"/>
              </w:rPr>
            </w:pPr>
          </w:p>
        </w:tc>
      </w:tr>
      <w:tr>
        <w:trPr>
          <w:trHeight w:val="233"/>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Chief Supply Chain Officer</w:t>
            </w:r>
          </w:p>
        </w:tc>
        <w:tc>
          <w:tcPr>
            <w:tcW w:w="1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580" w:type="dxa"/>
            <w:vAlign w:val="bottom"/>
            <w:shd w:val="clear" w:color="auto" w:fill="CCEEFF"/>
          </w:tcPr>
          <w:p>
            <w:pPr>
              <w:jc w:val="center"/>
              <w:ind w:left="54"/>
              <w:spacing w:after="0"/>
              <w:rPr>
                <w:sz w:val="20"/>
                <w:szCs w:val="20"/>
                <w:color w:val="auto"/>
              </w:rPr>
            </w:pPr>
            <w:r>
              <w:rPr>
                <w:rFonts w:ascii="Times New Roman" w:cs="Times New Roman" w:eastAsia="Times New Roman" w:hAnsi="Times New Roman"/>
                <w:sz w:val="18"/>
                <w:szCs w:val="18"/>
                <w:color w:val="auto"/>
                <w:w w:val="98"/>
              </w:rPr>
              <w:t>8/20/2026</w:t>
            </w:r>
          </w:p>
        </w:tc>
        <w:tc>
          <w:tcPr>
            <w:tcW w:w="2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34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Contract, instruction, or written plan intended to satisfy the affirmative defense conditions of Rule 10b5-1(c) under the Exchange Act.</w:t>
      </w:r>
    </w:p>
    <w:p>
      <w:pPr>
        <w:spacing w:after="0" w:line="215" w:lineRule="exact"/>
        <w:rPr>
          <w:sz w:val="20"/>
          <w:szCs w:val="20"/>
          <w:color w:val="auto"/>
        </w:rPr>
      </w:pPr>
    </w:p>
    <w:p>
      <w:pPr>
        <w:ind w:left="80" w:right="3040"/>
        <w:spacing w:after="0" w:line="399"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3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69215</wp:posOffset>
            </wp:positionV>
            <wp:extent cx="716026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20"/>
          </w:cols>
          <w:pgMar w:left="240" w:top="333"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1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Information under the headings “Election of Directors,” “Corporate Governance - Board Meetings and Committees,” “Corporate Governance - Nomination Process for Election of Directors,” and “Security Ownership of Certain Stockholders - Delinquent Section 16(a) Reports” in our Proxy Statement for the 2026 Annual Meeting of Stockholders to be filed with the Securities and Exchange Commission within 120 days of the year ended September 30, 2025 (the “2026 Proxy Statement”) is hereby incorporated by reference.</w:t>
      </w:r>
    </w:p>
    <w:p>
      <w:pPr>
        <w:spacing w:after="0" w:line="7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Information regarding executive officers of the Company is included in the “Information about our Executive Officers” section under “Business” in Item 1 of this report.</w:t>
      </w:r>
    </w:p>
    <w:p>
      <w:pPr>
        <w:spacing w:after="0" w:line="5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Company has adopted a code of ethics, our Code of Conduct, applicable to our directors, officers and employees, which sets forth the Company’s expectations for the conduct of business by our directors, officers and employees. The Code of Conduct is available on the Company’s website at www.bellring.com. In the event the Company amends the Code of Conduct or waivers of compliance are granted and it is determined that such amendments or waivers are subject to the disclosure provisions of Item 5.05 of Form 8-K, the Company will post such amendments or waivers on its website or in a report on Form 8-K.</w:t>
      </w:r>
    </w:p>
    <w:p>
      <w:pPr>
        <w:spacing w:after="0" w:line="18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13"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information required by this Item, appearing under the headings “Compensation of Officers and Directors,” “Compensation Committee Interlocks and Insider Participation” and “Corporate Governance and Compensation Committee Report” in the 2026 Proxy Statement, is hereby incorporated by reference. The information contained in “Corporate Governance and Compensation Committee Report” in the 2026 Proxy Statement shall not be deemed to be “filed” with the Securities and Exchange Commission or subject to the liabilities of the Securities Exchange Act of 1934, as amended (the “Exchange Act”), except to the extent that the Company specifically incorporates such information into a document filed under the Securities Act of 1933, as amended, or the Exchange Act.</w:t>
      </w:r>
    </w:p>
    <w:p>
      <w:pPr>
        <w:spacing w:after="0" w:line="183" w:lineRule="exact"/>
        <w:rPr>
          <w:sz w:val="20"/>
          <w:szCs w:val="20"/>
          <w:color w:val="auto"/>
        </w:rPr>
      </w:pPr>
    </w:p>
    <w:p>
      <w:pPr>
        <w:ind w:right="620"/>
        <w:spacing w:after="0" w:line="27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56"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information required by this Item, appearing under the headings “Security Ownership of Certain Stockholders” and “Compensation of Officers and Directors - Equity Compensation Plan Information” in the 2026 Proxy Statement, is hereby incorporated by reference.</w:t>
      </w:r>
    </w:p>
    <w:p>
      <w:pPr>
        <w:spacing w:after="0" w:line="16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13"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information required by this Item, appearing under the headings “Certain Relationships and Related Transactions” and “Corporate Governance - Director Independence and Role of the Independent Lead Director” in the 2026 Proxy Statement, is hereby incorporated by reference.</w:t>
      </w:r>
    </w:p>
    <w:p>
      <w:pPr>
        <w:spacing w:after="0" w:line="16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113"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information required by this Item, appearing under the heading “Ratification of Appointment of Independent Registered Public Accounting Firm” in the 2026 Proxy Statement, is hereby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 filed as a part of this report:</w:t>
      </w:r>
    </w:p>
    <w:p>
      <w:pPr>
        <w:spacing w:after="0" w:line="111" w:lineRule="exact"/>
        <w:rPr>
          <w:sz w:val="20"/>
          <w:szCs w:val="20"/>
          <w:color w:val="auto"/>
        </w:rPr>
      </w:pPr>
    </w:p>
    <w:p>
      <w:pPr>
        <w:ind w:left="960" w:hanging="477"/>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The following are filed as a part of this document under Item 8.</w:t>
      </w:r>
    </w:p>
    <w:p>
      <w:pPr>
        <w:spacing w:after="0" w:line="111"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of Independent Registered Public Accounting Firm</w:t>
      </w:r>
    </w:p>
    <w:p>
      <w:pPr>
        <w:spacing w:after="0" w:line="111"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Operations for the years ended September 30, 2025, 2024 and 2023</w:t>
      </w:r>
    </w:p>
    <w:p>
      <w:pPr>
        <w:spacing w:after="0" w:line="111"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Comprehensive Income for the years ended September 30, 2025, 2024 and 2023</w:t>
      </w:r>
    </w:p>
    <w:p>
      <w:pPr>
        <w:spacing w:after="0" w:line="111"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Balance Sheets at September 30, 2025 and 2024</w:t>
      </w:r>
    </w:p>
    <w:p>
      <w:pPr>
        <w:spacing w:after="0" w:line="111"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Cash Flows for the years ended September 30, 2025, 2024 and 2023</w:t>
      </w:r>
    </w:p>
    <w:p>
      <w:pPr>
        <w:spacing w:after="0" w:line="111"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Stockholders’ Deficit for the years ended September 30, 2025, 2024 and 2023</w:t>
      </w:r>
    </w:p>
    <w:p>
      <w:pPr>
        <w:spacing w:after="0" w:line="111"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to Consolidated Financial Statements</w:t>
      </w:r>
    </w:p>
    <w:p>
      <w:pPr>
        <w:spacing w:after="0" w:line="111" w:lineRule="exact"/>
        <w:rPr>
          <w:rFonts w:ascii="Times New Roman" w:cs="Times New Roman" w:eastAsia="Times New Roman" w:hAnsi="Times New Roman"/>
          <w:sz w:val="18"/>
          <w:szCs w:val="18"/>
          <w:color w:val="auto"/>
        </w:rPr>
      </w:pPr>
    </w:p>
    <w:p>
      <w:pPr>
        <w:ind w:left="960" w:hanging="477"/>
        <w:spacing w:after="0" w:line="274" w:lineRule="auto"/>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 Schedules</w:t>
      </w:r>
      <w:r>
        <w:rPr>
          <w:rFonts w:ascii="Times New Roman" w:cs="Times New Roman" w:eastAsia="Times New Roman" w:hAnsi="Times New Roman"/>
          <w:sz w:val="18"/>
          <w:szCs w:val="18"/>
          <w:color w:val="auto"/>
        </w:rPr>
        <w:t>. None. Schedules not included have been omitted because they are not applicable or not material or the required information is shown in the financial statements or notes thereto.</w:t>
      </w:r>
    </w:p>
    <w:p>
      <w:pPr>
        <w:spacing w:after="0" w:line="57" w:lineRule="exact"/>
        <w:rPr>
          <w:rFonts w:ascii="Times New Roman" w:cs="Times New Roman" w:eastAsia="Times New Roman" w:hAnsi="Times New Roman"/>
          <w:sz w:val="18"/>
          <w:szCs w:val="18"/>
          <w:color w:val="auto"/>
        </w:rPr>
      </w:pPr>
    </w:p>
    <w:p>
      <w:pPr>
        <w:ind w:left="960" w:hanging="477"/>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 See the following 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3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9080" w:type="dxa"/>
            <w:vAlign w:val="bottom"/>
            <w:gridSpan w:val="41"/>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81"/>
        </w:trPr>
        <w:tc>
          <w:tcPr>
            <w:tcW w:w="1100" w:type="dxa"/>
            <w:vAlign w:val="bottom"/>
            <w:tcBorders>
              <w:top w:val="single" w:sz="8" w:color="auto"/>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95"/>
              </w:rPr>
              <w:t>*2.1</w:t>
            </w:r>
          </w:p>
        </w:tc>
        <w:tc>
          <w:tcPr>
            <w:tcW w:w="220" w:type="dxa"/>
            <w:vAlign w:val="bottom"/>
            <w:tcBorders>
              <w:top w:val="single" w:sz="8" w:color="CCEEFF"/>
              <w:right w:val="single" w:sz="8" w:color="CCEEFF"/>
            </w:tcBorders>
            <w:shd w:val="clear" w:color="auto" w:fill="CCEEFF"/>
          </w:tcPr>
          <w:p>
            <w:pPr>
              <w:spacing w:after="0"/>
              <w:rPr>
                <w:sz w:val="15"/>
                <w:szCs w:val="15"/>
                <w:color w:val="auto"/>
              </w:rPr>
            </w:pPr>
          </w:p>
        </w:tc>
        <w:tc>
          <w:tcPr>
            <w:tcW w:w="9080" w:type="dxa"/>
            <w:vAlign w:val="bottom"/>
            <w:tcBorders>
              <w:top w:val="single" w:sz="8" w:color="auto"/>
            </w:tcBorders>
            <w:gridSpan w:val="41"/>
            <w:shd w:val="clear" w:color="auto" w:fill="CCEEFF"/>
          </w:tcPr>
          <w:p>
            <w:pPr>
              <w:spacing w:after="0" w:line="182" w:lineRule="exact"/>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Transaction Agreement and Plan of Merger, dated as of October 26, 2021, by and among Post Holdings, Inc., BellRing</w:t>
              </w:r>
            </w:hyperlink>
          </w:p>
        </w:tc>
      </w:tr>
      <w:tr>
        <w:trPr>
          <w:trHeight w:val="152"/>
        </w:trPr>
        <w:tc>
          <w:tcPr>
            <w:tcW w:w="1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right w:val="single" w:sz="8" w:color="CCEEFF"/>
            </w:tcBorders>
            <w:shd w:val="clear" w:color="auto" w:fill="CCEEFF"/>
          </w:tcPr>
          <w:p>
            <w:pPr>
              <w:spacing w:after="0"/>
              <w:rPr>
                <w:sz w:val="13"/>
                <w:szCs w:val="13"/>
                <w:color w:val="auto"/>
              </w:rPr>
            </w:pPr>
          </w:p>
        </w:tc>
        <w:tc>
          <w:tcPr>
            <w:tcW w:w="8400" w:type="dxa"/>
            <w:vAlign w:val="bottom"/>
            <w:tcBorders>
              <w:top w:val="single" w:sz="8" w:color="0000FF"/>
            </w:tcBorders>
            <w:gridSpan w:val="22"/>
            <w:shd w:val="clear" w:color="auto" w:fill="CCEEFF"/>
          </w:tcPr>
          <w:p>
            <w:pPr>
              <w:spacing w:after="0" w:line="152" w:lineRule="exact"/>
              <w:rPr>
                <w:rFonts w:ascii="Times New Roman" w:cs="Times New Roman" w:eastAsia="Times New Roman" w:hAnsi="Times New Roman"/>
                <w:sz w:val="17"/>
                <w:szCs w:val="17"/>
                <w:color w:val="0000FF"/>
              </w:rPr>
            </w:pPr>
            <w:hyperlink r:id="rId88">
              <w:r>
                <w:rPr>
                  <w:rFonts w:ascii="Times New Roman" w:cs="Times New Roman" w:eastAsia="Times New Roman" w:hAnsi="Times New Roman"/>
                  <w:sz w:val="17"/>
                  <w:szCs w:val="17"/>
                  <w:color w:val="0000FF"/>
                </w:rPr>
                <w:t>Brands, Inc., BellRing Distribution, LLC and BellRing Merger Sub Corporation (Incorporated by reference to Exhibit</w:t>
              </w:r>
            </w:hyperlink>
          </w:p>
        </w:tc>
        <w:tc>
          <w:tcPr>
            <w:tcW w:w="680" w:type="dxa"/>
            <w:vAlign w:val="bottom"/>
            <w:tcBorders>
              <w:top w:val="single" w:sz="8" w:color="CCEEFF"/>
            </w:tcBorders>
            <w:gridSpan w:val="19"/>
            <w:shd w:val="clear" w:color="auto" w:fill="CCEEFF"/>
          </w:tcPr>
          <w:p>
            <w:pPr>
              <w:jc w:val="center"/>
              <w:ind w:right="300"/>
              <w:spacing w:after="0" w:line="152" w:lineRule="exact"/>
              <w:rPr>
                <w:rFonts w:ascii="Times New Roman" w:cs="Times New Roman" w:eastAsia="Times New Roman" w:hAnsi="Times New Roman"/>
                <w:sz w:val="17"/>
                <w:szCs w:val="17"/>
                <w:color w:val="0000FF"/>
                <w:w w:val="97"/>
              </w:rPr>
            </w:pPr>
            <w:hyperlink r:id="rId88">
              <w:r>
                <w:rPr>
                  <w:rFonts w:ascii="Times New Roman" w:cs="Times New Roman" w:eastAsia="Times New Roman" w:hAnsi="Times New Roman"/>
                  <w:sz w:val="17"/>
                  <w:szCs w:val="17"/>
                  <w:color w:val="0000FF"/>
                  <w:w w:val="97"/>
                </w:rPr>
                <w:t>2.1 to</w:t>
              </w:r>
            </w:hyperlink>
          </w:p>
        </w:tc>
      </w:tr>
      <w:tr>
        <w:trPr>
          <w:trHeight w:val="185"/>
        </w:trPr>
        <w:tc>
          <w:tcPr>
            <w:tcW w:w="1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3740" w:type="dxa"/>
            <w:vAlign w:val="bottom"/>
            <w:tcBorders>
              <w:top w:val="single" w:sz="8" w:color="0000FF"/>
              <w:bottom w:val="single" w:sz="8" w:color="0000FF"/>
            </w:tcBorders>
            <w:gridSpan w:val="15"/>
            <w:shd w:val="clear" w:color="auto" w:fill="CCEEFF"/>
          </w:tcPr>
          <w:p>
            <w:pPr>
              <w:spacing w:after="0" w:line="165" w:lineRule="exact"/>
              <w:rPr>
                <w:rFonts w:ascii="Times New Roman" w:cs="Times New Roman" w:eastAsia="Times New Roman" w:hAnsi="Times New Roman"/>
                <w:sz w:val="18"/>
                <w:szCs w:val="18"/>
                <w:color w:val="0000FF"/>
                <w:w w:val="97"/>
              </w:rPr>
            </w:pPr>
            <w:hyperlink r:id="rId88">
              <w:r>
                <w:rPr>
                  <w:rFonts w:ascii="Times New Roman" w:cs="Times New Roman" w:eastAsia="Times New Roman" w:hAnsi="Times New Roman"/>
                  <w:sz w:val="18"/>
                  <w:szCs w:val="18"/>
                  <w:color w:val="0000FF"/>
                  <w:w w:val="97"/>
                </w:rPr>
                <w:t>the Company’s Form 8-K filed on October 27, 2021)</w:t>
              </w:r>
            </w:hyperlink>
          </w:p>
        </w:tc>
        <w:tc>
          <w:tcPr>
            <w:tcW w:w="5040" w:type="dxa"/>
            <w:vAlign w:val="bottom"/>
            <w:tcBorders>
              <w:top w:val="single" w:sz="8" w:color="0000FF"/>
              <w:bottom w:val="single" w:sz="8" w:color="CCEEFF"/>
            </w:tcBorders>
            <w:gridSpan w:val="15"/>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6"/>
        </w:trPr>
        <w:tc>
          <w:tcPr>
            <w:tcW w:w="110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color w:val="auto"/>
                <w:w w:val="97"/>
              </w:rPr>
              <w:t>2.2</w:t>
            </w:r>
          </w:p>
        </w:tc>
        <w:tc>
          <w:tcPr>
            <w:tcW w:w="220" w:type="dxa"/>
            <w:vAlign w:val="bottom"/>
          </w:tcPr>
          <w:p>
            <w:pPr>
              <w:spacing w:after="0"/>
              <w:rPr>
                <w:sz w:val="16"/>
                <w:szCs w:val="16"/>
                <w:color w:val="auto"/>
              </w:rPr>
            </w:pPr>
          </w:p>
        </w:tc>
        <w:tc>
          <w:tcPr>
            <w:tcW w:w="9080" w:type="dxa"/>
            <w:vAlign w:val="bottom"/>
            <w:gridSpan w:val="41"/>
          </w:tcPr>
          <w:p>
            <w:pPr>
              <w:spacing w:after="0" w:line="186" w:lineRule="exact"/>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Amendment No. 1 to Transaction Agreement and Plan of Merger, dated as of February 28, 2022, by and among Post</w:t>
              </w:r>
            </w:hyperlink>
          </w:p>
        </w:tc>
      </w:tr>
      <w:tr>
        <w:trPr>
          <w:trHeight w:val="152"/>
        </w:trPr>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20" w:type="dxa"/>
            <w:vAlign w:val="bottom"/>
            <w:tcBorders>
              <w:top w:val="single" w:sz="8" w:color="0000FF"/>
            </w:tcBorders>
            <w:gridSpan w:val="20"/>
          </w:tcPr>
          <w:p>
            <w:pPr>
              <w:spacing w:after="0" w:line="152" w:lineRule="exact"/>
              <w:rPr>
                <w:rFonts w:ascii="Times New Roman" w:cs="Times New Roman" w:eastAsia="Times New Roman" w:hAnsi="Times New Roman"/>
                <w:sz w:val="17"/>
                <w:szCs w:val="17"/>
                <w:color w:val="0000FF"/>
              </w:rPr>
            </w:pPr>
            <w:hyperlink r:id="rId89">
              <w:r>
                <w:rPr>
                  <w:rFonts w:ascii="Times New Roman" w:cs="Times New Roman" w:eastAsia="Times New Roman" w:hAnsi="Times New Roman"/>
                  <w:sz w:val="17"/>
                  <w:szCs w:val="17"/>
                  <w:color w:val="0000FF"/>
                </w:rPr>
                <w:t>Holdings, Inc., BellRing Brands, Inc., BellRing Distribution, LLC and BellRing Merger Sub Corporation (Incorporated</w:t>
              </w:r>
            </w:hyperlink>
          </w:p>
        </w:tc>
        <w:tc>
          <w:tcPr>
            <w:tcW w:w="10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660" w:type="dxa"/>
            <w:vAlign w:val="bottom"/>
            <w:gridSpan w:val="18"/>
          </w:tcPr>
          <w:p>
            <w:pPr>
              <w:jc w:val="center"/>
              <w:ind w:right="360"/>
              <w:spacing w:after="0" w:line="152" w:lineRule="exact"/>
              <w:rPr>
                <w:rFonts w:ascii="Times New Roman" w:cs="Times New Roman" w:eastAsia="Times New Roman" w:hAnsi="Times New Roman"/>
                <w:sz w:val="17"/>
                <w:szCs w:val="17"/>
                <w:color w:val="0000FF"/>
              </w:rPr>
            </w:pPr>
            <w:hyperlink r:id="rId89">
              <w:r>
                <w:rPr>
                  <w:rFonts w:ascii="Times New Roman" w:cs="Times New Roman" w:eastAsia="Times New Roman" w:hAnsi="Times New Roman"/>
                  <w:sz w:val="17"/>
                  <w:szCs w:val="17"/>
                  <w:color w:val="0000FF"/>
                </w:rPr>
                <w:t>by</w:t>
              </w:r>
            </w:hyperlink>
          </w:p>
        </w:tc>
      </w:tr>
      <w:tr>
        <w:trPr>
          <w:trHeight w:val="175"/>
        </w:trPr>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700" w:type="dxa"/>
            <w:vAlign w:val="bottom"/>
            <w:tcBorders>
              <w:top w:val="single" w:sz="8" w:color="0000FF"/>
              <w:bottom w:val="single" w:sz="8" w:color="0000FF"/>
            </w:tcBorders>
            <w:gridSpan w:val="17"/>
          </w:tcPr>
          <w:p>
            <w:pPr>
              <w:spacing w:after="0" w:line="165" w:lineRule="exact"/>
              <w:rPr>
                <w:rFonts w:ascii="Times New Roman" w:cs="Times New Roman" w:eastAsia="Times New Roman" w:hAnsi="Times New Roman"/>
                <w:sz w:val="18"/>
                <w:szCs w:val="18"/>
                <w:color w:val="0000FF"/>
                <w:w w:val="97"/>
              </w:rPr>
            </w:pPr>
            <w:hyperlink r:id="rId89">
              <w:r>
                <w:rPr>
                  <w:rFonts w:ascii="Times New Roman" w:cs="Times New Roman" w:eastAsia="Times New Roman" w:hAnsi="Times New Roman"/>
                  <w:sz w:val="18"/>
                  <w:szCs w:val="18"/>
                  <w:color w:val="0000FF"/>
                  <w:w w:val="97"/>
                </w:rPr>
                <w:t>reference to Exhibit 2.1 to the Company’s Form 8-K filed on February 28, 2022)</w:t>
              </w:r>
            </w:hyperlink>
          </w:p>
        </w:tc>
        <w:tc>
          <w:tcPr>
            <w:tcW w:w="2960" w:type="dxa"/>
            <w:vAlign w:val="bottom"/>
            <w:tcBorders>
              <w:top w:val="single" w:sz="8" w:color="0000FF"/>
            </w:tcBorders>
            <w:gridSpan w:val="9"/>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5"/>
        </w:trPr>
        <w:tc>
          <w:tcPr>
            <w:tcW w:w="1100" w:type="dxa"/>
            <w:vAlign w:val="bottom"/>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97"/>
              </w:rPr>
              <w:t>3.1</w:t>
            </w:r>
          </w:p>
        </w:tc>
        <w:tc>
          <w:tcPr>
            <w:tcW w:w="220" w:type="dxa"/>
            <w:vAlign w:val="bottom"/>
            <w:tcBorders>
              <w:right w:val="single" w:sz="8" w:color="CCEEFF"/>
            </w:tcBorders>
            <w:shd w:val="clear" w:color="auto" w:fill="CCEEFF"/>
          </w:tcPr>
          <w:p>
            <w:pPr>
              <w:spacing w:after="0"/>
              <w:rPr>
                <w:sz w:val="16"/>
                <w:szCs w:val="16"/>
                <w:color w:val="auto"/>
              </w:rPr>
            </w:pPr>
          </w:p>
        </w:tc>
        <w:tc>
          <w:tcPr>
            <w:tcW w:w="9080" w:type="dxa"/>
            <w:vAlign w:val="bottom"/>
            <w:gridSpan w:val="41"/>
            <w:shd w:val="clear" w:color="auto" w:fill="CCEEFF"/>
          </w:tcPr>
          <w:p>
            <w:pPr>
              <w:spacing w:after="0" w:line="195" w:lineRule="exact"/>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BellRing Brands, Inc. Restated Certificate of Incorporation (Incorporated by reference to Exhibit 3.1 to the Company’s Form</w:t>
              </w:r>
            </w:hyperlink>
          </w:p>
        </w:tc>
      </w:tr>
      <w:tr>
        <w:trPr>
          <w:trHeight w:val="185"/>
        </w:trPr>
        <w:tc>
          <w:tcPr>
            <w:tcW w:w="1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2180" w:type="dxa"/>
            <w:vAlign w:val="bottom"/>
            <w:tcBorders>
              <w:top w:val="single" w:sz="8" w:color="0000FF"/>
              <w:bottom w:val="single" w:sz="8" w:color="0000FF"/>
            </w:tcBorders>
            <w:gridSpan w:val="9"/>
            <w:shd w:val="clear" w:color="auto" w:fill="CCEEFF"/>
          </w:tcPr>
          <w:p>
            <w:pPr>
              <w:spacing w:after="0" w:line="152" w:lineRule="exact"/>
              <w:rPr>
                <w:rFonts w:ascii="Times New Roman" w:cs="Times New Roman" w:eastAsia="Times New Roman" w:hAnsi="Times New Roman"/>
                <w:sz w:val="17"/>
                <w:szCs w:val="17"/>
                <w:color w:val="0000FF"/>
              </w:rPr>
            </w:pPr>
            <w:hyperlink r:id="rId90">
              <w:r>
                <w:rPr>
                  <w:rFonts w:ascii="Times New Roman" w:cs="Times New Roman" w:eastAsia="Times New Roman" w:hAnsi="Times New Roman"/>
                  <w:sz w:val="17"/>
                  <w:szCs w:val="17"/>
                  <w:color w:val="0000FF"/>
                </w:rPr>
                <w:t>8-K filed on January 31, 2025)</w:t>
              </w:r>
            </w:hyperlink>
          </w:p>
        </w:tc>
        <w:tc>
          <w:tcPr>
            <w:tcW w:w="6780" w:type="dxa"/>
            <w:vAlign w:val="bottom"/>
            <w:tcBorders>
              <w:top w:val="single" w:sz="8" w:color="0000FF"/>
              <w:bottom w:val="single" w:sz="8" w:color="CCEEFF"/>
            </w:tcBorders>
            <w:gridSpan w:val="26"/>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6"/>
        </w:trPr>
        <w:tc>
          <w:tcPr>
            <w:tcW w:w="110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color w:val="auto"/>
                <w:w w:val="97"/>
              </w:rPr>
              <w:t>3.2</w:t>
            </w:r>
          </w:p>
        </w:tc>
        <w:tc>
          <w:tcPr>
            <w:tcW w:w="220" w:type="dxa"/>
            <w:vAlign w:val="bottom"/>
          </w:tcPr>
          <w:p>
            <w:pPr>
              <w:spacing w:after="0"/>
              <w:rPr>
                <w:sz w:val="16"/>
                <w:szCs w:val="16"/>
                <w:color w:val="auto"/>
              </w:rPr>
            </w:pPr>
          </w:p>
        </w:tc>
        <w:tc>
          <w:tcPr>
            <w:tcW w:w="9080" w:type="dxa"/>
            <w:vAlign w:val="bottom"/>
            <w:gridSpan w:val="41"/>
          </w:tcPr>
          <w:p>
            <w:pPr>
              <w:spacing w:after="0" w:line="186" w:lineRule="exact"/>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BellRing Brands, Inc. amended and restated Bylaws (Incorporated by reference to Exhibit 3.2 to the Company’s Form 8-K</w:t>
              </w:r>
            </w:hyperlink>
          </w:p>
        </w:tc>
      </w:tr>
      <w:tr>
        <w:trPr>
          <w:trHeight w:val="152"/>
        </w:trPr>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980" w:type="dxa"/>
            <w:vAlign w:val="bottom"/>
            <w:tcBorders>
              <w:top w:val="single" w:sz="8" w:color="0000FF"/>
            </w:tcBorders>
            <w:gridSpan w:val="36"/>
          </w:tcPr>
          <w:p>
            <w:pPr>
              <w:spacing w:after="0" w:line="152" w:lineRule="exact"/>
              <w:rPr>
                <w:rFonts w:ascii="Times New Roman" w:cs="Times New Roman" w:eastAsia="Times New Roman" w:hAnsi="Times New Roman"/>
                <w:sz w:val="17"/>
                <w:szCs w:val="17"/>
                <w:color w:val="0000FF"/>
              </w:rPr>
            </w:pPr>
            <w:hyperlink r:id="rId91">
              <w:r>
                <w:rPr>
                  <w:rFonts w:ascii="Times New Roman" w:cs="Times New Roman" w:eastAsia="Times New Roman" w:hAnsi="Times New Roman"/>
                  <w:sz w:val="17"/>
                  <w:szCs w:val="17"/>
                  <w:color w:val="0000FF"/>
                </w:rPr>
                <w:t>filed on January 31, 2025)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
        </w:trPr>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5"/>
        </w:trPr>
        <w:tc>
          <w:tcPr>
            <w:tcW w:w="1100" w:type="dxa"/>
            <w:vAlign w:val="bottom"/>
            <w:shd w:val="clear" w:color="auto" w:fill="CCEEFF"/>
          </w:tcPr>
          <w:p>
            <w:pPr>
              <w:jc w:val="center"/>
              <w:spacing w:after="0" w:line="186" w:lineRule="exact"/>
              <w:rPr>
                <w:sz w:val="20"/>
                <w:szCs w:val="20"/>
                <w:color w:val="auto"/>
              </w:rPr>
            </w:pPr>
            <w:r>
              <w:rPr>
                <w:rFonts w:ascii="Times New Roman" w:cs="Times New Roman" w:eastAsia="Times New Roman" w:hAnsi="Times New Roman"/>
                <w:sz w:val="18"/>
                <w:szCs w:val="18"/>
                <w:color w:val="auto"/>
                <w:w w:val="95"/>
              </w:rPr>
              <w:t>*4.1</w:t>
            </w:r>
          </w:p>
        </w:tc>
        <w:tc>
          <w:tcPr>
            <w:tcW w:w="220" w:type="dxa"/>
            <w:vAlign w:val="bottom"/>
            <w:tcBorders>
              <w:right w:val="single" w:sz="8" w:color="CCEEFF"/>
            </w:tcBorders>
            <w:shd w:val="clear" w:color="auto" w:fill="CCEEFF"/>
          </w:tcPr>
          <w:p>
            <w:pPr>
              <w:spacing w:after="0"/>
              <w:rPr>
                <w:sz w:val="16"/>
                <w:szCs w:val="16"/>
                <w:color w:val="auto"/>
              </w:rPr>
            </w:pPr>
          </w:p>
        </w:tc>
        <w:tc>
          <w:tcPr>
            <w:tcW w:w="9080" w:type="dxa"/>
            <w:vAlign w:val="bottom"/>
            <w:gridSpan w:val="41"/>
            <w:shd w:val="clear" w:color="auto" w:fill="CCEEFF"/>
          </w:tcPr>
          <w:p>
            <w:pPr>
              <w:spacing w:after="0" w:line="186" w:lineRule="exact"/>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Indenture, dated March 10, 2022, by and among BellRing Brands, Inc. (formerly BellRing Distribution, LLC) and</w:t>
              </w:r>
            </w:hyperlink>
          </w:p>
        </w:tc>
      </w:tr>
      <w:tr>
        <w:trPr>
          <w:trHeight w:val="152"/>
        </w:trPr>
        <w:tc>
          <w:tcPr>
            <w:tcW w:w="1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right w:val="single" w:sz="8" w:color="CCEEFF"/>
            </w:tcBorders>
            <w:shd w:val="clear" w:color="auto" w:fill="CCEEFF"/>
          </w:tcPr>
          <w:p>
            <w:pPr>
              <w:spacing w:after="0"/>
              <w:rPr>
                <w:sz w:val="13"/>
                <w:szCs w:val="13"/>
                <w:color w:val="auto"/>
              </w:rPr>
            </w:pPr>
          </w:p>
        </w:tc>
        <w:tc>
          <w:tcPr>
            <w:tcW w:w="9060" w:type="dxa"/>
            <w:vAlign w:val="bottom"/>
            <w:tcBorders>
              <w:top w:val="single" w:sz="8" w:color="0000FF"/>
            </w:tcBorders>
            <w:gridSpan w:val="40"/>
            <w:shd w:val="clear" w:color="auto" w:fill="CCEEFF"/>
          </w:tcPr>
          <w:p>
            <w:pPr>
              <w:spacing w:after="0" w:line="152" w:lineRule="exact"/>
              <w:rPr>
                <w:rFonts w:ascii="Times New Roman" w:cs="Times New Roman" w:eastAsia="Times New Roman" w:hAnsi="Times New Roman"/>
                <w:sz w:val="17"/>
                <w:szCs w:val="17"/>
                <w:color w:val="0000FF"/>
              </w:rPr>
            </w:pPr>
            <w:hyperlink r:id="rId92">
              <w:r>
                <w:rPr>
                  <w:rFonts w:ascii="Times New Roman" w:cs="Times New Roman" w:eastAsia="Times New Roman" w:hAnsi="Times New Roman"/>
                  <w:sz w:val="17"/>
                  <w:szCs w:val="17"/>
                  <w:color w:val="0000FF"/>
                </w:rPr>
                <w:t>Computershare Trust Company, N.A., as trustee (Incorporated by reference to Exhibit 4.1 to the Company’s Second Form 8-K</w:t>
              </w:r>
            </w:hyperlink>
          </w:p>
        </w:tc>
        <w:tc>
          <w:tcPr>
            <w:tcW w:w="20" w:type="dxa"/>
            <w:vAlign w:val="bottom"/>
            <w:tcBorders>
              <w:top w:val="single" w:sz="8" w:color="CCEEFF"/>
            </w:tcBorders>
            <w:shd w:val="clear" w:color="auto" w:fill="CCEEFF"/>
          </w:tcPr>
          <w:p>
            <w:pPr>
              <w:spacing w:after="0"/>
              <w:rPr>
                <w:sz w:val="13"/>
                <w:szCs w:val="13"/>
                <w:color w:val="auto"/>
              </w:rPr>
            </w:pPr>
          </w:p>
        </w:tc>
      </w:tr>
      <w:tr>
        <w:trPr>
          <w:trHeight w:val="185"/>
        </w:trPr>
        <w:tc>
          <w:tcPr>
            <w:tcW w:w="1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1780" w:type="dxa"/>
            <w:vAlign w:val="bottom"/>
            <w:tcBorders>
              <w:top w:val="single" w:sz="8" w:color="0000FF"/>
              <w:bottom w:val="single" w:sz="8" w:color="0000FF"/>
            </w:tcBorders>
            <w:gridSpan w:val="6"/>
            <w:shd w:val="clear" w:color="auto" w:fill="CCEEFF"/>
          </w:tcPr>
          <w:p>
            <w:pPr>
              <w:spacing w:after="0" w:line="165" w:lineRule="exact"/>
              <w:rPr>
                <w:rFonts w:ascii="Times New Roman" w:cs="Times New Roman" w:eastAsia="Times New Roman" w:hAnsi="Times New Roman"/>
                <w:sz w:val="18"/>
                <w:szCs w:val="18"/>
                <w:color w:val="0000FF"/>
                <w:w w:val="97"/>
              </w:rPr>
            </w:pPr>
            <w:hyperlink r:id="rId92">
              <w:r>
                <w:rPr>
                  <w:rFonts w:ascii="Times New Roman" w:cs="Times New Roman" w:eastAsia="Times New Roman" w:hAnsi="Times New Roman"/>
                  <w:sz w:val="18"/>
                  <w:szCs w:val="18"/>
                  <w:color w:val="0000FF"/>
                  <w:w w:val="97"/>
                </w:rPr>
                <w:t>filed on March 10, 2022)</w:t>
              </w:r>
            </w:hyperlink>
          </w:p>
        </w:tc>
        <w:tc>
          <w:tcPr>
            <w:tcW w:w="7240" w:type="dxa"/>
            <w:vAlign w:val="bottom"/>
            <w:tcBorders>
              <w:top w:val="single" w:sz="8" w:color="0000FF"/>
              <w:bottom w:val="single" w:sz="8" w:color="CCEEFF"/>
            </w:tcBorders>
            <w:gridSpan w:val="3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r>
      <w:tr>
        <w:trPr>
          <w:trHeight w:val="186"/>
        </w:trPr>
        <w:tc>
          <w:tcPr>
            <w:tcW w:w="110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color w:val="auto"/>
                <w:w w:val="97"/>
              </w:rPr>
              <w:t>4.2</w:t>
            </w:r>
          </w:p>
        </w:tc>
        <w:tc>
          <w:tcPr>
            <w:tcW w:w="220" w:type="dxa"/>
            <w:vAlign w:val="bottom"/>
          </w:tcPr>
          <w:p>
            <w:pPr>
              <w:spacing w:after="0"/>
              <w:rPr>
                <w:sz w:val="16"/>
                <w:szCs w:val="16"/>
                <w:color w:val="auto"/>
              </w:rPr>
            </w:pPr>
          </w:p>
        </w:tc>
        <w:tc>
          <w:tcPr>
            <w:tcW w:w="9080" w:type="dxa"/>
            <w:vAlign w:val="bottom"/>
            <w:gridSpan w:val="41"/>
          </w:tcPr>
          <w:p>
            <w:pPr>
              <w:spacing w:after="0" w:line="186" w:lineRule="exact"/>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Form of Note (Incorporated by reference to Exhibit A to Exhibit 4.1 to the Company’s Second Form 8-K filed on March 10,</w:t>
              </w:r>
            </w:hyperlink>
          </w:p>
        </w:tc>
      </w:tr>
      <w:tr>
        <w:trPr>
          <w:trHeight w:val="152"/>
        </w:trPr>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Borders>
              <w:top w:val="single" w:sz="8" w:color="0000FF"/>
            </w:tcBorders>
            <w:gridSpan w:val="2"/>
          </w:tcPr>
          <w:p>
            <w:pPr>
              <w:spacing w:after="0" w:line="152" w:lineRule="exact"/>
              <w:rPr>
                <w:rFonts w:ascii="Times New Roman" w:cs="Times New Roman" w:eastAsia="Times New Roman" w:hAnsi="Times New Roman"/>
                <w:sz w:val="17"/>
                <w:szCs w:val="17"/>
                <w:color w:val="0000FF"/>
              </w:rPr>
            </w:pPr>
            <w:hyperlink r:id="rId92">
              <w:r>
                <w:rPr>
                  <w:rFonts w:ascii="Times New Roman" w:cs="Times New Roman" w:eastAsia="Times New Roman" w:hAnsi="Times New Roman"/>
                  <w:sz w:val="17"/>
                  <w:szCs w:val="17"/>
                  <w:color w:val="0000FF"/>
                </w:rPr>
                <w:t>2022)</w:t>
              </w:r>
            </w:hyperlink>
          </w:p>
        </w:tc>
        <w:tc>
          <w:tcPr>
            <w:tcW w:w="7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1500" w:type="dxa"/>
            <w:vAlign w:val="bottom"/>
            <w:tcBorders>
              <w:top w:val="single" w:sz="8" w:color="0000FF"/>
            </w:tcBorders>
          </w:tcPr>
          <w:p>
            <w:pPr>
              <w:spacing w:after="0"/>
              <w:rPr>
                <w:sz w:val="13"/>
                <w:szCs w:val="13"/>
                <w:color w:val="auto"/>
              </w:rPr>
            </w:pPr>
          </w:p>
        </w:tc>
        <w:tc>
          <w:tcPr>
            <w:tcW w:w="1540" w:type="dxa"/>
            <w:vAlign w:val="bottom"/>
            <w:tcBorders>
              <w:top w:val="single" w:sz="8" w:color="0000FF"/>
            </w:tcBorders>
          </w:tcPr>
          <w:p>
            <w:pPr>
              <w:spacing w:after="0"/>
              <w:rPr>
                <w:sz w:val="13"/>
                <w:szCs w:val="13"/>
                <w:color w:val="auto"/>
              </w:rPr>
            </w:pPr>
          </w:p>
        </w:tc>
        <w:tc>
          <w:tcPr>
            <w:tcW w:w="9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
        </w:trPr>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5"/>
        </w:trPr>
        <w:tc>
          <w:tcPr>
            <w:tcW w:w="1100" w:type="dxa"/>
            <w:vAlign w:val="bottom"/>
            <w:shd w:val="clear" w:color="auto" w:fill="CCEEFF"/>
          </w:tcPr>
          <w:p>
            <w:pPr>
              <w:jc w:val="center"/>
              <w:spacing w:after="0" w:line="186" w:lineRule="exact"/>
              <w:rPr>
                <w:sz w:val="20"/>
                <w:szCs w:val="20"/>
                <w:color w:val="auto"/>
              </w:rPr>
            </w:pPr>
            <w:r>
              <w:rPr>
                <w:rFonts w:ascii="Times New Roman" w:cs="Times New Roman" w:eastAsia="Times New Roman" w:hAnsi="Times New Roman"/>
                <w:sz w:val="18"/>
                <w:szCs w:val="18"/>
                <w:color w:val="auto"/>
                <w:w w:val="97"/>
              </w:rPr>
              <w:t>4.3</w:t>
            </w:r>
          </w:p>
        </w:tc>
        <w:tc>
          <w:tcPr>
            <w:tcW w:w="220" w:type="dxa"/>
            <w:vAlign w:val="bottom"/>
            <w:tcBorders>
              <w:right w:val="single" w:sz="8" w:color="CCEEFF"/>
            </w:tcBorders>
            <w:shd w:val="clear" w:color="auto" w:fill="CCEEFF"/>
          </w:tcPr>
          <w:p>
            <w:pPr>
              <w:spacing w:after="0"/>
              <w:rPr>
                <w:sz w:val="16"/>
                <w:szCs w:val="16"/>
                <w:color w:val="auto"/>
              </w:rPr>
            </w:pPr>
          </w:p>
        </w:tc>
        <w:tc>
          <w:tcPr>
            <w:tcW w:w="9080" w:type="dxa"/>
            <w:vAlign w:val="bottom"/>
            <w:gridSpan w:val="41"/>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0000FF"/>
              </w:rPr>
              <w:t>Description of Company’s Registered Securities</w:t>
            </w:r>
          </w:p>
        </w:tc>
      </w:tr>
      <w:tr>
        <w:trPr>
          <w:trHeight w:val="40"/>
        </w:trPr>
        <w:tc>
          <w:tcPr>
            <w:tcW w:w="1100" w:type="dxa"/>
            <w:vAlign w:val="bottom"/>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78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8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154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6"/>
        </w:trPr>
        <w:tc>
          <w:tcPr>
            <w:tcW w:w="1320" w:type="dxa"/>
            <w:vAlign w:val="bottom"/>
            <w:gridSpan w:val="2"/>
          </w:tcPr>
          <w:p>
            <w:pPr>
              <w:jc w:val="center"/>
              <w:ind w:right="220"/>
              <w:spacing w:after="0" w:line="186" w:lineRule="exact"/>
              <w:rPr>
                <w:sz w:val="20"/>
                <w:szCs w:val="20"/>
                <w:color w:val="auto"/>
              </w:rPr>
            </w:pPr>
            <w:r>
              <w:rPr>
                <w:rFonts w:ascii="Times New Roman" w:cs="Times New Roman" w:eastAsia="Times New Roman" w:hAnsi="Times New Roman"/>
                <w:sz w:val="18"/>
                <w:szCs w:val="18"/>
                <w:color w:val="auto"/>
                <w:w w:val="93"/>
              </w:rPr>
              <w:t>†10.1</w:t>
            </w:r>
          </w:p>
        </w:tc>
        <w:tc>
          <w:tcPr>
            <w:tcW w:w="9080" w:type="dxa"/>
            <w:vAlign w:val="bottom"/>
            <w:gridSpan w:val="41"/>
          </w:tcPr>
          <w:p>
            <w:pPr>
              <w:spacing w:after="0" w:line="186"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Amended BellRing Brands, Inc. 2019 Long-Term Incentive Plan (Incorporated by referenced to Exhibit 10.1 to the</w:t>
              </w:r>
            </w:hyperlink>
          </w:p>
        </w:tc>
      </w:tr>
      <w:tr>
        <w:trPr>
          <w:trHeight w:val="152"/>
        </w:trPr>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140" w:type="dxa"/>
            <w:vAlign w:val="bottom"/>
            <w:tcBorders>
              <w:top w:val="single" w:sz="8" w:color="0000FF"/>
            </w:tcBorders>
            <w:gridSpan w:val="19"/>
          </w:tcPr>
          <w:p>
            <w:pPr>
              <w:spacing w:after="0" w:line="152" w:lineRule="exact"/>
              <w:rPr>
                <w:rFonts w:ascii="Times New Roman" w:cs="Times New Roman" w:eastAsia="Times New Roman" w:hAnsi="Times New Roman"/>
                <w:sz w:val="17"/>
                <w:szCs w:val="17"/>
                <w:color w:val="0000FF"/>
              </w:rPr>
            </w:pPr>
            <w:hyperlink r:id="rId93">
              <w:r>
                <w:rPr>
                  <w:rFonts w:ascii="Times New Roman" w:cs="Times New Roman" w:eastAsia="Times New Roman" w:hAnsi="Times New Roman"/>
                  <w:sz w:val="17"/>
                  <w:szCs w:val="17"/>
                  <w:color w:val="0000FF"/>
                </w:rPr>
                <w:t>Company’s Form 10-Q filed on February 7, 2023)</w:t>
              </w:r>
            </w:hyperlink>
          </w:p>
        </w:tc>
        <w:tc>
          <w:tcPr>
            <w:tcW w:w="18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3"/>
        </w:trPr>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8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5"/>
        </w:trPr>
        <w:tc>
          <w:tcPr>
            <w:tcW w:w="1320" w:type="dxa"/>
            <w:vAlign w:val="bottom"/>
            <w:tcBorders>
              <w:right w:val="single" w:sz="8" w:color="CCEEFF"/>
            </w:tcBorders>
            <w:gridSpan w:val="2"/>
            <w:shd w:val="clear" w:color="auto" w:fill="CCEEFF"/>
          </w:tcPr>
          <w:p>
            <w:pPr>
              <w:jc w:val="center"/>
              <w:ind w:right="220"/>
              <w:spacing w:after="0" w:line="186" w:lineRule="exact"/>
              <w:rPr>
                <w:sz w:val="20"/>
                <w:szCs w:val="20"/>
                <w:color w:val="auto"/>
              </w:rPr>
            </w:pPr>
            <w:r>
              <w:rPr>
                <w:rFonts w:ascii="Times New Roman" w:cs="Times New Roman" w:eastAsia="Times New Roman" w:hAnsi="Times New Roman"/>
                <w:sz w:val="18"/>
                <w:szCs w:val="18"/>
                <w:color w:val="auto"/>
                <w:w w:val="93"/>
              </w:rPr>
              <w:t>†10.2</w:t>
            </w:r>
          </w:p>
        </w:tc>
        <w:tc>
          <w:tcPr>
            <w:tcW w:w="9080" w:type="dxa"/>
            <w:vAlign w:val="bottom"/>
            <w:gridSpan w:val="41"/>
            <w:shd w:val="clear" w:color="auto" w:fill="CCEEFF"/>
          </w:tcPr>
          <w:p>
            <w:pPr>
              <w:spacing w:after="0" w:line="186" w:lineRule="exact"/>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Form of Omnibus Amendment to Restricted Stock Unit Agreement (Incorporated by referenced to Exhibit 10.2 to the</w:t>
              </w:r>
            </w:hyperlink>
          </w:p>
        </w:tc>
      </w:tr>
      <w:tr>
        <w:trPr>
          <w:trHeight w:val="152"/>
        </w:trPr>
        <w:tc>
          <w:tcPr>
            <w:tcW w:w="1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right w:val="single" w:sz="8" w:color="CCEEFF"/>
            </w:tcBorders>
            <w:shd w:val="clear" w:color="auto" w:fill="CCEEFF"/>
          </w:tcPr>
          <w:p>
            <w:pPr>
              <w:spacing w:after="0"/>
              <w:rPr>
                <w:sz w:val="13"/>
                <w:szCs w:val="13"/>
                <w:color w:val="auto"/>
              </w:rPr>
            </w:pPr>
          </w:p>
        </w:tc>
        <w:tc>
          <w:tcPr>
            <w:tcW w:w="8320" w:type="dxa"/>
            <w:vAlign w:val="bottom"/>
            <w:tcBorders>
              <w:top w:val="single" w:sz="8" w:color="0000FF"/>
            </w:tcBorders>
            <w:gridSpan w:val="21"/>
            <w:shd w:val="clear" w:color="auto" w:fill="CCEEFF"/>
          </w:tcPr>
          <w:p>
            <w:pPr>
              <w:spacing w:after="0" w:line="152" w:lineRule="exact"/>
              <w:rPr>
                <w:rFonts w:ascii="Times New Roman" w:cs="Times New Roman" w:eastAsia="Times New Roman" w:hAnsi="Times New Roman"/>
                <w:sz w:val="17"/>
                <w:szCs w:val="17"/>
                <w:color w:val="0000FF"/>
              </w:rPr>
            </w:pPr>
            <w:hyperlink r:id="rId94">
              <w:r>
                <w:rPr>
                  <w:rFonts w:ascii="Times New Roman" w:cs="Times New Roman" w:eastAsia="Times New Roman" w:hAnsi="Times New Roman"/>
                  <w:sz w:val="17"/>
                  <w:szCs w:val="17"/>
                  <w:color w:val="0000FF"/>
                </w:rPr>
                <w:t>Company’s Form 10-Q filed on May 6, 2022)</w:t>
              </w:r>
            </w:hyperlink>
          </w:p>
        </w:tc>
        <w:tc>
          <w:tcPr>
            <w:tcW w:w="100" w:type="dxa"/>
            <w:vAlign w:val="bottom"/>
            <w:tcBorders>
              <w:top w:val="single" w:sz="8" w:color="CCEEFF"/>
            </w:tcBorders>
            <w:gridSpan w:val="2"/>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r>
      <w:tr>
        <w:trPr>
          <w:trHeight w:val="33"/>
        </w:trPr>
        <w:tc>
          <w:tcPr>
            <w:tcW w:w="11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right w:val="single" w:sz="8" w:color="CCEE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78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84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500" w:type="dxa"/>
            <w:vAlign w:val="bottom"/>
            <w:tcBorders>
              <w:top w:val="single" w:sz="8" w:color="CCEEFF"/>
            </w:tcBorders>
            <w:shd w:val="clear" w:color="auto" w:fill="CCEEFF"/>
          </w:tcPr>
          <w:p>
            <w:pPr>
              <w:spacing w:after="0"/>
              <w:rPr>
                <w:sz w:val="2"/>
                <w:szCs w:val="2"/>
                <w:color w:val="auto"/>
              </w:rPr>
            </w:pPr>
          </w:p>
        </w:tc>
        <w:tc>
          <w:tcPr>
            <w:tcW w:w="15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6"/>
        </w:trPr>
        <w:tc>
          <w:tcPr>
            <w:tcW w:w="1320" w:type="dxa"/>
            <w:vAlign w:val="bottom"/>
            <w:gridSpan w:val="2"/>
          </w:tcPr>
          <w:p>
            <w:pPr>
              <w:jc w:val="center"/>
              <w:ind w:right="220"/>
              <w:spacing w:after="0" w:line="186" w:lineRule="exact"/>
              <w:rPr>
                <w:sz w:val="20"/>
                <w:szCs w:val="20"/>
                <w:color w:val="auto"/>
              </w:rPr>
            </w:pPr>
            <w:r>
              <w:rPr>
                <w:rFonts w:ascii="Times New Roman" w:cs="Times New Roman" w:eastAsia="Times New Roman" w:hAnsi="Times New Roman"/>
                <w:sz w:val="18"/>
                <w:szCs w:val="18"/>
                <w:color w:val="auto"/>
                <w:w w:val="93"/>
              </w:rPr>
              <w:t>†10.3</w:t>
            </w:r>
          </w:p>
        </w:tc>
        <w:tc>
          <w:tcPr>
            <w:tcW w:w="9080" w:type="dxa"/>
            <w:vAlign w:val="bottom"/>
            <w:gridSpan w:val="41"/>
          </w:tcPr>
          <w:p>
            <w:pPr>
              <w:spacing w:after="0" w:line="186"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Form of Omnibus Amendment to Performance Restricted Stock Unit Agreement (Incorporated by referenced to Exhibit 10.3</w:t>
              </w:r>
            </w:hyperlink>
          </w:p>
        </w:tc>
      </w:tr>
      <w:tr>
        <w:trPr>
          <w:trHeight w:val="152"/>
        </w:trPr>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20" w:type="dxa"/>
            <w:vAlign w:val="bottom"/>
            <w:tcBorders>
              <w:top w:val="single" w:sz="8" w:color="0000FF"/>
            </w:tcBorders>
            <w:gridSpan w:val="32"/>
          </w:tcPr>
          <w:p>
            <w:pPr>
              <w:spacing w:after="0" w:line="152" w:lineRule="exact"/>
              <w:rPr>
                <w:rFonts w:ascii="Times New Roman" w:cs="Times New Roman" w:eastAsia="Times New Roman" w:hAnsi="Times New Roman"/>
                <w:sz w:val="17"/>
                <w:szCs w:val="17"/>
                <w:color w:val="0000FF"/>
              </w:rPr>
            </w:pPr>
            <w:hyperlink r:id="rId95">
              <w:r>
                <w:rPr>
                  <w:rFonts w:ascii="Times New Roman" w:cs="Times New Roman" w:eastAsia="Times New Roman" w:hAnsi="Times New Roman"/>
                  <w:sz w:val="17"/>
                  <w:szCs w:val="17"/>
                  <w:color w:val="0000FF"/>
                </w:rPr>
                <w:t>to the Company’s Form 10-Q filed on May 6, 2022)</w:t>
              </w:r>
            </w:hyperlink>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3"/>
        </w:trPr>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8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6"/>
        </w:trPr>
        <w:tc>
          <w:tcPr>
            <w:tcW w:w="1320" w:type="dxa"/>
            <w:vAlign w:val="bottom"/>
            <w:tcBorders>
              <w:right w:val="single" w:sz="8" w:color="CCEEFF"/>
            </w:tcBorders>
            <w:gridSpan w:val="2"/>
            <w:shd w:val="clear" w:color="auto" w:fill="CCEEFF"/>
          </w:tcPr>
          <w:p>
            <w:pPr>
              <w:jc w:val="center"/>
              <w:ind w:right="220"/>
              <w:spacing w:after="0" w:line="186" w:lineRule="exact"/>
              <w:rPr>
                <w:sz w:val="20"/>
                <w:szCs w:val="20"/>
                <w:color w:val="auto"/>
              </w:rPr>
            </w:pPr>
            <w:r>
              <w:rPr>
                <w:rFonts w:ascii="Times New Roman" w:cs="Times New Roman" w:eastAsia="Times New Roman" w:hAnsi="Times New Roman"/>
                <w:sz w:val="18"/>
                <w:szCs w:val="18"/>
                <w:color w:val="auto"/>
                <w:w w:val="93"/>
              </w:rPr>
              <w:t>†10.4</w:t>
            </w:r>
          </w:p>
        </w:tc>
        <w:tc>
          <w:tcPr>
            <w:tcW w:w="9080" w:type="dxa"/>
            <w:vAlign w:val="bottom"/>
            <w:gridSpan w:val="41"/>
            <w:shd w:val="clear" w:color="auto" w:fill="CCEEFF"/>
          </w:tcPr>
          <w:p>
            <w:pPr>
              <w:spacing w:after="0" w:line="186"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Form of Omnibus Amendment to Non-Qualified Stock Option Agreement (Incorporated by referenced to Exhibit 10.4 to the</w:t>
              </w:r>
            </w:hyperlink>
          </w:p>
        </w:tc>
      </w:tr>
      <w:tr>
        <w:trPr>
          <w:trHeight w:val="152"/>
        </w:trPr>
        <w:tc>
          <w:tcPr>
            <w:tcW w:w="1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right w:val="single" w:sz="8" w:color="CCEEFF"/>
            </w:tcBorders>
            <w:shd w:val="clear" w:color="auto" w:fill="CCEEFF"/>
          </w:tcPr>
          <w:p>
            <w:pPr>
              <w:spacing w:after="0"/>
              <w:rPr>
                <w:sz w:val="13"/>
                <w:szCs w:val="13"/>
                <w:color w:val="auto"/>
              </w:rPr>
            </w:pPr>
          </w:p>
        </w:tc>
        <w:tc>
          <w:tcPr>
            <w:tcW w:w="8800" w:type="dxa"/>
            <w:vAlign w:val="bottom"/>
            <w:tcBorders>
              <w:top w:val="single" w:sz="8" w:color="0000FF"/>
            </w:tcBorders>
            <w:gridSpan w:val="31"/>
            <w:shd w:val="clear" w:color="auto" w:fill="CCEEFF"/>
          </w:tcPr>
          <w:p>
            <w:pPr>
              <w:spacing w:after="0" w:line="152" w:lineRule="exact"/>
              <w:rPr>
                <w:rFonts w:ascii="Times New Roman" w:cs="Times New Roman" w:eastAsia="Times New Roman" w:hAnsi="Times New Roman"/>
                <w:sz w:val="17"/>
                <w:szCs w:val="17"/>
                <w:color w:val="0000FF"/>
              </w:rPr>
            </w:pPr>
            <w:hyperlink r:id="rId96">
              <w:r>
                <w:rPr>
                  <w:rFonts w:ascii="Times New Roman" w:cs="Times New Roman" w:eastAsia="Times New Roman" w:hAnsi="Times New Roman"/>
                  <w:sz w:val="17"/>
                  <w:szCs w:val="17"/>
                  <w:color w:val="0000FF"/>
                </w:rPr>
                <w:t>Company’s Form 10-Q filed on May 6, 2022)</w:t>
              </w:r>
            </w:hyperlink>
          </w:p>
        </w:tc>
        <w:tc>
          <w:tcPr>
            <w:tcW w:w="12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r>
      <w:tr>
        <w:trPr>
          <w:trHeight w:val="33"/>
        </w:trPr>
        <w:tc>
          <w:tcPr>
            <w:tcW w:w="11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right w:val="single" w:sz="8" w:color="CCEE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78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84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500" w:type="dxa"/>
            <w:vAlign w:val="bottom"/>
            <w:tcBorders>
              <w:top w:val="single" w:sz="8" w:color="CCEEFF"/>
            </w:tcBorders>
            <w:shd w:val="clear" w:color="auto" w:fill="CCEEFF"/>
          </w:tcPr>
          <w:p>
            <w:pPr>
              <w:spacing w:after="0"/>
              <w:rPr>
                <w:sz w:val="2"/>
                <w:szCs w:val="2"/>
                <w:color w:val="auto"/>
              </w:rPr>
            </w:pPr>
          </w:p>
        </w:tc>
        <w:tc>
          <w:tcPr>
            <w:tcW w:w="15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6"/>
        </w:trPr>
        <w:tc>
          <w:tcPr>
            <w:tcW w:w="1320" w:type="dxa"/>
            <w:vAlign w:val="bottom"/>
            <w:gridSpan w:val="2"/>
          </w:tcPr>
          <w:p>
            <w:pPr>
              <w:jc w:val="center"/>
              <w:ind w:right="220"/>
              <w:spacing w:after="0" w:line="186" w:lineRule="exact"/>
              <w:rPr>
                <w:sz w:val="20"/>
                <w:szCs w:val="20"/>
                <w:color w:val="auto"/>
              </w:rPr>
            </w:pPr>
            <w:r>
              <w:rPr>
                <w:rFonts w:ascii="Times New Roman" w:cs="Times New Roman" w:eastAsia="Times New Roman" w:hAnsi="Times New Roman"/>
                <w:sz w:val="18"/>
                <w:szCs w:val="18"/>
                <w:color w:val="auto"/>
                <w:w w:val="93"/>
              </w:rPr>
              <w:t>†10.5</w:t>
            </w:r>
          </w:p>
        </w:tc>
        <w:tc>
          <w:tcPr>
            <w:tcW w:w="9080" w:type="dxa"/>
            <w:vAlign w:val="bottom"/>
            <w:gridSpan w:val="41"/>
          </w:tcPr>
          <w:p>
            <w:pPr>
              <w:spacing w:after="0" w:line="186" w:lineRule="exact"/>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Amended and Restated Lock-Up Agreement, dated as of May 5, 2022, by and between BellRing Brands, Inc. and Robert V.</w:t>
              </w:r>
            </w:hyperlink>
          </w:p>
        </w:tc>
      </w:tr>
      <w:tr>
        <w:trPr>
          <w:trHeight w:val="152"/>
        </w:trPr>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740" w:type="dxa"/>
            <w:vAlign w:val="bottom"/>
            <w:tcBorders>
              <w:top w:val="single" w:sz="8" w:color="0000FF"/>
            </w:tcBorders>
            <w:gridSpan w:val="28"/>
          </w:tcPr>
          <w:p>
            <w:pPr>
              <w:spacing w:after="0" w:line="152" w:lineRule="exact"/>
              <w:rPr>
                <w:rFonts w:ascii="Times New Roman" w:cs="Times New Roman" w:eastAsia="Times New Roman" w:hAnsi="Times New Roman"/>
                <w:sz w:val="17"/>
                <w:szCs w:val="17"/>
                <w:color w:val="0000FF"/>
              </w:rPr>
            </w:pPr>
            <w:hyperlink r:id="rId97">
              <w:r>
                <w:rPr>
                  <w:rFonts w:ascii="Times New Roman" w:cs="Times New Roman" w:eastAsia="Times New Roman" w:hAnsi="Times New Roman"/>
                  <w:sz w:val="17"/>
                  <w:szCs w:val="17"/>
                  <w:color w:val="0000FF"/>
                </w:rPr>
                <w:t>Vitale (Incorporated by referenced to Exhibit 10.7 to the Company’s Form 10-Q filed on May 6, 2022)</w:t>
              </w:r>
            </w:hyperlink>
          </w:p>
        </w:tc>
        <w:tc>
          <w:tcPr>
            <w:tcW w:w="20" w:type="dxa"/>
            <w:vAlign w:val="bottom"/>
          </w:tcPr>
          <w:p>
            <w:pPr>
              <w:spacing w:after="0"/>
              <w:rPr>
                <w:sz w:val="13"/>
                <w:szCs w:val="13"/>
                <w:color w:val="auto"/>
              </w:rPr>
            </w:pPr>
          </w:p>
        </w:tc>
        <w:tc>
          <w:tcPr>
            <w:tcW w:w="16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3"/>
        </w:trPr>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8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500" w:type="dxa"/>
            <w:vAlign w:val="bottom"/>
            <w:tcBorders>
              <w:top w:val="single" w:sz="8" w:color="0000FF"/>
            </w:tcBorders>
          </w:tcPr>
          <w:p>
            <w:pPr>
              <w:spacing w:after="0"/>
              <w:rPr>
                <w:sz w:val="2"/>
                <w:szCs w:val="2"/>
                <w:color w:val="auto"/>
              </w:rPr>
            </w:pPr>
          </w:p>
        </w:tc>
        <w:tc>
          <w:tcPr>
            <w:tcW w:w="1540" w:type="dxa"/>
            <w:vAlign w:val="bottom"/>
            <w:tcBorders>
              <w:top w:val="single" w:sz="8" w:color="0000FF"/>
            </w:tcBorders>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6"/>
        </w:trPr>
        <w:tc>
          <w:tcPr>
            <w:tcW w:w="1320" w:type="dxa"/>
            <w:vAlign w:val="bottom"/>
            <w:tcBorders>
              <w:right w:val="single" w:sz="8" w:color="CCEEFF"/>
            </w:tcBorders>
            <w:gridSpan w:val="2"/>
            <w:shd w:val="clear" w:color="auto" w:fill="CCEEFF"/>
          </w:tcPr>
          <w:p>
            <w:pPr>
              <w:jc w:val="center"/>
              <w:ind w:right="220"/>
              <w:spacing w:after="0" w:line="165" w:lineRule="exact"/>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7"/>
                <w:szCs w:val="17"/>
                <w:color w:val="auto"/>
              </w:rPr>
              <w:t>10.6</w:t>
            </w:r>
          </w:p>
        </w:tc>
        <w:tc>
          <w:tcPr>
            <w:tcW w:w="9080" w:type="dxa"/>
            <w:vAlign w:val="bottom"/>
            <w:gridSpan w:val="41"/>
            <w:shd w:val="clear" w:color="auto" w:fill="CCEEFF"/>
          </w:tcPr>
          <w:p>
            <w:pPr>
              <w:spacing w:after="0" w:line="165" w:lineRule="exact"/>
              <w:rPr>
                <w:rFonts w:ascii="Times New Roman" w:cs="Times New Roman" w:eastAsia="Times New Roman" w:hAnsi="Times New Roman"/>
                <w:sz w:val="18"/>
                <w:szCs w:val="18"/>
                <w:color w:val="0000FF"/>
                <w:w w:val="99"/>
              </w:rPr>
            </w:pPr>
            <w:hyperlink r:id="rId98">
              <w:r>
                <w:rPr>
                  <w:rFonts w:ascii="Times New Roman" w:cs="Times New Roman" w:eastAsia="Times New Roman" w:hAnsi="Times New Roman"/>
                  <w:sz w:val="18"/>
                  <w:szCs w:val="18"/>
                  <w:color w:val="0000FF"/>
                  <w:w w:val="99"/>
                </w:rPr>
                <w:t>Amended BellRing Brands, Inc. Deferred Compensation Plan For Directors (Incorporated by referenced to Exhibit 10.8 to the</w:t>
              </w:r>
            </w:hyperlink>
          </w:p>
        </w:tc>
      </w:tr>
      <w:tr>
        <w:trPr>
          <w:trHeight w:val="152"/>
        </w:trPr>
        <w:tc>
          <w:tcPr>
            <w:tcW w:w="1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right w:val="single" w:sz="8" w:color="CCEEFF"/>
            </w:tcBorders>
            <w:shd w:val="clear" w:color="auto" w:fill="CCEEFF"/>
          </w:tcPr>
          <w:p>
            <w:pPr>
              <w:spacing w:after="0"/>
              <w:rPr>
                <w:sz w:val="13"/>
                <w:szCs w:val="13"/>
                <w:color w:val="auto"/>
              </w:rPr>
            </w:pPr>
          </w:p>
        </w:tc>
        <w:tc>
          <w:tcPr>
            <w:tcW w:w="8920" w:type="dxa"/>
            <w:vAlign w:val="bottom"/>
            <w:tcBorders>
              <w:top w:val="single" w:sz="8" w:color="0000FF"/>
            </w:tcBorders>
            <w:gridSpan w:val="33"/>
            <w:shd w:val="clear" w:color="auto" w:fill="CCEEFF"/>
          </w:tcPr>
          <w:p>
            <w:pPr>
              <w:spacing w:after="0" w:line="152" w:lineRule="exact"/>
              <w:rPr>
                <w:rFonts w:ascii="Times New Roman" w:cs="Times New Roman" w:eastAsia="Times New Roman" w:hAnsi="Times New Roman"/>
                <w:sz w:val="17"/>
                <w:szCs w:val="17"/>
                <w:color w:val="0000FF"/>
              </w:rPr>
            </w:pPr>
            <w:hyperlink r:id="rId98">
              <w:r>
                <w:rPr>
                  <w:rFonts w:ascii="Times New Roman" w:cs="Times New Roman" w:eastAsia="Times New Roman" w:hAnsi="Times New Roman"/>
                  <w:sz w:val="17"/>
                  <w:szCs w:val="17"/>
                  <w:color w:val="0000FF"/>
                </w:rPr>
                <w:t>Company’s Form 10-Q filed on May 6, 2022)</w:t>
              </w:r>
            </w:hyperlink>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r>
      <w:tr>
        <w:trPr>
          <w:trHeight w:val="33"/>
        </w:trPr>
        <w:tc>
          <w:tcPr>
            <w:tcW w:w="11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right w:val="single" w:sz="8" w:color="CCEE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78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84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500" w:type="dxa"/>
            <w:vAlign w:val="bottom"/>
            <w:tcBorders>
              <w:top w:val="single" w:sz="8" w:color="CCEEFF"/>
            </w:tcBorders>
            <w:shd w:val="clear" w:color="auto" w:fill="CCEEFF"/>
          </w:tcPr>
          <w:p>
            <w:pPr>
              <w:spacing w:after="0"/>
              <w:rPr>
                <w:sz w:val="2"/>
                <w:szCs w:val="2"/>
                <w:color w:val="auto"/>
              </w:rPr>
            </w:pPr>
          </w:p>
        </w:tc>
        <w:tc>
          <w:tcPr>
            <w:tcW w:w="15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5"/>
        </w:trPr>
        <w:tc>
          <w:tcPr>
            <w:tcW w:w="1320" w:type="dxa"/>
            <w:vAlign w:val="bottom"/>
            <w:gridSpan w:val="2"/>
          </w:tcPr>
          <w:p>
            <w:pPr>
              <w:jc w:val="center"/>
              <w:ind w:right="220"/>
              <w:spacing w:after="0" w:line="186" w:lineRule="exact"/>
              <w:rPr>
                <w:sz w:val="20"/>
                <w:szCs w:val="20"/>
                <w:color w:val="auto"/>
              </w:rPr>
            </w:pPr>
            <w:r>
              <w:rPr>
                <w:rFonts w:ascii="Times New Roman" w:cs="Times New Roman" w:eastAsia="Times New Roman" w:hAnsi="Times New Roman"/>
                <w:sz w:val="18"/>
                <w:szCs w:val="18"/>
                <w:color w:val="auto"/>
                <w:w w:val="93"/>
              </w:rPr>
              <w:t>†10.7</w:t>
            </w:r>
          </w:p>
        </w:tc>
        <w:tc>
          <w:tcPr>
            <w:tcW w:w="9080" w:type="dxa"/>
            <w:vAlign w:val="bottom"/>
            <w:gridSpan w:val="41"/>
          </w:tcPr>
          <w:p>
            <w:pPr>
              <w:spacing w:after="0" w:line="186" w:lineRule="exact"/>
              <w:rPr>
                <w:rFonts w:ascii="Times New Roman" w:cs="Times New Roman" w:eastAsia="Times New Roman" w:hAnsi="Times New Roman"/>
                <w:sz w:val="18"/>
                <w:szCs w:val="18"/>
                <w:color w:val="0000FF"/>
                <w:w w:val="99"/>
              </w:rPr>
            </w:pPr>
            <w:hyperlink r:id="rId99">
              <w:r>
                <w:rPr>
                  <w:rFonts w:ascii="Times New Roman" w:cs="Times New Roman" w:eastAsia="Times New Roman" w:hAnsi="Times New Roman"/>
                  <w:sz w:val="18"/>
                  <w:szCs w:val="18"/>
                  <w:color w:val="0000FF"/>
                  <w:w w:val="99"/>
                </w:rPr>
                <w:t>Form of Severance and Change in Control Agreement (Incorporated by referenced to Exhibit 10.9 to the Company’s Form 10-</w:t>
              </w:r>
            </w:hyperlink>
          </w:p>
        </w:tc>
      </w:tr>
      <w:tr>
        <w:trPr>
          <w:trHeight w:val="152"/>
        </w:trPr>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940" w:type="dxa"/>
            <w:vAlign w:val="bottom"/>
            <w:tcBorders>
              <w:top w:val="single" w:sz="8" w:color="0000FF"/>
            </w:tcBorders>
            <w:gridSpan w:val="34"/>
          </w:tcPr>
          <w:p>
            <w:pPr>
              <w:spacing w:after="0" w:line="152" w:lineRule="exact"/>
              <w:rPr>
                <w:rFonts w:ascii="Times New Roman" w:cs="Times New Roman" w:eastAsia="Times New Roman" w:hAnsi="Times New Roman"/>
                <w:sz w:val="17"/>
                <w:szCs w:val="17"/>
                <w:color w:val="0000FF"/>
              </w:rPr>
            </w:pPr>
            <w:hyperlink r:id="rId99">
              <w:r>
                <w:rPr>
                  <w:rFonts w:ascii="Times New Roman" w:cs="Times New Roman" w:eastAsia="Times New Roman" w:hAnsi="Times New Roman"/>
                  <w:sz w:val="17"/>
                  <w:szCs w:val="17"/>
                  <w:color w:val="0000FF"/>
                </w:rPr>
                <w:t>Q filed on May 6, 2022)</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3"/>
        </w:trPr>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6"/>
        </w:trPr>
        <w:tc>
          <w:tcPr>
            <w:tcW w:w="1320" w:type="dxa"/>
            <w:vAlign w:val="bottom"/>
            <w:tcBorders>
              <w:right w:val="single" w:sz="8" w:color="CCEEFF"/>
            </w:tcBorders>
            <w:gridSpan w:val="2"/>
            <w:shd w:val="clear" w:color="auto" w:fill="CCEEFF"/>
          </w:tcPr>
          <w:p>
            <w:pPr>
              <w:jc w:val="center"/>
              <w:ind w:right="220"/>
              <w:spacing w:after="0" w:line="186" w:lineRule="exact"/>
              <w:rPr>
                <w:sz w:val="20"/>
                <w:szCs w:val="20"/>
                <w:color w:val="auto"/>
              </w:rPr>
            </w:pPr>
            <w:r>
              <w:rPr>
                <w:rFonts w:ascii="Times New Roman" w:cs="Times New Roman" w:eastAsia="Times New Roman" w:hAnsi="Times New Roman"/>
                <w:sz w:val="18"/>
                <w:szCs w:val="18"/>
                <w:color w:val="auto"/>
                <w:w w:val="93"/>
              </w:rPr>
              <w:t>†10.8</w:t>
            </w:r>
          </w:p>
        </w:tc>
        <w:tc>
          <w:tcPr>
            <w:tcW w:w="9080" w:type="dxa"/>
            <w:vAlign w:val="bottom"/>
            <w:gridSpan w:val="41"/>
            <w:shd w:val="clear" w:color="auto" w:fill="CCEEFF"/>
          </w:tcPr>
          <w:p>
            <w:pPr>
              <w:spacing w:after="0" w:line="186" w:lineRule="exact"/>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Form of Indemnification Agreement (Incorporated by reference to Exhibit 10.10 to the Company’s Form 10-K filed on</w:t>
              </w:r>
            </w:hyperlink>
          </w:p>
        </w:tc>
      </w:tr>
      <w:tr>
        <w:trPr>
          <w:trHeight w:val="152"/>
        </w:trPr>
        <w:tc>
          <w:tcPr>
            <w:tcW w:w="1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right w:val="single" w:sz="8" w:color="CCEEFF"/>
            </w:tcBorders>
            <w:shd w:val="clear" w:color="auto" w:fill="CCEEFF"/>
          </w:tcPr>
          <w:p>
            <w:pPr>
              <w:spacing w:after="0"/>
              <w:rPr>
                <w:sz w:val="13"/>
                <w:szCs w:val="13"/>
                <w:color w:val="auto"/>
              </w:rPr>
            </w:pPr>
          </w:p>
        </w:tc>
        <w:tc>
          <w:tcPr>
            <w:tcW w:w="8420" w:type="dxa"/>
            <w:vAlign w:val="bottom"/>
            <w:tcBorders>
              <w:top w:val="single" w:sz="8" w:color="0000FF"/>
            </w:tcBorders>
            <w:gridSpan w:val="23"/>
            <w:shd w:val="clear" w:color="auto" w:fill="CCEEFF"/>
          </w:tcPr>
          <w:p>
            <w:pPr>
              <w:spacing w:after="0" w:line="152" w:lineRule="exact"/>
              <w:rPr>
                <w:rFonts w:ascii="Times New Roman" w:cs="Times New Roman" w:eastAsia="Times New Roman" w:hAnsi="Times New Roman"/>
                <w:sz w:val="17"/>
                <w:szCs w:val="17"/>
                <w:color w:val="0000FF"/>
              </w:rPr>
            </w:pPr>
            <w:hyperlink r:id="rId100">
              <w:r>
                <w:rPr>
                  <w:rFonts w:ascii="Times New Roman" w:cs="Times New Roman" w:eastAsia="Times New Roman" w:hAnsi="Times New Roman"/>
                  <w:sz w:val="17"/>
                  <w:szCs w:val="17"/>
                  <w:color w:val="0000FF"/>
                </w:rPr>
                <w:t>November 19, 2024)</w:t>
              </w:r>
            </w:hyperlink>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40" w:type="dxa"/>
            <w:vAlign w:val="bottom"/>
            <w:tcBorders>
              <w:top w:val="single" w:sz="8" w:color="CCEEFF"/>
            </w:tcBorders>
            <w:gridSpan w:val="8"/>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r>
      <w:tr>
        <w:trPr>
          <w:trHeight w:val="33"/>
        </w:trPr>
        <w:tc>
          <w:tcPr>
            <w:tcW w:w="11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right w:val="single" w:sz="8" w:color="CCEE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78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500" w:type="dxa"/>
            <w:vAlign w:val="bottom"/>
            <w:tcBorders>
              <w:top w:val="single" w:sz="8" w:color="CCEEFF"/>
            </w:tcBorders>
            <w:shd w:val="clear" w:color="auto" w:fill="CCEEFF"/>
          </w:tcPr>
          <w:p>
            <w:pPr>
              <w:spacing w:after="0"/>
              <w:rPr>
                <w:sz w:val="2"/>
                <w:szCs w:val="2"/>
                <w:color w:val="auto"/>
              </w:rPr>
            </w:pPr>
          </w:p>
        </w:tc>
        <w:tc>
          <w:tcPr>
            <w:tcW w:w="15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5"/>
        </w:trPr>
        <w:tc>
          <w:tcPr>
            <w:tcW w:w="1320" w:type="dxa"/>
            <w:vAlign w:val="bottom"/>
            <w:gridSpan w:val="2"/>
          </w:tcPr>
          <w:p>
            <w:pPr>
              <w:jc w:val="center"/>
              <w:ind w:right="220"/>
              <w:spacing w:after="0" w:line="186" w:lineRule="exact"/>
              <w:rPr>
                <w:sz w:val="20"/>
                <w:szCs w:val="20"/>
                <w:color w:val="auto"/>
              </w:rPr>
            </w:pPr>
            <w:r>
              <w:rPr>
                <w:rFonts w:ascii="Times New Roman" w:cs="Times New Roman" w:eastAsia="Times New Roman" w:hAnsi="Times New Roman"/>
                <w:sz w:val="18"/>
                <w:szCs w:val="18"/>
                <w:color w:val="auto"/>
                <w:w w:val="93"/>
              </w:rPr>
              <w:t>†10.9</w:t>
            </w:r>
          </w:p>
        </w:tc>
        <w:tc>
          <w:tcPr>
            <w:tcW w:w="9080" w:type="dxa"/>
            <w:vAlign w:val="bottom"/>
            <w:gridSpan w:val="41"/>
          </w:tcPr>
          <w:p>
            <w:pPr>
              <w:spacing w:after="0" w:line="186" w:lineRule="exact"/>
              <w:rPr>
                <w:rFonts w:ascii="Times New Roman" w:cs="Times New Roman" w:eastAsia="Times New Roman" w:hAnsi="Times New Roman"/>
                <w:sz w:val="18"/>
                <w:szCs w:val="18"/>
                <w:color w:val="0000FF"/>
                <w:w w:val="99"/>
              </w:rPr>
            </w:pPr>
            <w:hyperlink r:id="rId101">
              <w:r>
                <w:rPr>
                  <w:rFonts w:ascii="Times New Roman" w:cs="Times New Roman" w:eastAsia="Times New Roman" w:hAnsi="Times New Roman"/>
                  <w:sz w:val="18"/>
                  <w:szCs w:val="18"/>
                  <w:color w:val="0000FF"/>
                  <w:w w:val="99"/>
                </w:rPr>
                <w:t>BellRing Brands, Inc. Senior Management Bonus Program (Incorporated by reference to Exhibit 10.1 to the Company’s Form</w:t>
              </w:r>
            </w:hyperlink>
          </w:p>
        </w:tc>
      </w:tr>
      <w:tr>
        <w:trPr>
          <w:trHeight w:val="152"/>
        </w:trPr>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40" w:type="dxa"/>
            <w:vAlign w:val="bottom"/>
            <w:tcBorders>
              <w:top w:val="single" w:sz="8" w:color="0000FF"/>
            </w:tcBorders>
            <w:gridSpan w:val="39"/>
          </w:tcPr>
          <w:p>
            <w:pPr>
              <w:spacing w:after="0" w:line="152" w:lineRule="exact"/>
              <w:rPr>
                <w:rFonts w:ascii="Times New Roman" w:cs="Times New Roman" w:eastAsia="Times New Roman" w:hAnsi="Times New Roman"/>
                <w:sz w:val="17"/>
                <w:szCs w:val="17"/>
                <w:color w:val="0000FF"/>
              </w:rPr>
            </w:pPr>
            <w:hyperlink r:id="rId101">
              <w:r>
                <w:rPr>
                  <w:rFonts w:ascii="Times New Roman" w:cs="Times New Roman" w:eastAsia="Times New Roman" w:hAnsi="Times New Roman"/>
                  <w:sz w:val="17"/>
                  <w:szCs w:val="17"/>
                  <w:color w:val="0000FF"/>
                </w:rPr>
                <w:t>8-K filed on November 22, 2019)</w:t>
              </w:r>
            </w:hyperlink>
          </w:p>
        </w:tc>
        <w:tc>
          <w:tcPr>
            <w:tcW w:w="40" w:type="dxa"/>
            <w:vAlign w:val="bottom"/>
            <w:gridSpan w:val="2"/>
          </w:tcPr>
          <w:p>
            <w:pPr>
              <w:spacing w:after="0"/>
              <w:rPr>
                <w:sz w:val="13"/>
                <w:szCs w:val="13"/>
                <w:color w:val="auto"/>
              </w:rPr>
            </w:pPr>
          </w:p>
        </w:tc>
      </w:tr>
      <w:tr>
        <w:trPr>
          <w:trHeight w:val="33"/>
        </w:trPr>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6"/>
        </w:trPr>
        <w:tc>
          <w:tcPr>
            <w:tcW w:w="1320" w:type="dxa"/>
            <w:vAlign w:val="bottom"/>
            <w:tcBorders>
              <w:right w:val="single" w:sz="8" w:color="CCEEFF"/>
            </w:tcBorders>
            <w:gridSpan w:val="2"/>
            <w:shd w:val="clear" w:color="auto" w:fill="CCEEFF"/>
          </w:tcPr>
          <w:p>
            <w:pPr>
              <w:jc w:val="center"/>
              <w:ind w:right="220"/>
              <w:spacing w:after="0" w:line="186" w:lineRule="exact"/>
              <w:rPr>
                <w:sz w:val="20"/>
                <w:szCs w:val="20"/>
                <w:color w:val="auto"/>
              </w:rPr>
            </w:pPr>
            <w:r>
              <w:rPr>
                <w:rFonts w:ascii="Times New Roman" w:cs="Times New Roman" w:eastAsia="Times New Roman" w:hAnsi="Times New Roman"/>
                <w:sz w:val="18"/>
                <w:szCs w:val="18"/>
                <w:color w:val="auto"/>
              </w:rPr>
              <w:t>†10.10</w:t>
            </w:r>
          </w:p>
        </w:tc>
        <w:tc>
          <w:tcPr>
            <w:tcW w:w="9080" w:type="dxa"/>
            <w:vAlign w:val="bottom"/>
            <w:gridSpan w:val="41"/>
            <w:shd w:val="clear" w:color="auto" w:fill="CCEEFF"/>
          </w:tcPr>
          <w:p>
            <w:pPr>
              <w:spacing w:after="0" w:line="186" w:lineRule="exact"/>
              <w:rPr>
                <w:rFonts w:ascii="Times New Roman" w:cs="Times New Roman" w:eastAsia="Times New Roman" w:hAnsi="Times New Roman"/>
                <w:sz w:val="18"/>
                <w:szCs w:val="18"/>
                <w:color w:val="0000FF"/>
                <w:w w:val="99"/>
              </w:rPr>
            </w:pPr>
            <w:hyperlink r:id="rId102">
              <w:r>
                <w:rPr>
                  <w:rFonts w:ascii="Times New Roman" w:cs="Times New Roman" w:eastAsia="Times New Roman" w:hAnsi="Times New Roman"/>
                  <w:sz w:val="18"/>
                  <w:szCs w:val="18"/>
                  <w:color w:val="0000FF"/>
                  <w:w w:val="99"/>
                </w:rPr>
                <w:t>Form of Non-Qualified Stock Option Agreement (Incorporated by reference to Exhibit 10.3 to the Company’s Form 8-K filed</w:t>
              </w:r>
            </w:hyperlink>
          </w:p>
        </w:tc>
      </w:tr>
      <w:tr>
        <w:trPr>
          <w:trHeight w:val="152"/>
        </w:trPr>
        <w:tc>
          <w:tcPr>
            <w:tcW w:w="1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right w:val="single" w:sz="8" w:color="CCEEFF"/>
            </w:tcBorders>
            <w:shd w:val="clear" w:color="auto" w:fill="CCEEFF"/>
          </w:tcPr>
          <w:p>
            <w:pPr>
              <w:spacing w:after="0"/>
              <w:rPr>
                <w:sz w:val="13"/>
                <w:szCs w:val="13"/>
                <w:color w:val="auto"/>
              </w:rPr>
            </w:pPr>
          </w:p>
        </w:tc>
        <w:tc>
          <w:tcPr>
            <w:tcW w:w="9000" w:type="dxa"/>
            <w:vAlign w:val="bottom"/>
            <w:tcBorders>
              <w:top w:val="single" w:sz="8" w:color="0000FF"/>
            </w:tcBorders>
            <w:gridSpan w:val="37"/>
            <w:shd w:val="clear" w:color="auto" w:fill="CCEEFF"/>
          </w:tcPr>
          <w:p>
            <w:pPr>
              <w:spacing w:after="0" w:line="152" w:lineRule="exact"/>
              <w:rPr>
                <w:rFonts w:ascii="Times New Roman" w:cs="Times New Roman" w:eastAsia="Times New Roman" w:hAnsi="Times New Roman"/>
                <w:sz w:val="17"/>
                <w:szCs w:val="17"/>
                <w:color w:val="0000FF"/>
              </w:rPr>
            </w:pPr>
            <w:hyperlink r:id="rId102">
              <w:r>
                <w:rPr>
                  <w:rFonts w:ascii="Times New Roman" w:cs="Times New Roman" w:eastAsia="Times New Roman" w:hAnsi="Times New Roman"/>
                  <w:sz w:val="17"/>
                  <w:szCs w:val="17"/>
                  <w:color w:val="0000FF"/>
                </w:rPr>
                <w:t>on November 22, 2019)</w:t>
              </w:r>
            </w:hyperlink>
          </w:p>
        </w:tc>
        <w:tc>
          <w:tcPr>
            <w:tcW w:w="80" w:type="dxa"/>
            <w:vAlign w:val="bottom"/>
            <w:tcBorders>
              <w:top w:val="single" w:sz="8" w:color="CCEEFF"/>
            </w:tcBorders>
            <w:gridSpan w:val="4"/>
            <w:shd w:val="clear" w:color="auto" w:fill="CCEEFF"/>
          </w:tcPr>
          <w:p>
            <w:pPr>
              <w:spacing w:after="0"/>
              <w:rPr>
                <w:sz w:val="13"/>
                <w:szCs w:val="13"/>
                <w:color w:val="auto"/>
              </w:rPr>
            </w:pPr>
          </w:p>
        </w:tc>
      </w:tr>
      <w:tr>
        <w:trPr>
          <w:trHeight w:val="33"/>
        </w:trPr>
        <w:tc>
          <w:tcPr>
            <w:tcW w:w="11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right w:val="single" w:sz="8" w:color="CCEE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78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500" w:type="dxa"/>
            <w:vAlign w:val="bottom"/>
            <w:tcBorders>
              <w:top w:val="single" w:sz="8" w:color="CCEEFF"/>
            </w:tcBorders>
            <w:shd w:val="clear" w:color="auto" w:fill="CCEEFF"/>
          </w:tcPr>
          <w:p>
            <w:pPr>
              <w:spacing w:after="0"/>
              <w:rPr>
                <w:sz w:val="2"/>
                <w:szCs w:val="2"/>
                <w:color w:val="auto"/>
              </w:rPr>
            </w:pPr>
          </w:p>
        </w:tc>
        <w:tc>
          <w:tcPr>
            <w:tcW w:w="15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6"/>
        </w:trPr>
        <w:tc>
          <w:tcPr>
            <w:tcW w:w="1320" w:type="dxa"/>
            <w:vAlign w:val="bottom"/>
            <w:gridSpan w:val="2"/>
          </w:tcPr>
          <w:p>
            <w:pPr>
              <w:jc w:val="center"/>
              <w:ind w:right="240"/>
              <w:spacing w:after="0" w:line="186" w:lineRule="exact"/>
              <w:rPr>
                <w:sz w:val="20"/>
                <w:szCs w:val="20"/>
                <w:color w:val="auto"/>
              </w:rPr>
            </w:pPr>
            <w:r>
              <w:rPr>
                <w:rFonts w:ascii="Times New Roman" w:cs="Times New Roman" w:eastAsia="Times New Roman" w:hAnsi="Times New Roman"/>
                <w:sz w:val="18"/>
                <w:szCs w:val="18"/>
                <w:color w:val="auto"/>
                <w:w w:val="96"/>
              </w:rPr>
              <w:t>†10.11</w:t>
            </w:r>
          </w:p>
        </w:tc>
        <w:tc>
          <w:tcPr>
            <w:tcW w:w="9080" w:type="dxa"/>
            <w:vAlign w:val="bottom"/>
            <w:gridSpan w:val="41"/>
          </w:tcPr>
          <w:p>
            <w:pPr>
              <w:spacing w:after="0" w:line="186"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Form of Director Restricted Stock Unit Agreement (Incorporated by reference to Exhibit 10.4 to the Company’s Form 8-K</w:t>
              </w:r>
            </w:hyperlink>
          </w:p>
        </w:tc>
      </w:tr>
      <w:tr>
        <w:trPr>
          <w:trHeight w:val="152"/>
        </w:trPr>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980" w:type="dxa"/>
            <w:vAlign w:val="bottom"/>
            <w:tcBorders>
              <w:top w:val="single" w:sz="8" w:color="0000FF"/>
            </w:tcBorders>
            <w:gridSpan w:val="36"/>
          </w:tcPr>
          <w:p>
            <w:pPr>
              <w:spacing w:after="0" w:line="152" w:lineRule="exact"/>
              <w:rPr>
                <w:rFonts w:ascii="Times New Roman" w:cs="Times New Roman" w:eastAsia="Times New Roman" w:hAnsi="Times New Roman"/>
                <w:sz w:val="17"/>
                <w:szCs w:val="17"/>
                <w:color w:val="0000FF"/>
              </w:rPr>
            </w:pPr>
            <w:hyperlink r:id="rId103">
              <w:r>
                <w:rPr>
                  <w:rFonts w:ascii="Times New Roman" w:cs="Times New Roman" w:eastAsia="Times New Roman" w:hAnsi="Times New Roman"/>
                  <w:sz w:val="17"/>
                  <w:szCs w:val="17"/>
                  <w:color w:val="0000FF"/>
                </w:rPr>
                <w:t>filed on November 22, 2019)</w:t>
              </w:r>
            </w:hyperlink>
          </w:p>
        </w:tc>
        <w:tc>
          <w:tcPr>
            <w:tcW w:w="100" w:type="dxa"/>
            <w:vAlign w:val="bottom"/>
            <w:gridSpan w:val="5"/>
          </w:tcPr>
          <w:p>
            <w:pPr>
              <w:spacing w:after="0"/>
              <w:rPr>
                <w:sz w:val="13"/>
                <w:szCs w:val="13"/>
                <w:color w:val="auto"/>
              </w:rPr>
            </w:pPr>
          </w:p>
        </w:tc>
      </w:tr>
      <w:tr>
        <w:trPr>
          <w:trHeight w:val="33"/>
        </w:trPr>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5"/>
        </w:trPr>
        <w:tc>
          <w:tcPr>
            <w:tcW w:w="1320" w:type="dxa"/>
            <w:vAlign w:val="bottom"/>
            <w:tcBorders>
              <w:right w:val="single" w:sz="8" w:color="CCEEFF"/>
            </w:tcBorders>
            <w:gridSpan w:val="2"/>
            <w:shd w:val="clear" w:color="auto" w:fill="CCEEFF"/>
          </w:tcPr>
          <w:p>
            <w:pPr>
              <w:jc w:val="center"/>
              <w:ind w:right="220"/>
              <w:spacing w:after="0" w:line="186" w:lineRule="exact"/>
              <w:rPr>
                <w:sz w:val="20"/>
                <w:szCs w:val="20"/>
                <w:color w:val="auto"/>
              </w:rPr>
            </w:pPr>
            <w:r>
              <w:rPr>
                <w:rFonts w:ascii="Times New Roman" w:cs="Times New Roman" w:eastAsia="Times New Roman" w:hAnsi="Times New Roman"/>
                <w:sz w:val="18"/>
                <w:szCs w:val="18"/>
                <w:color w:val="auto"/>
              </w:rPr>
              <w:t>†10.12</w:t>
            </w:r>
          </w:p>
        </w:tc>
        <w:tc>
          <w:tcPr>
            <w:tcW w:w="9080" w:type="dxa"/>
            <w:vAlign w:val="bottom"/>
            <w:gridSpan w:val="41"/>
            <w:shd w:val="clear" w:color="auto" w:fill="CCEEFF"/>
          </w:tcPr>
          <w:p>
            <w:pPr>
              <w:spacing w:after="0" w:line="186" w:lineRule="exact"/>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Form of Transaction Bonus Agreement (Incorporated by reference to Exhibit 10.14 to the Company’s Form 10-K filed on</w:t>
              </w:r>
            </w:hyperlink>
          </w:p>
        </w:tc>
      </w:tr>
      <w:tr>
        <w:trPr>
          <w:trHeight w:val="152"/>
        </w:trPr>
        <w:tc>
          <w:tcPr>
            <w:tcW w:w="1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right w:val="single" w:sz="8" w:color="CCEEFF"/>
            </w:tcBorders>
            <w:shd w:val="clear" w:color="auto" w:fill="CCEEFF"/>
          </w:tcPr>
          <w:p>
            <w:pPr>
              <w:spacing w:after="0"/>
              <w:rPr>
                <w:sz w:val="13"/>
                <w:szCs w:val="13"/>
                <w:color w:val="auto"/>
              </w:rPr>
            </w:pPr>
          </w:p>
        </w:tc>
        <w:tc>
          <w:tcPr>
            <w:tcW w:w="8600" w:type="dxa"/>
            <w:vAlign w:val="bottom"/>
            <w:tcBorders>
              <w:top w:val="single" w:sz="8" w:color="0000FF"/>
            </w:tcBorders>
            <w:gridSpan w:val="25"/>
            <w:shd w:val="clear" w:color="auto" w:fill="CCEEFF"/>
          </w:tcPr>
          <w:p>
            <w:pPr>
              <w:spacing w:after="0" w:line="152" w:lineRule="exact"/>
              <w:rPr>
                <w:rFonts w:ascii="Times New Roman" w:cs="Times New Roman" w:eastAsia="Times New Roman" w:hAnsi="Times New Roman"/>
                <w:sz w:val="17"/>
                <w:szCs w:val="17"/>
                <w:color w:val="0000FF"/>
              </w:rPr>
            </w:pPr>
            <w:hyperlink r:id="rId100">
              <w:r>
                <w:rPr>
                  <w:rFonts w:ascii="Times New Roman" w:cs="Times New Roman" w:eastAsia="Times New Roman" w:hAnsi="Times New Roman"/>
                  <w:sz w:val="17"/>
                  <w:szCs w:val="17"/>
                  <w:color w:val="0000FF"/>
                </w:rPr>
                <w:t>November 19, 2024)</w:t>
              </w:r>
            </w:hyperlink>
          </w:p>
        </w:tc>
        <w:tc>
          <w:tcPr>
            <w:tcW w:w="12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320" w:type="dxa"/>
            <w:vAlign w:val="bottom"/>
            <w:tcBorders>
              <w:top w:val="single" w:sz="8" w:color="CCEEFF"/>
            </w:tcBorders>
            <w:gridSpan w:val="12"/>
            <w:shd w:val="clear" w:color="auto" w:fill="CCEEFF"/>
          </w:tcPr>
          <w:p>
            <w:pPr>
              <w:spacing w:after="0"/>
              <w:rPr>
                <w:sz w:val="13"/>
                <w:szCs w:val="13"/>
                <w:color w:val="auto"/>
              </w:rPr>
            </w:pPr>
          </w:p>
        </w:tc>
      </w:tr>
      <w:tr>
        <w:trPr>
          <w:trHeight w:val="33"/>
        </w:trPr>
        <w:tc>
          <w:tcPr>
            <w:tcW w:w="11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right w:val="single" w:sz="8" w:color="CCEE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78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500" w:type="dxa"/>
            <w:vAlign w:val="bottom"/>
            <w:tcBorders>
              <w:top w:val="single" w:sz="8" w:color="CCEEFF"/>
            </w:tcBorders>
            <w:shd w:val="clear" w:color="auto" w:fill="CCEEFF"/>
          </w:tcPr>
          <w:p>
            <w:pPr>
              <w:spacing w:after="0"/>
              <w:rPr>
                <w:sz w:val="2"/>
                <w:szCs w:val="2"/>
                <w:color w:val="auto"/>
              </w:rPr>
            </w:pPr>
          </w:p>
        </w:tc>
        <w:tc>
          <w:tcPr>
            <w:tcW w:w="15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5"/>
        </w:trPr>
        <w:tc>
          <w:tcPr>
            <w:tcW w:w="1320" w:type="dxa"/>
            <w:vAlign w:val="bottom"/>
            <w:gridSpan w:val="2"/>
          </w:tcPr>
          <w:p>
            <w:pPr>
              <w:jc w:val="center"/>
              <w:ind w:right="220"/>
              <w:spacing w:after="0" w:line="186" w:lineRule="exact"/>
              <w:rPr>
                <w:sz w:val="20"/>
                <w:szCs w:val="20"/>
                <w:color w:val="auto"/>
              </w:rPr>
            </w:pPr>
            <w:r>
              <w:rPr>
                <w:rFonts w:ascii="Times New Roman" w:cs="Times New Roman" w:eastAsia="Times New Roman" w:hAnsi="Times New Roman"/>
                <w:sz w:val="18"/>
                <w:szCs w:val="18"/>
                <w:color w:val="auto"/>
              </w:rPr>
              <w:t>†10.13</w:t>
            </w:r>
          </w:p>
        </w:tc>
        <w:tc>
          <w:tcPr>
            <w:tcW w:w="9080" w:type="dxa"/>
            <w:vAlign w:val="bottom"/>
            <w:gridSpan w:val="41"/>
          </w:tcPr>
          <w:p>
            <w:pPr>
              <w:spacing w:after="0" w:line="186" w:lineRule="exact"/>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Form of Gross Up Agreement (Incorporated by reference to Exhibit 10.15 to the Company’s Form 10-K filed on November</w:t>
              </w:r>
            </w:hyperlink>
          </w:p>
        </w:tc>
      </w:tr>
      <w:tr>
        <w:trPr>
          <w:trHeight w:val="152"/>
        </w:trPr>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Borders>
              <w:top w:val="single" w:sz="8" w:color="0000FF"/>
            </w:tcBorders>
            <w:gridSpan w:val="3"/>
          </w:tcPr>
          <w:p>
            <w:pPr>
              <w:spacing w:after="0" w:line="152" w:lineRule="exact"/>
              <w:rPr>
                <w:rFonts w:ascii="Times New Roman" w:cs="Times New Roman" w:eastAsia="Times New Roman" w:hAnsi="Times New Roman"/>
                <w:sz w:val="17"/>
                <w:szCs w:val="17"/>
                <w:color w:val="0000FF"/>
              </w:rPr>
            </w:pPr>
            <w:hyperlink r:id="rId100">
              <w:r>
                <w:rPr>
                  <w:rFonts w:ascii="Times New Roman" w:cs="Times New Roman" w:eastAsia="Times New Roman" w:hAnsi="Times New Roman"/>
                  <w:sz w:val="17"/>
                  <w:szCs w:val="17"/>
                  <w:color w:val="0000FF"/>
                </w:rPr>
                <w:t>19, 2024)</w:t>
              </w:r>
            </w:hyperlink>
          </w:p>
        </w:tc>
        <w:tc>
          <w:tcPr>
            <w:tcW w:w="2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1500" w:type="dxa"/>
            <w:vAlign w:val="bottom"/>
            <w:tcBorders>
              <w:top w:val="single" w:sz="8" w:color="0000FF"/>
            </w:tcBorders>
          </w:tcPr>
          <w:p>
            <w:pPr>
              <w:spacing w:after="0"/>
              <w:rPr>
                <w:sz w:val="13"/>
                <w:szCs w:val="13"/>
                <w:color w:val="auto"/>
              </w:rPr>
            </w:pPr>
          </w:p>
        </w:tc>
        <w:tc>
          <w:tcPr>
            <w:tcW w:w="1540" w:type="dxa"/>
            <w:vAlign w:val="bottom"/>
            <w:tcBorders>
              <w:top w:val="single" w:sz="8" w:color="0000FF"/>
            </w:tcBorders>
          </w:tcPr>
          <w:p>
            <w:pPr>
              <w:spacing w:after="0"/>
              <w:rPr>
                <w:sz w:val="13"/>
                <w:szCs w:val="13"/>
                <w:color w:val="auto"/>
              </w:rPr>
            </w:pPr>
          </w:p>
        </w:tc>
        <w:tc>
          <w:tcPr>
            <w:tcW w:w="9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
        </w:trPr>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6"/>
        </w:trPr>
        <w:tc>
          <w:tcPr>
            <w:tcW w:w="1100" w:type="dxa"/>
            <w:vAlign w:val="bottom"/>
            <w:shd w:val="clear" w:color="auto" w:fill="CCEEFF"/>
          </w:tcPr>
          <w:p>
            <w:pPr>
              <w:jc w:val="center"/>
              <w:spacing w:after="0" w:line="186" w:lineRule="exact"/>
              <w:rPr>
                <w:sz w:val="20"/>
                <w:szCs w:val="20"/>
                <w:color w:val="auto"/>
              </w:rPr>
            </w:pPr>
            <w:r>
              <w:rPr>
                <w:rFonts w:ascii="Times New Roman" w:cs="Times New Roman" w:eastAsia="Times New Roman" w:hAnsi="Times New Roman"/>
                <w:sz w:val="18"/>
                <w:szCs w:val="18"/>
                <w:color w:val="auto"/>
              </w:rPr>
              <w:t>*10.14</w:t>
            </w:r>
          </w:p>
        </w:tc>
        <w:tc>
          <w:tcPr>
            <w:tcW w:w="220" w:type="dxa"/>
            <w:vAlign w:val="bottom"/>
            <w:tcBorders>
              <w:right w:val="single" w:sz="8" w:color="CCEEFF"/>
            </w:tcBorders>
            <w:shd w:val="clear" w:color="auto" w:fill="CCEEFF"/>
          </w:tcPr>
          <w:p>
            <w:pPr>
              <w:spacing w:after="0"/>
              <w:rPr>
                <w:sz w:val="16"/>
                <w:szCs w:val="16"/>
                <w:color w:val="auto"/>
              </w:rPr>
            </w:pPr>
          </w:p>
        </w:tc>
        <w:tc>
          <w:tcPr>
            <w:tcW w:w="9080" w:type="dxa"/>
            <w:vAlign w:val="bottom"/>
            <w:gridSpan w:val="41"/>
            <w:shd w:val="clear" w:color="auto" w:fill="CCEEFF"/>
          </w:tcPr>
          <w:p>
            <w:pPr>
              <w:spacing w:after="0" w:line="186"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Amended and Restated Master Services Agreement, dated March 10, 2022, by and among Post Holdings, Inc., BellRing</w:t>
              </w:r>
            </w:hyperlink>
          </w:p>
        </w:tc>
      </w:tr>
      <w:tr>
        <w:trPr>
          <w:trHeight w:val="152"/>
        </w:trPr>
        <w:tc>
          <w:tcPr>
            <w:tcW w:w="1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right w:val="single" w:sz="8" w:color="CCEEFF"/>
            </w:tcBorders>
            <w:shd w:val="clear" w:color="auto" w:fill="CCEEFF"/>
          </w:tcPr>
          <w:p>
            <w:pPr>
              <w:spacing w:after="0"/>
              <w:rPr>
                <w:sz w:val="13"/>
                <w:szCs w:val="13"/>
                <w:color w:val="auto"/>
              </w:rPr>
            </w:pPr>
          </w:p>
        </w:tc>
        <w:tc>
          <w:tcPr>
            <w:tcW w:w="8500" w:type="dxa"/>
            <w:vAlign w:val="bottom"/>
            <w:tcBorders>
              <w:top w:val="single" w:sz="8" w:color="0000FF"/>
            </w:tcBorders>
            <w:gridSpan w:val="24"/>
            <w:shd w:val="clear" w:color="auto" w:fill="CCEEFF"/>
          </w:tcPr>
          <w:p>
            <w:pPr>
              <w:spacing w:after="0" w:line="152" w:lineRule="exact"/>
              <w:rPr>
                <w:rFonts w:ascii="Times New Roman" w:cs="Times New Roman" w:eastAsia="Times New Roman" w:hAnsi="Times New Roman"/>
                <w:sz w:val="17"/>
                <w:szCs w:val="17"/>
                <w:color w:val="0000FF"/>
              </w:rPr>
            </w:pPr>
            <w:hyperlink r:id="rId104">
              <w:r>
                <w:rPr>
                  <w:rFonts w:ascii="Times New Roman" w:cs="Times New Roman" w:eastAsia="Times New Roman" w:hAnsi="Times New Roman"/>
                  <w:sz w:val="17"/>
                  <w:szCs w:val="17"/>
                  <w:color w:val="0000FF"/>
                </w:rPr>
                <w:t>Intermediate Holdings, Inc., BellRing Brands, Inc. and BellRing Brands, LLC (Incorporated by reference to Exhibit 10.1</w:t>
              </w:r>
            </w:hyperlink>
          </w:p>
        </w:tc>
        <w:tc>
          <w:tcPr>
            <w:tcW w:w="580" w:type="dxa"/>
            <w:vAlign w:val="bottom"/>
            <w:tcBorders>
              <w:top w:val="single" w:sz="8" w:color="CCEEFF"/>
            </w:tcBorders>
            <w:gridSpan w:val="17"/>
            <w:shd w:val="clear" w:color="auto" w:fill="CCEEFF"/>
          </w:tcPr>
          <w:p>
            <w:pPr>
              <w:ind w:left="80"/>
              <w:spacing w:after="0" w:line="152" w:lineRule="exact"/>
              <w:rPr>
                <w:rFonts w:ascii="Times New Roman" w:cs="Times New Roman" w:eastAsia="Times New Roman" w:hAnsi="Times New Roman"/>
                <w:sz w:val="17"/>
                <w:szCs w:val="17"/>
                <w:color w:val="0000FF"/>
              </w:rPr>
            </w:pPr>
            <w:hyperlink r:id="rId104">
              <w:r>
                <w:rPr>
                  <w:rFonts w:ascii="Times New Roman" w:cs="Times New Roman" w:eastAsia="Times New Roman" w:hAnsi="Times New Roman"/>
                  <w:sz w:val="17"/>
                  <w:szCs w:val="17"/>
                  <w:color w:val="0000FF"/>
                </w:rPr>
                <w:t>to</w:t>
              </w:r>
            </w:hyperlink>
          </w:p>
        </w:tc>
      </w:tr>
      <w:tr>
        <w:trPr>
          <w:trHeight w:val="185"/>
        </w:trPr>
        <w:tc>
          <w:tcPr>
            <w:tcW w:w="1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4200" w:type="dxa"/>
            <w:vAlign w:val="bottom"/>
            <w:tcBorders>
              <w:top w:val="single" w:sz="8" w:color="0000FF"/>
              <w:bottom w:val="single" w:sz="8" w:color="0000FF"/>
            </w:tcBorders>
            <w:gridSpan w:val="16"/>
            <w:shd w:val="clear" w:color="auto" w:fill="CCEEFF"/>
          </w:tcPr>
          <w:p>
            <w:pPr>
              <w:spacing w:after="0" w:line="165" w:lineRule="exact"/>
              <w:rPr>
                <w:rFonts w:ascii="Times New Roman" w:cs="Times New Roman" w:eastAsia="Times New Roman" w:hAnsi="Times New Roman"/>
                <w:sz w:val="18"/>
                <w:szCs w:val="18"/>
                <w:color w:val="0000FF"/>
                <w:w w:val="97"/>
              </w:rPr>
            </w:pPr>
            <w:hyperlink r:id="rId104">
              <w:r>
                <w:rPr>
                  <w:rFonts w:ascii="Times New Roman" w:cs="Times New Roman" w:eastAsia="Times New Roman" w:hAnsi="Times New Roman"/>
                  <w:sz w:val="18"/>
                  <w:szCs w:val="18"/>
                  <w:color w:val="0000FF"/>
                  <w:w w:val="97"/>
                </w:rPr>
                <w:t>the Company’s Second Form 8-K filed on March 10, 2022)</w:t>
              </w:r>
            </w:hyperlink>
          </w:p>
        </w:tc>
        <w:tc>
          <w:tcPr>
            <w:tcW w:w="4520" w:type="dxa"/>
            <w:vAlign w:val="bottom"/>
            <w:tcBorders>
              <w:top w:val="single" w:sz="8" w:color="0000FF"/>
              <w:bottom w:val="single" w:sz="8" w:color="CCEEFF"/>
            </w:tcBorders>
            <w:gridSpan w:val="11"/>
            <w:shd w:val="clear" w:color="auto" w:fill="CCEEFF"/>
          </w:tcPr>
          <w:p>
            <w:pPr>
              <w:spacing w:after="0"/>
              <w:rPr>
                <w:sz w:val="16"/>
                <w:szCs w:val="16"/>
                <w:color w:val="auto"/>
              </w:rPr>
            </w:pPr>
          </w:p>
        </w:tc>
        <w:tc>
          <w:tcPr>
            <w:tcW w:w="360" w:type="dxa"/>
            <w:vAlign w:val="bottom"/>
            <w:tcBorders>
              <w:top w:val="single" w:sz="8" w:color="CCEEFF"/>
              <w:bottom w:val="single" w:sz="8" w:color="CCEEFF"/>
            </w:tcBorders>
            <w:gridSpan w:val="14"/>
            <w:shd w:val="clear" w:color="auto" w:fill="CCEEFF"/>
          </w:tcPr>
          <w:p>
            <w:pPr>
              <w:spacing w:after="0"/>
              <w:rPr>
                <w:sz w:val="16"/>
                <w:szCs w:val="16"/>
                <w:color w:val="auto"/>
              </w:rPr>
            </w:pPr>
          </w:p>
        </w:tc>
      </w:tr>
      <w:tr>
        <w:trPr>
          <w:trHeight w:val="187"/>
        </w:trPr>
        <w:tc>
          <w:tcPr>
            <w:tcW w:w="1100" w:type="dxa"/>
            <w:vAlign w:val="bottom"/>
          </w:tcPr>
          <w:p>
            <w:pPr>
              <w:jc w:val="center"/>
              <w:spacing w:after="0" w:line="187" w:lineRule="exact"/>
              <w:rPr>
                <w:sz w:val="20"/>
                <w:szCs w:val="20"/>
                <w:color w:val="auto"/>
              </w:rPr>
            </w:pPr>
            <w:r>
              <w:rPr>
                <w:rFonts w:ascii="Times New Roman" w:cs="Times New Roman" w:eastAsia="Times New Roman" w:hAnsi="Times New Roman"/>
                <w:sz w:val="18"/>
                <w:szCs w:val="18"/>
                <w:color w:val="auto"/>
              </w:rPr>
              <w:t>*10.15</w:t>
            </w:r>
          </w:p>
        </w:tc>
        <w:tc>
          <w:tcPr>
            <w:tcW w:w="220" w:type="dxa"/>
            <w:vAlign w:val="bottom"/>
          </w:tcPr>
          <w:p>
            <w:pPr>
              <w:spacing w:after="0"/>
              <w:rPr>
                <w:sz w:val="16"/>
                <w:szCs w:val="16"/>
                <w:color w:val="auto"/>
              </w:rPr>
            </w:pPr>
          </w:p>
        </w:tc>
        <w:tc>
          <w:tcPr>
            <w:tcW w:w="9080" w:type="dxa"/>
            <w:vAlign w:val="bottom"/>
            <w:gridSpan w:val="41"/>
          </w:tcPr>
          <w:p>
            <w:pPr>
              <w:spacing w:after="0" w:line="187" w:lineRule="exact"/>
              <w:rPr>
                <w:rFonts w:ascii="Times New Roman" w:cs="Times New Roman" w:eastAsia="Times New Roman" w:hAnsi="Times New Roman"/>
                <w:sz w:val="18"/>
                <w:szCs w:val="18"/>
                <w:u w:val="single" w:color="auto"/>
                <w:color w:val="0000FF"/>
              </w:rPr>
            </w:pPr>
            <w:hyperlink r:id="rId105">
              <w:r>
                <w:rPr>
                  <w:rFonts w:ascii="Times New Roman" w:cs="Times New Roman" w:eastAsia="Times New Roman" w:hAnsi="Times New Roman"/>
                  <w:sz w:val="18"/>
                  <w:szCs w:val="18"/>
                  <w:u w:val="single" w:color="auto"/>
                  <w:color w:val="0000FF"/>
                </w:rPr>
                <w:t>Amendment to Amended and Restated Master Services Agreement, dated August 4, 2023, by and among Post Holdings, Inc.,</w:t>
              </w:r>
            </w:hyperlink>
          </w:p>
        </w:tc>
      </w:tr>
    </w:tbl>
    <w:p>
      <w:pPr>
        <w:ind w:left="1320" w:right="80"/>
        <w:spacing w:after="0" w:line="230" w:lineRule="auto"/>
        <w:rPr>
          <w:rFonts w:ascii="Times New Roman" w:cs="Times New Roman" w:eastAsia="Times New Roman" w:hAnsi="Times New Roman"/>
          <w:sz w:val="18"/>
          <w:szCs w:val="18"/>
          <w:u w:val="single" w:color="auto"/>
          <w:color w:val="0000FF"/>
        </w:rPr>
      </w:pPr>
      <w:hyperlink r:id="rId105">
        <w:r>
          <w:rPr>
            <w:rFonts w:ascii="Times New Roman" w:cs="Times New Roman" w:eastAsia="Times New Roman" w:hAnsi="Times New Roman"/>
            <w:sz w:val="18"/>
            <w:szCs w:val="18"/>
            <w:u w:val="single" w:color="auto"/>
            <w:color w:val="0000FF"/>
          </w:rPr>
          <w:t>BellRing Intermediate Holdings, Inc., BellRing Brands, Inc. and BellRing Brands, LLC (Incorporated by reference to Exhibit</w:t>
        </w:r>
      </w:hyperlink>
      <w:r>
        <w:rPr>
          <w:rFonts w:ascii="Times New Roman" w:cs="Times New Roman" w:eastAsia="Times New Roman" w:hAnsi="Times New Roman"/>
          <w:sz w:val="18"/>
          <w:szCs w:val="18"/>
          <w:u w:val="single" w:color="auto"/>
          <w:color w:val="0000FF"/>
        </w:rPr>
        <w:t xml:space="preserve"> </w:t>
      </w:r>
      <w:hyperlink r:id="rId105">
        <w:r>
          <w:rPr>
            <w:rFonts w:ascii="Times New Roman" w:cs="Times New Roman" w:eastAsia="Times New Roman" w:hAnsi="Times New Roman"/>
            <w:sz w:val="18"/>
            <w:szCs w:val="18"/>
            <w:u w:val="single" w:color="auto"/>
            <w:color w:val="0000FF"/>
          </w:rPr>
          <w:t>10.23 to the Company’s Form 10-Q filed on August 8, 2023)</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280"/>
          </w:cols>
          <w:pgMar w:left="320" w:top="333" w:right="12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3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9100" w:type="dxa"/>
            <w:vAlign w:val="bottom"/>
            <w:gridSpan w:val="29"/>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81"/>
        </w:trPr>
        <w:tc>
          <w:tcPr>
            <w:tcW w:w="1100" w:type="dxa"/>
            <w:vAlign w:val="bottom"/>
            <w:tcBorders>
              <w:top w:val="single" w:sz="8" w:color="auto"/>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93"/>
              </w:rPr>
              <w:t>10.16</w:t>
            </w:r>
          </w:p>
        </w:tc>
        <w:tc>
          <w:tcPr>
            <w:tcW w:w="220" w:type="dxa"/>
            <w:vAlign w:val="bottom"/>
            <w:tcBorders>
              <w:top w:val="single" w:sz="8" w:color="CCEEFF"/>
              <w:right w:val="single" w:sz="8" w:color="CCEEFF"/>
            </w:tcBorders>
            <w:shd w:val="clear" w:color="auto" w:fill="CCEEFF"/>
          </w:tcPr>
          <w:p>
            <w:pPr>
              <w:spacing w:after="0"/>
              <w:rPr>
                <w:sz w:val="15"/>
                <w:szCs w:val="15"/>
                <w:color w:val="auto"/>
              </w:rPr>
            </w:pPr>
          </w:p>
        </w:tc>
        <w:tc>
          <w:tcPr>
            <w:tcW w:w="9100" w:type="dxa"/>
            <w:vAlign w:val="bottom"/>
            <w:tcBorders>
              <w:top w:val="single" w:sz="8" w:color="auto"/>
            </w:tcBorders>
            <w:gridSpan w:val="29"/>
            <w:shd w:val="clear" w:color="auto" w:fill="CCEEFF"/>
          </w:tcPr>
          <w:p>
            <w:pPr>
              <w:spacing w:after="0" w:line="182"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Registration Rights Agreement, dated March 10, 2022, by and among BellRing Brands, Inc. (formerly known as BellRing</w:t>
              </w:r>
            </w:hyperlink>
          </w:p>
        </w:tc>
      </w:tr>
      <w:tr>
        <w:trPr>
          <w:trHeight w:val="20"/>
        </w:trPr>
        <w:tc>
          <w:tcPr>
            <w:tcW w:w="11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52"/>
        </w:trPr>
        <w:tc>
          <w:tcPr>
            <w:tcW w:w="110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9100" w:type="dxa"/>
            <w:vAlign w:val="bottom"/>
            <w:gridSpan w:val="29"/>
            <w:shd w:val="clear" w:color="auto" w:fill="CCEEFF"/>
          </w:tcPr>
          <w:p>
            <w:pPr>
              <w:spacing w:after="0" w:line="152" w:lineRule="exact"/>
              <w:rPr>
                <w:rFonts w:ascii="Times New Roman" w:cs="Times New Roman" w:eastAsia="Times New Roman" w:hAnsi="Times New Roman"/>
                <w:sz w:val="17"/>
                <w:szCs w:val="17"/>
                <w:color w:val="0000FF"/>
              </w:rPr>
            </w:pPr>
            <w:hyperlink r:id="rId107">
              <w:r>
                <w:rPr>
                  <w:rFonts w:ascii="Times New Roman" w:cs="Times New Roman" w:eastAsia="Times New Roman" w:hAnsi="Times New Roman"/>
                  <w:sz w:val="17"/>
                  <w:szCs w:val="17"/>
                  <w:color w:val="0000FF"/>
                </w:rPr>
                <w:t>Distribution, LLC), Post Holdings, Inc. and the other stockholders party thereto from time to time (Incorporated by reference</w:t>
              </w:r>
            </w:hyperlink>
          </w:p>
        </w:tc>
      </w:tr>
      <w:tr>
        <w:trPr>
          <w:trHeight w:val="185"/>
        </w:trPr>
        <w:tc>
          <w:tcPr>
            <w:tcW w:w="1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5480" w:type="dxa"/>
            <w:vAlign w:val="bottom"/>
            <w:tcBorders>
              <w:top w:val="single" w:sz="8" w:color="0000FF"/>
              <w:bottom w:val="single" w:sz="8" w:color="0000FF"/>
            </w:tcBorders>
            <w:gridSpan w:val="11"/>
            <w:shd w:val="clear" w:color="auto" w:fill="CCEEFF"/>
          </w:tcPr>
          <w:p>
            <w:pPr>
              <w:spacing w:after="0" w:line="165" w:lineRule="exact"/>
              <w:rPr>
                <w:rFonts w:ascii="Times New Roman" w:cs="Times New Roman" w:eastAsia="Times New Roman" w:hAnsi="Times New Roman"/>
                <w:sz w:val="18"/>
                <w:szCs w:val="18"/>
                <w:color w:val="0000FF"/>
                <w:w w:val="97"/>
              </w:rPr>
            </w:pPr>
            <w:hyperlink r:id="rId107">
              <w:r>
                <w:rPr>
                  <w:rFonts w:ascii="Times New Roman" w:cs="Times New Roman" w:eastAsia="Times New Roman" w:hAnsi="Times New Roman"/>
                  <w:sz w:val="18"/>
                  <w:szCs w:val="18"/>
                  <w:color w:val="0000FF"/>
                  <w:w w:val="97"/>
                </w:rPr>
                <w:t>to Exhibit 10.2 to the Company’s Second Form 8-K filed on March 10, 2022)</w:t>
              </w:r>
            </w:hyperlink>
          </w:p>
        </w:tc>
        <w:tc>
          <w:tcPr>
            <w:tcW w:w="3360" w:type="dxa"/>
            <w:vAlign w:val="bottom"/>
            <w:tcBorders>
              <w:top w:val="single" w:sz="8" w:color="0000FF"/>
              <w:bottom w:val="single" w:sz="8" w:color="CCEEFF"/>
            </w:tcBorders>
            <w:gridSpan w:val="8"/>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6"/>
        </w:trPr>
        <w:tc>
          <w:tcPr>
            <w:tcW w:w="110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color w:val="auto"/>
              </w:rPr>
              <w:t>*10.17</w:t>
            </w:r>
          </w:p>
        </w:tc>
        <w:tc>
          <w:tcPr>
            <w:tcW w:w="220" w:type="dxa"/>
            <w:vAlign w:val="bottom"/>
          </w:tcPr>
          <w:p>
            <w:pPr>
              <w:spacing w:after="0"/>
              <w:rPr>
                <w:sz w:val="16"/>
                <w:szCs w:val="16"/>
                <w:color w:val="auto"/>
              </w:rPr>
            </w:pPr>
          </w:p>
        </w:tc>
        <w:tc>
          <w:tcPr>
            <w:tcW w:w="9100" w:type="dxa"/>
            <w:vAlign w:val="bottom"/>
            <w:gridSpan w:val="29"/>
          </w:tcPr>
          <w:p>
            <w:pPr>
              <w:spacing w:after="0" w:line="186"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Amended and Restated Employee Matters Agreement, dated March 10, 2022, by and among Post Holdings, Inc., BellRing</w:t>
              </w:r>
            </w:hyperlink>
          </w:p>
        </w:tc>
      </w:tr>
      <w:tr>
        <w:trPr>
          <w:trHeight w:val="152"/>
        </w:trPr>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760" w:type="dxa"/>
            <w:vAlign w:val="bottom"/>
            <w:tcBorders>
              <w:top w:val="single" w:sz="8" w:color="0000FF"/>
              <w:bottom w:val="single" w:sz="8" w:color="0000FF"/>
            </w:tcBorders>
            <w:gridSpan w:val="18"/>
          </w:tcPr>
          <w:p>
            <w:pPr>
              <w:spacing w:after="0" w:line="152" w:lineRule="exact"/>
              <w:rPr>
                <w:rFonts w:ascii="Times New Roman" w:cs="Times New Roman" w:eastAsia="Times New Roman" w:hAnsi="Times New Roman"/>
                <w:sz w:val="17"/>
                <w:szCs w:val="17"/>
                <w:color w:val="0000FF"/>
              </w:rPr>
            </w:pPr>
            <w:hyperlink r:id="rId108">
              <w:r>
                <w:rPr>
                  <w:rFonts w:ascii="Times New Roman" w:cs="Times New Roman" w:eastAsia="Times New Roman" w:hAnsi="Times New Roman"/>
                  <w:sz w:val="17"/>
                  <w:szCs w:val="17"/>
                  <w:color w:val="0000FF"/>
                </w:rPr>
                <w:t>Intermediate Holdings, Inc. (formerly known as BellRing Brands, Inc.), BellRing Brands, LLC and BellRing Brands, Inc.</w:t>
              </w:r>
            </w:hyperlink>
          </w:p>
        </w:tc>
        <w:tc>
          <w:tcPr>
            <w:tcW w:w="1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6"/>
        </w:trPr>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100" w:type="dxa"/>
            <w:vAlign w:val="bottom"/>
            <w:gridSpan w:val="29"/>
          </w:tcPr>
          <w:p>
            <w:pPr>
              <w:spacing w:after="0" w:line="165"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(formerly known as BellRing Distribution, LLC) (Incorporated by reference to Exhibit 10.3 to the Company’s Second Form</w:t>
              </w:r>
            </w:hyperlink>
          </w:p>
        </w:tc>
      </w:tr>
      <w:tr>
        <w:trPr>
          <w:trHeight w:val="162"/>
        </w:trPr>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00" w:type="dxa"/>
            <w:vAlign w:val="bottom"/>
            <w:tcBorders>
              <w:top w:val="single" w:sz="8" w:color="0000FF"/>
              <w:bottom w:val="single" w:sz="8" w:color="0000FF"/>
            </w:tcBorders>
            <w:gridSpan w:val="3"/>
          </w:tcPr>
          <w:p>
            <w:pPr>
              <w:spacing w:after="0" w:line="152" w:lineRule="exact"/>
              <w:rPr>
                <w:rFonts w:ascii="Times New Roman" w:cs="Times New Roman" w:eastAsia="Times New Roman" w:hAnsi="Times New Roman"/>
                <w:sz w:val="17"/>
                <w:szCs w:val="17"/>
                <w:color w:val="0000FF"/>
              </w:rPr>
            </w:pPr>
            <w:hyperlink r:id="rId108">
              <w:r>
                <w:rPr>
                  <w:rFonts w:ascii="Times New Roman" w:cs="Times New Roman" w:eastAsia="Times New Roman" w:hAnsi="Times New Roman"/>
                  <w:sz w:val="17"/>
                  <w:szCs w:val="17"/>
                  <w:color w:val="0000FF"/>
                </w:rPr>
                <w:t>8-K filed on March 10, 2022)</w:t>
              </w:r>
            </w:hyperlink>
          </w:p>
        </w:tc>
        <w:tc>
          <w:tcPr>
            <w:tcW w:w="6660" w:type="dxa"/>
            <w:vAlign w:val="bottom"/>
            <w:tcBorders>
              <w:top w:val="single" w:sz="8" w:color="0000FF"/>
            </w:tcBorders>
            <w:gridSpan w:val="15"/>
          </w:tcPr>
          <w:p>
            <w:pPr>
              <w:spacing w:after="0"/>
              <w:rPr>
                <w:sz w:val="14"/>
                <w:szCs w:val="14"/>
                <w:color w:val="auto"/>
              </w:rPr>
            </w:pPr>
          </w:p>
        </w:tc>
        <w:tc>
          <w:tcPr>
            <w:tcW w:w="1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5"/>
        </w:trPr>
        <w:tc>
          <w:tcPr>
            <w:tcW w:w="1100" w:type="dxa"/>
            <w:vAlign w:val="bottom"/>
            <w:tcBorders>
              <w:bottom w:val="single" w:sz="8" w:color="CCEEFF"/>
            </w:tcBorders>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rPr>
              <w:t>*10.18</w:t>
            </w:r>
          </w:p>
        </w:tc>
        <w:tc>
          <w:tcPr>
            <w:tcW w:w="220" w:type="dxa"/>
            <w:vAlign w:val="bottom"/>
            <w:tcBorders>
              <w:bottom w:val="single" w:sz="8" w:color="CCEEFF"/>
              <w:right w:val="single" w:sz="8" w:color="CCEEFF"/>
            </w:tcBorders>
            <w:shd w:val="clear" w:color="auto" w:fill="CCEEFF"/>
          </w:tcPr>
          <w:p>
            <w:pPr>
              <w:spacing w:after="0"/>
              <w:rPr>
                <w:sz w:val="16"/>
                <w:szCs w:val="16"/>
                <w:color w:val="auto"/>
              </w:rPr>
            </w:pPr>
          </w:p>
        </w:tc>
        <w:tc>
          <w:tcPr>
            <w:tcW w:w="8420" w:type="dxa"/>
            <w:vAlign w:val="bottom"/>
            <w:tcBorders>
              <w:bottom w:val="single" w:sz="8" w:color="0000FF"/>
            </w:tcBorders>
            <w:gridSpan w:val="16"/>
            <w:shd w:val="clear" w:color="auto" w:fill="CCEEFF"/>
          </w:tcPr>
          <w:p>
            <w:pPr>
              <w:spacing w:after="0" w:line="195" w:lineRule="exact"/>
              <w:rPr>
                <w:rFonts w:ascii="Times New Roman" w:cs="Times New Roman" w:eastAsia="Times New Roman" w:hAnsi="Times New Roman"/>
                <w:sz w:val="18"/>
                <w:szCs w:val="18"/>
                <w:color w:val="0000FF"/>
                <w:w w:val="97"/>
              </w:rPr>
            </w:pPr>
            <w:hyperlink r:id="rId109">
              <w:r>
                <w:rPr>
                  <w:rFonts w:ascii="Times New Roman" w:cs="Times New Roman" w:eastAsia="Times New Roman" w:hAnsi="Times New Roman"/>
                  <w:sz w:val="18"/>
                  <w:szCs w:val="18"/>
                  <w:color w:val="0000FF"/>
                  <w:w w:val="97"/>
                </w:rPr>
                <w:t>Tax Matters Agreement, dated March 10, 2022, by and among BellRing Brands, Inc., Post Holdings, Inc. and BellRing</w:t>
              </w:r>
            </w:hyperlink>
          </w:p>
        </w:tc>
        <w:tc>
          <w:tcPr>
            <w:tcW w:w="680" w:type="dxa"/>
            <w:vAlign w:val="bottom"/>
            <w:tcBorders>
              <w:bottom w:val="single" w:sz="8" w:color="CCEEFF"/>
            </w:tcBorders>
            <w:gridSpan w:val="13"/>
            <w:shd w:val="clear" w:color="auto" w:fill="CCEEFF"/>
          </w:tcPr>
          <w:p>
            <w:pPr>
              <w:spacing w:after="0"/>
              <w:rPr>
                <w:sz w:val="16"/>
                <w:szCs w:val="16"/>
                <w:color w:val="auto"/>
              </w:rPr>
            </w:pPr>
          </w:p>
        </w:tc>
      </w:tr>
      <w:tr>
        <w:trPr>
          <w:trHeight w:val="152"/>
        </w:trPr>
        <w:tc>
          <w:tcPr>
            <w:tcW w:w="110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9100" w:type="dxa"/>
            <w:vAlign w:val="bottom"/>
            <w:gridSpan w:val="29"/>
            <w:shd w:val="clear" w:color="auto" w:fill="CCEEFF"/>
          </w:tcPr>
          <w:p>
            <w:pPr>
              <w:spacing w:after="0" w:line="152" w:lineRule="exact"/>
              <w:rPr>
                <w:rFonts w:ascii="Times New Roman" w:cs="Times New Roman" w:eastAsia="Times New Roman" w:hAnsi="Times New Roman"/>
                <w:sz w:val="17"/>
                <w:szCs w:val="17"/>
                <w:color w:val="0000FF"/>
              </w:rPr>
            </w:pPr>
            <w:hyperlink r:id="rId109">
              <w:r>
                <w:rPr>
                  <w:rFonts w:ascii="Times New Roman" w:cs="Times New Roman" w:eastAsia="Times New Roman" w:hAnsi="Times New Roman"/>
                  <w:sz w:val="17"/>
                  <w:szCs w:val="17"/>
                  <w:color w:val="0000FF"/>
                </w:rPr>
                <w:t>Intermediate Holdings, Inc. (Incorporated by reference to Exhibit 10.4 to the Company’s Second Form 8-K filed on March 10,</w:t>
              </w:r>
            </w:hyperlink>
          </w:p>
        </w:tc>
      </w:tr>
      <w:tr>
        <w:trPr>
          <w:trHeight w:val="185"/>
        </w:trPr>
        <w:tc>
          <w:tcPr>
            <w:tcW w:w="1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420" w:type="dxa"/>
            <w:vAlign w:val="bottom"/>
            <w:tcBorders>
              <w:top w:val="single" w:sz="8" w:color="0000FF"/>
              <w:bottom w:val="single" w:sz="8" w:color="0000FF"/>
            </w:tcBorders>
            <w:shd w:val="clear" w:color="auto" w:fill="CCEEFF"/>
          </w:tcPr>
          <w:p>
            <w:pPr>
              <w:spacing w:after="0" w:line="165" w:lineRule="exact"/>
              <w:rPr>
                <w:rFonts w:ascii="Times New Roman" w:cs="Times New Roman" w:eastAsia="Times New Roman" w:hAnsi="Times New Roman"/>
                <w:sz w:val="18"/>
                <w:szCs w:val="18"/>
                <w:color w:val="0000FF"/>
                <w:w w:val="95"/>
              </w:rPr>
            </w:pPr>
            <w:hyperlink r:id="rId109">
              <w:r>
                <w:rPr>
                  <w:rFonts w:ascii="Times New Roman" w:cs="Times New Roman" w:eastAsia="Times New Roman" w:hAnsi="Times New Roman"/>
                  <w:sz w:val="18"/>
                  <w:szCs w:val="18"/>
                  <w:color w:val="0000FF"/>
                  <w:w w:val="95"/>
                </w:rPr>
                <w:t>2022)</w:t>
              </w:r>
            </w:hyperlink>
          </w:p>
        </w:tc>
        <w:tc>
          <w:tcPr>
            <w:tcW w:w="1040" w:type="dxa"/>
            <w:vAlign w:val="bottom"/>
            <w:tcBorders>
              <w:top w:val="single" w:sz="8" w:color="0000FF"/>
              <w:bottom w:val="single" w:sz="8" w:color="CCEEFF"/>
            </w:tcBorders>
            <w:shd w:val="clear" w:color="auto" w:fill="CCEEFF"/>
          </w:tcPr>
          <w:p>
            <w:pPr>
              <w:spacing w:after="0"/>
              <w:rPr>
                <w:sz w:val="16"/>
                <w:szCs w:val="16"/>
                <w:color w:val="auto"/>
              </w:rPr>
            </w:pPr>
          </w:p>
        </w:tc>
        <w:tc>
          <w:tcPr>
            <w:tcW w:w="640" w:type="dxa"/>
            <w:vAlign w:val="bottom"/>
            <w:tcBorders>
              <w:top w:val="single" w:sz="8" w:color="0000FF"/>
              <w:bottom w:val="single" w:sz="8" w:color="CCEEFF"/>
            </w:tcBorders>
            <w:shd w:val="clear" w:color="auto" w:fill="CCEEFF"/>
          </w:tcPr>
          <w:p>
            <w:pPr>
              <w:spacing w:after="0"/>
              <w:rPr>
                <w:sz w:val="16"/>
                <w:szCs w:val="16"/>
                <w:color w:val="auto"/>
              </w:rPr>
            </w:pPr>
          </w:p>
        </w:tc>
        <w:tc>
          <w:tcPr>
            <w:tcW w:w="180" w:type="dxa"/>
            <w:vAlign w:val="bottom"/>
            <w:tcBorders>
              <w:top w:val="single" w:sz="8" w:color="0000FF"/>
              <w:bottom w:val="single" w:sz="8" w:color="CCEEFF"/>
            </w:tcBorders>
            <w:shd w:val="clear" w:color="auto" w:fill="CCEEFF"/>
          </w:tcPr>
          <w:p>
            <w:pPr>
              <w:spacing w:after="0"/>
              <w:rPr>
                <w:sz w:val="16"/>
                <w:szCs w:val="16"/>
                <w:color w:val="auto"/>
              </w:rPr>
            </w:pPr>
          </w:p>
        </w:tc>
        <w:tc>
          <w:tcPr>
            <w:tcW w:w="360" w:type="dxa"/>
            <w:vAlign w:val="bottom"/>
            <w:tcBorders>
              <w:top w:val="single" w:sz="8" w:color="0000FF"/>
              <w:bottom w:val="single" w:sz="8" w:color="CCEEFF"/>
            </w:tcBorders>
            <w:shd w:val="clear" w:color="auto" w:fill="CCEEFF"/>
          </w:tcPr>
          <w:p>
            <w:pPr>
              <w:spacing w:after="0"/>
              <w:rPr>
                <w:sz w:val="16"/>
                <w:szCs w:val="16"/>
                <w:color w:val="auto"/>
              </w:rPr>
            </w:pPr>
          </w:p>
        </w:tc>
        <w:tc>
          <w:tcPr>
            <w:tcW w:w="120" w:type="dxa"/>
            <w:vAlign w:val="bottom"/>
            <w:tcBorders>
              <w:top w:val="single" w:sz="8" w:color="0000FF"/>
              <w:bottom w:val="single" w:sz="8" w:color="CCEEFF"/>
            </w:tcBorders>
            <w:shd w:val="clear" w:color="auto" w:fill="CCEEFF"/>
          </w:tcPr>
          <w:p>
            <w:pPr>
              <w:spacing w:after="0"/>
              <w:rPr>
                <w:sz w:val="16"/>
                <w:szCs w:val="16"/>
                <w:color w:val="auto"/>
              </w:rPr>
            </w:pPr>
          </w:p>
        </w:tc>
        <w:tc>
          <w:tcPr>
            <w:tcW w:w="160" w:type="dxa"/>
            <w:vAlign w:val="bottom"/>
            <w:tcBorders>
              <w:top w:val="single" w:sz="8" w:color="0000FF"/>
              <w:bottom w:val="single" w:sz="8" w:color="CCEEFF"/>
            </w:tcBorders>
            <w:shd w:val="clear" w:color="auto" w:fill="CCEEFF"/>
          </w:tcPr>
          <w:p>
            <w:pPr>
              <w:spacing w:after="0"/>
              <w:rPr>
                <w:sz w:val="16"/>
                <w:szCs w:val="16"/>
                <w:color w:val="auto"/>
              </w:rPr>
            </w:pPr>
          </w:p>
        </w:tc>
        <w:tc>
          <w:tcPr>
            <w:tcW w:w="420" w:type="dxa"/>
            <w:vAlign w:val="bottom"/>
            <w:tcBorders>
              <w:top w:val="single" w:sz="8" w:color="0000FF"/>
              <w:bottom w:val="single" w:sz="8" w:color="CCEEFF"/>
            </w:tcBorders>
            <w:shd w:val="clear" w:color="auto" w:fill="CCEEFF"/>
          </w:tcPr>
          <w:p>
            <w:pPr>
              <w:spacing w:after="0"/>
              <w:rPr>
                <w:sz w:val="16"/>
                <w:szCs w:val="16"/>
                <w:color w:val="auto"/>
              </w:rPr>
            </w:pPr>
          </w:p>
        </w:tc>
        <w:tc>
          <w:tcPr>
            <w:tcW w:w="1360" w:type="dxa"/>
            <w:vAlign w:val="bottom"/>
            <w:tcBorders>
              <w:top w:val="single" w:sz="8" w:color="0000FF"/>
              <w:bottom w:val="single" w:sz="8" w:color="CCEEFF"/>
            </w:tcBorders>
            <w:shd w:val="clear" w:color="auto" w:fill="CCEEFF"/>
          </w:tcPr>
          <w:p>
            <w:pPr>
              <w:spacing w:after="0"/>
              <w:rPr>
                <w:sz w:val="16"/>
                <w:szCs w:val="16"/>
                <w:color w:val="auto"/>
              </w:rPr>
            </w:pPr>
          </w:p>
        </w:tc>
        <w:tc>
          <w:tcPr>
            <w:tcW w:w="580" w:type="dxa"/>
            <w:vAlign w:val="bottom"/>
            <w:tcBorders>
              <w:top w:val="single" w:sz="8" w:color="0000FF"/>
              <w:bottom w:val="single" w:sz="8" w:color="CCEEFF"/>
            </w:tcBorders>
            <w:shd w:val="clear" w:color="auto" w:fill="CCEEFF"/>
          </w:tcPr>
          <w:p>
            <w:pPr>
              <w:spacing w:after="0"/>
              <w:rPr>
                <w:sz w:val="16"/>
                <w:szCs w:val="16"/>
                <w:color w:val="auto"/>
              </w:rPr>
            </w:pPr>
          </w:p>
        </w:tc>
        <w:tc>
          <w:tcPr>
            <w:tcW w:w="200" w:type="dxa"/>
            <w:vAlign w:val="bottom"/>
            <w:tcBorders>
              <w:top w:val="single" w:sz="8" w:color="0000FF"/>
              <w:bottom w:val="single" w:sz="8" w:color="CCEEFF"/>
            </w:tcBorders>
            <w:shd w:val="clear" w:color="auto" w:fill="CCEEFF"/>
          </w:tcPr>
          <w:p>
            <w:pPr>
              <w:spacing w:after="0"/>
              <w:rPr>
                <w:sz w:val="16"/>
                <w:szCs w:val="16"/>
                <w:color w:val="auto"/>
              </w:rPr>
            </w:pPr>
          </w:p>
        </w:tc>
        <w:tc>
          <w:tcPr>
            <w:tcW w:w="1800" w:type="dxa"/>
            <w:vAlign w:val="bottom"/>
            <w:tcBorders>
              <w:top w:val="single" w:sz="8" w:color="0000FF"/>
              <w:bottom w:val="single" w:sz="8" w:color="CCEEFF"/>
            </w:tcBorders>
            <w:shd w:val="clear" w:color="auto" w:fill="CCEEFF"/>
          </w:tcPr>
          <w:p>
            <w:pPr>
              <w:spacing w:after="0"/>
              <w:rPr>
                <w:sz w:val="16"/>
                <w:szCs w:val="16"/>
                <w:color w:val="auto"/>
              </w:rPr>
            </w:pPr>
          </w:p>
        </w:tc>
        <w:tc>
          <w:tcPr>
            <w:tcW w:w="680" w:type="dxa"/>
            <w:vAlign w:val="bottom"/>
            <w:tcBorders>
              <w:top w:val="single" w:sz="8" w:color="0000FF"/>
              <w:bottom w:val="single" w:sz="8" w:color="CCEEFF"/>
            </w:tcBorders>
            <w:shd w:val="clear" w:color="auto" w:fill="CCEEFF"/>
          </w:tcPr>
          <w:p>
            <w:pPr>
              <w:spacing w:after="0"/>
              <w:rPr>
                <w:sz w:val="16"/>
                <w:szCs w:val="16"/>
                <w:color w:val="auto"/>
              </w:rPr>
            </w:pPr>
          </w:p>
        </w:tc>
        <w:tc>
          <w:tcPr>
            <w:tcW w:w="40" w:type="dxa"/>
            <w:vAlign w:val="bottom"/>
            <w:tcBorders>
              <w:top w:val="single" w:sz="8" w:color="0000FF"/>
              <w:bottom w:val="single" w:sz="8" w:color="CCEEFF"/>
            </w:tcBorders>
            <w:shd w:val="clear" w:color="auto" w:fill="CCEEFF"/>
          </w:tcPr>
          <w:p>
            <w:pPr>
              <w:spacing w:after="0"/>
              <w:rPr>
                <w:sz w:val="16"/>
                <w:szCs w:val="16"/>
                <w:color w:val="auto"/>
              </w:rPr>
            </w:pPr>
          </w:p>
        </w:tc>
        <w:tc>
          <w:tcPr>
            <w:tcW w:w="40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120" w:type="dxa"/>
            <w:vAlign w:val="bottom"/>
            <w:tcBorders>
              <w:top w:val="single" w:sz="8" w:color="0000FF"/>
              <w:bottom w:val="single" w:sz="8" w:color="CCEEFF"/>
            </w:tcBorders>
            <w:shd w:val="clear" w:color="auto" w:fill="CCEEFF"/>
          </w:tcPr>
          <w:p>
            <w:pPr>
              <w:spacing w:after="0"/>
              <w:rPr>
                <w:sz w:val="16"/>
                <w:szCs w:val="16"/>
                <w:color w:val="auto"/>
              </w:rPr>
            </w:pPr>
          </w:p>
        </w:tc>
        <w:tc>
          <w:tcPr>
            <w:tcW w:w="220" w:type="dxa"/>
            <w:vAlign w:val="bottom"/>
            <w:tcBorders>
              <w:top w:val="single" w:sz="8" w:color="0000FF"/>
              <w:bottom w:val="single" w:sz="8" w:color="CCEEFF"/>
              <w:right w:val="single" w:sz="8" w:color="CCEEFF"/>
            </w:tcBorders>
            <w:shd w:val="clear" w:color="auto" w:fill="CCEEFF"/>
          </w:tcPr>
          <w:p>
            <w:pPr>
              <w:spacing w:after="0"/>
              <w:rPr>
                <w:sz w:val="16"/>
                <w:szCs w:val="16"/>
                <w:color w:val="auto"/>
              </w:rPr>
            </w:pPr>
          </w:p>
        </w:tc>
        <w:tc>
          <w:tcPr>
            <w:tcW w:w="80" w:type="dxa"/>
            <w:vAlign w:val="bottom"/>
            <w:tcBorders>
              <w:top w:val="single" w:sz="8" w:color="0000FF"/>
              <w:bottom w:val="single" w:sz="8" w:color="CCEEFF"/>
            </w:tcBorders>
            <w:shd w:val="clear" w:color="auto" w:fill="CCEEFF"/>
          </w:tcPr>
          <w:p>
            <w:pPr>
              <w:spacing w:after="0"/>
              <w:rPr>
                <w:sz w:val="16"/>
                <w:szCs w:val="16"/>
                <w:color w:val="auto"/>
              </w:rPr>
            </w:pPr>
          </w:p>
        </w:tc>
        <w:tc>
          <w:tcPr>
            <w:tcW w:w="8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5"/>
        </w:trPr>
        <w:tc>
          <w:tcPr>
            <w:tcW w:w="110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color w:val="auto"/>
                <w:w w:val="93"/>
              </w:rPr>
              <w:t>10.19</w:t>
            </w:r>
          </w:p>
        </w:tc>
        <w:tc>
          <w:tcPr>
            <w:tcW w:w="220" w:type="dxa"/>
            <w:vAlign w:val="bottom"/>
          </w:tcPr>
          <w:p>
            <w:pPr>
              <w:spacing w:after="0"/>
              <w:rPr>
                <w:sz w:val="16"/>
                <w:szCs w:val="16"/>
                <w:color w:val="auto"/>
              </w:rPr>
            </w:pPr>
          </w:p>
        </w:tc>
        <w:tc>
          <w:tcPr>
            <w:tcW w:w="9100" w:type="dxa"/>
            <w:vAlign w:val="bottom"/>
            <w:gridSpan w:val="29"/>
          </w:tcPr>
          <w:p>
            <w:pPr>
              <w:spacing w:after="0" w:line="186"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Tax Receivable Agreement, dated October 21, 2019, by and among BellRing Brands, Inc., BellRing Brands, LLC and Post</w:t>
              </w:r>
            </w:hyperlink>
          </w:p>
        </w:tc>
      </w:tr>
      <w:tr>
        <w:trPr>
          <w:trHeight w:val="152"/>
        </w:trPr>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760" w:type="dxa"/>
            <w:vAlign w:val="bottom"/>
            <w:tcBorders>
              <w:top w:val="single" w:sz="8" w:color="0000FF"/>
            </w:tcBorders>
            <w:gridSpan w:val="18"/>
          </w:tcPr>
          <w:p>
            <w:pPr>
              <w:spacing w:after="0" w:line="152" w:lineRule="exact"/>
              <w:rPr>
                <w:rFonts w:ascii="Times New Roman" w:cs="Times New Roman" w:eastAsia="Times New Roman" w:hAnsi="Times New Roman"/>
                <w:sz w:val="17"/>
                <w:szCs w:val="17"/>
                <w:color w:val="0000FF"/>
              </w:rPr>
            </w:pPr>
            <w:hyperlink r:id="rId110">
              <w:r>
                <w:rPr>
                  <w:rFonts w:ascii="Times New Roman" w:cs="Times New Roman" w:eastAsia="Times New Roman" w:hAnsi="Times New Roman"/>
                  <w:sz w:val="17"/>
                  <w:szCs w:val="17"/>
                  <w:color w:val="0000FF"/>
                </w:rPr>
                <w:t>Holdings, Inc. (Incorporated by reference to Exhibit 10.5 to the Company’s Form 8-K filed on October 21, 2019)</w:t>
              </w:r>
            </w:hyperlink>
          </w:p>
        </w:tc>
        <w:tc>
          <w:tcPr>
            <w:tcW w:w="1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
        </w:trPr>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04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360" w:type="dxa"/>
            <w:vAlign w:val="bottom"/>
            <w:tcBorders>
              <w:top w:val="single" w:sz="8" w:color="0000FF"/>
            </w:tcBorders>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800" w:type="dxa"/>
            <w:vAlign w:val="bottom"/>
            <w:tcBorders>
              <w:top w:val="single" w:sz="8" w:color="0000FF"/>
            </w:tcBorders>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6"/>
        </w:trPr>
        <w:tc>
          <w:tcPr>
            <w:tcW w:w="1100" w:type="dxa"/>
            <w:vAlign w:val="bottom"/>
            <w:tcBorders>
              <w:bottom w:val="single" w:sz="8" w:color="CCEEFF"/>
            </w:tcBorders>
            <w:shd w:val="clear" w:color="auto" w:fill="CCEEFF"/>
          </w:tcPr>
          <w:p>
            <w:pPr>
              <w:jc w:val="center"/>
              <w:spacing w:after="0" w:line="186" w:lineRule="exact"/>
              <w:rPr>
                <w:sz w:val="20"/>
                <w:szCs w:val="20"/>
                <w:color w:val="auto"/>
              </w:rPr>
            </w:pPr>
            <w:r>
              <w:rPr>
                <w:rFonts w:ascii="Times New Roman" w:cs="Times New Roman" w:eastAsia="Times New Roman" w:hAnsi="Times New Roman"/>
                <w:sz w:val="18"/>
                <w:szCs w:val="18"/>
                <w:color w:val="auto"/>
              </w:rPr>
              <w:t>*10.20</w:t>
            </w:r>
          </w:p>
        </w:tc>
        <w:tc>
          <w:tcPr>
            <w:tcW w:w="220" w:type="dxa"/>
            <w:vAlign w:val="bottom"/>
            <w:tcBorders>
              <w:bottom w:val="single" w:sz="8" w:color="CCEEFF"/>
              <w:right w:val="single" w:sz="8" w:color="CCEEFF"/>
            </w:tcBorders>
            <w:shd w:val="clear" w:color="auto" w:fill="CCEEFF"/>
          </w:tcPr>
          <w:p>
            <w:pPr>
              <w:spacing w:after="0"/>
              <w:rPr>
                <w:sz w:val="16"/>
                <w:szCs w:val="16"/>
                <w:color w:val="auto"/>
              </w:rPr>
            </w:pPr>
          </w:p>
        </w:tc>
        <w:tc>
          <w:tcPr>
            <w:tcW w:w="7960" w:type="dxa"/>
            <w:vAlign w:val="bottom"/>
            <w:tcBorders>
              <w:bottom w:val="single" w:sz="8" w:color="0000FF"/>
            </w:tcBorders>
            <w:gridSpan w:val="13"/>
            <w:shd w:val="clear" w:color="auto" w:fill="CCEEFF"/>
          </w:tcPr>
          <w:p>
            <w:pPr>
              <w:spacing w:after="0" w:line="186" w:lineRule="exact"/>
              <w:rPr>
                <w:rFonts w:ascii="Times New Roman" w:cs="Times New Roman" w:eastAsia="Times New Roman" w:hAnsi="Times New Roman"/>
                <w:sz w:val="18"/>
                <w:szCs w:val="18"/>
                <w:color w:val="0000FF"/>
                <w:w w:val="97"/>
              </w:rPr>
            </w:pPr>
            <w:hyperlink r:id="rId111">
              <w:r>
                <w:rPr>
                  <w:rFonts w:ascii="Times New Roman" w:cs="Times New Roman" w:eastAsia="Times New Roman" w:hAnsi="Times New Roman"/>
                  <w:sz w:val="18"/>
                  <w:szCs w:val="18"/>
                  <w:color w:val="0000FF"/>
                  <w:w w:val="97"/>
                </w:rPr>
                <w:t>Credit Agreement, dated March 10, 2022, by and among BellRing Brands, Inc., JPMorgan Chase Bank, N.A., as</w:t>
              </w:r>
            </w:hyperlink>
          </w:p>
        </w:tc>
        <w:tc>
          <w:tcPr>
            <w:tcW w:w="1140" w:type="dxa"/>
            <w:vAlign w:val="bottom"/>
            <w:tcBorders>
              <w:bottom w:val="single" w:sz="8" w:color="CCEEFF"/>
            </w:tcBorders>
            <w:gridSpan w:val="16"/>
            <w:shd w:val="clear" w:color="auto" w:fill="CCEEFF"/>
          </w:tcPr>
          <w:p>
            <w:pPr>
              <w:spacing w:after="0"/>
              <w:rPr>
                <w:sz w:val="16"/>
                <w:szCs w:val="16"/>
                <w:color w:val="auto"/>
              </w:rPr>
            </w:pPr>
          </w:p>
        </w:tc>
      </w:tr>
      <w:tr>
        <w:trPr>
          <w:trHeight w:val="152"/>
        </w:trPr>
        <w:tc>
          <w:tcPr>
            <w:tcW w:w="110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9100" w:type="dxa"/>
            <w:vAlign w:val="bottom"/>
            <w:gridSpan w:val="29"/>
            <w:shd w:val="clear" w:color="auto" w:fill="CCEEFF"/>
          </w:tcPr>
          <w:p>
            <w:pPr>
              <w:spacing w:after="0" w:line="152" w:lineRule="exact"/>
              <w:rPr>
                <w:rFonts w:ascii="Times New Roman" w:cs="Times New Roman" w:eastAsia="Times New Roman" w:hAnsi="Times New Roman"/>
                <w:sz w:val="17"/>
                <w:szCs w:val="17"/>
                <w:color w:val="0000FF"/>
              </w:rPr>
            </w:pPr>
            <w:hyperlink r:id="rId111">
              <w:r>
                <w:rPr>
                  <w:rFonts w:ascii="Times New Roman" w:cs="Times New Roman" w:eastAsia="Times New Roman" w:hAnsi="Times New Roman"/>
                  <w:sz w:val="17"/>
                  <w:szCs w:val="17"/>
                  <w:color w:val="0000FF"/>
                </w:rPr>
                <w:t>administrative agent and collateral agent, and each lender from time to time party thereto (Incorporated by reference to</w:t>
              </w:r>
            </w:hyperlink>
          </w:p>
        </w:tc>
      </w:tr>
      <w:tr>
        <w:trPr>
          <w:trHeight w:val="166"/>
        </w:trPr>
        <w:tc>
          <w:tcPr>
            <w:tcW w:w="1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right w:val="single" w:sz="8" w:color="CCEEFF"/>
            </w:tcBorders>
            <w:shd w:val="clear" w:color="auto" w:fill="CCEEFF"/>
          </w:tcPr>
          <w:p>
            <w:pPr>
              <w:spacing w:after="0"/>
              <w:rPr>
                <w:sz w:val="14"/>
                <w:szCs w:val="14"/>
                <w:color w:val="auto"/>
              </w:rPr>
            </w:pPr>
          </w:p>
        </w:tc>
        <w:tc>
          <w:tcPr>
            <w:tcW w:w="8400" w:type="dxa"/>
            <w:vAlign w:val="bottom"/>
            <w:tcBorders>
              <w:top w:val="single" w:sz="8" w:color="0000FF"/>
            </w:tcBorders>
            <w:gridSpan w:val="15"/>
            <w:shd w:val="clear" w:color="auto" w:fill="CCEEFF"/>
          </w:tcPr>
          <w:p>
            <w:pPr>
              <w:spacing w:after="0" w:line="165"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Exhibit 10.5 to the Company’s Second Form 8-K filed on March 10, 2022)</w:t>
              </w:r>
            </w:hyperlink>
          </w:p>
        </w:tc>
        <w:tc>
          <w:tcPr>
            <w:tcW w:w="140" w:type="dxa"/>
            <w:vAlign w:val="bottom"/>
            <w:tcBorders>
              <w:top w:val="single" w:sz="8" w:color="CCEEFF"/>
            </w:tcBorders>
            <w:gridSpan w:val="2"/>
            <w:shd w:val="clear" w:color="auto" w:fill="CCEEFF"/>
          </w:tcPr>
          <w:p>
            <w:pPr>
              <w:spacing w:after="0"/>
              <w:rPr>
                <w:sz w:val="14"/>
                <w:szCs w:val="14"/>
                <w:color w:val="auto"/>
              </w:rPr>
            </w:pPr>
          </w:p>
        </w:tc>
        <w:tc>
          <w:tcPr>
            <w:tcW w:w="220" w:type="dxa"/>
            <w:vAlign w:val="bottom"/>
            <w:tcBorders>
              <w:top w:val="single" w:sz="8" w:color="CCEEFF"/>
              <w:right w:val="single" w:sz="8" w:color="CCEEFF"/>
            </w:tcBorders>
            <w:shd w:val="clear" w:color="auto" w:fill="CCEEFF"/>
          </w:tcPr>
          <w:p>
            <w:pPr>
              <w:spacing w:after="0"/>
              <w:rPr>
                <w:sz w:val="14"/>
                <w:szCs w:val="14"/>
                <w:color w:val="auto"/>
              </w:rPr>
            </w:pPr>
          </w:p>
        </w:tc>
        <w:tc>
          <w:tcPr>
            <w:tcW w:w="180" w:type="dxa"/>
            <w:vAlign w:val="bottom"/>
            <w:tcBorders>
              <w:top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r>
      <w:tr>
        <w:trPr>
          <w:trHeight w:val="40"/>
        </w:trPr>
        <w:tc>
          <w:tcPr>
            <w:tcW w:w="1100" w:type="dxa"/>
            <w:vAlign w:val="bottom"/>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1040" w:type="dxa"/>
            <w:vAlign w:val="bottom"/>
            <w:shd w:val="clear" w:color="auto" w:fill="0000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1360" w:type="dxa"/>
            <w:vAlign w:val="bottom"/>
            <w:shd w:val="clear" w:color="auto" w:fill="0000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80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5"/>
        </w:trPr>
        <w:tc>
          <w:tcPr>
            <w:tcW w:w="110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color w:val="auto"/>
              </w:rPr>
              <w:t>*10.21</w:t>
            </w:r>
          </w:p>
        </w:tc>
        <w:tc>
          <w:tcPr>
            <w:tcW w:w="220" w:type="dxa"/>
            <w:vAlign w:val="bottom"/>
          </w:tcPr>
          <w:p>
            <w:pPr>
              <w:spacing w:after="0"/>
              <w:rPr>
                <w:sz w:val="16"/>
                <w:szCs w:val="16"/>
                <w:color w:val="auto"/>
              </w:rPr>
            </w:pPr>
          </w:p>
        </w:tc>
        <w:tc>
          <w:tcPr>
            <w:tcW w:w="9100" w:type="dxa"/>
            <w:vAlign w:val="bottom"/>
            <w:gridSpan w:val="29"/>
          </w:tcPr>
          <w:p>
            <w:pPr>
              <w:spacing w:after="0" w:line="186" w:lineRule="exact"/>
              <w:rPr>
                <w:sz w:val="20"/>
                <w:szCs w:val="20"/>
                <w:color w:val="auto"/>
              </w:rPr>
            </w:pPr>
            <w:r>
              <w:rPr>
                <w:rFonts w:ascii="Times New Roman" w:cs="Times New Roman" w:eastAsia="Times New Roman" w:hAnsi="Times New Roman"/>
                <w:sz w:val="18"/>
                <w:szCs w:val="18"/>
                <w:color w:val="0000FF"/>
              </w:rPr>
              <w:t>First Amendment to Credit Agreement, dated August 22, 2025, by and among BellRing Brands, Inc., JPMorgan Chase Bank,</w:t>
            </w:r>
          </w:p>
        </w:tc>
      </w:tr>
      <w:tr>
        <w:trPr>
          <w:trHeight w:val="152"/>
        </w:trPr>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980" w:type="dxa"/>
            <w:vAlign w:val="bottom"/>
            <w:tcBorders>
              <w:top w:val="single" w:sz="8" w:color="0000FF"/>
            </w:tcBorders>
            <w:gridSpan w:val="23"/>
          </w:tcPr>
          <w:p>
            <w:pPr>
              <w:spacing w:after="0" w:line="152" w:lineRule="exact"/>
              <w:rPr>
                <w:sz w:val="20"/>
                <w:szCs w:val="20"/>
                <w:color w:val="auto"/>
              </w:rPr>
            </w:pPr>
            <w:r>
              <w:rPr>
                <w:rFonts w:ascii="Times New Roman" w:cs="Times New Roman" w:eastAsia="Times New Roman" w:hAnsi="Times New Roman"/>
                <w:sz w:val="17"/>
                <w:szCs w:val="17"/>
                <w:color w:val="0000FF"/>
              </w:rPr>
              <w:t>N.A., as administrative agent, and each lender from time to time party thereto</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
        </w:trPr>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04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360" w:type="dxa"/>
            <w:vAlign w:val="bottom"/>
            <w:tcBorders>
              <w:top w:val="single" w:sz="8" w:color="0000FF"/>
            </w:tcBorders>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8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6"/>
        </w:trPr>
        <w:tc>
          <w:tcPr>
            <w:tcW w:w="1320" w:type="dxa"/>
            <w:vAlign w:val="bottom"/>
            <w:tcBorders>
              <w:right w:val="single" w:sz="8" w:color="CCEEFF"/>
            </w:tcBorders>
            <w:gridSpan w:val="2"/>
            <w:shd w:val="clear" w:color="auto" w:fill="CCEEFF"/>
          </w:tcPr>
          <w:p>
            <w:pPr>
              <w:jc w:val="center"/>
              <w:ind w:right="220"/>
              <w:spacing w:after="0" w:line="165" w:lineRule="exact"/>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7"/>
                <w:szCs w:val="17"/>
                <w:color w:val="auto"/>
              </w:rPr>
              <w:t>10.22</w:t>
            </w:r>
          </w:p>
        </w:tc>
        <w:tc>
          <w:tcPr>
            <w:tcW w:w="9100" w:type="dxa"/>
            <w:vAlign w:val="bottom"/>
            <w:gridSpan w:val="29"/>
            <w:shd w:val="clear" w:color="auto" w:fill="CCEEFF"/>
          </w:tcPr>
          <w:p>
            <w:pPr>
              <w:spacing w:after="0" w:line="165" w:lineRule="exact"/>
              <w:rPr>
                <w:rFonts w:ascii="Times New Roman" w:cs="Times New Roman" w:eastAsia="Times New Roman" w:hAnsi="Times New Roman"/>
                <w:sz w:val="18"/>
                <w:szCs w:val="18"/>
                <w:color w:val="0000FF"/>
                <w:w w:val="99"/>
              </w:rPr>
            </w:pPr>
            <w:hyperlink r:id="rId112">
              <w:r>
                <w:rPr>
                  <w:rFonts w:ascii="Times New Roman" w:cs="Times New Roman" w:eastAsia="Times New Roman" w:hAnsi="Times New Roman"/>
                  <w:sz w:val="18"/>
                  <w:szCs w:val="18"/>
                  <w:color w:val="0000FF"/>
                  <w:w w:val="99"/>
                </w:rPr>
                <w:t>Amended and Restated Master Supply Agreement, dated as of July 1, 2023, by and between Premier Nutrition Company, LLC</w:t>
              </w:r>
            </w:hyperlink>
          </w:p>
        </w:tc>
      </w:tr>
      <w:tr>
        <w:trPr>
          <w:trHeight w:val="152"/>
        </w:trPr>
        <w:tc>
          <w:tcPr>
            <w:tcW w:w="1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right w:val="single" w:sz="8" w:color="CCEEFF"/>
            </w:tcBorders>
            <w:shd w:val="clear" w:color="auto" w:fill="CCEEFF"/>
          </w:tcPr>
          <w:p>
            <w:pPr>
              <w:spacing w:after="0"/>
              <w:rPr>
                <w:sz w:val="13"/>
                <w:szCs w:val="13"/>
                <w:color w:val="auto"/>
              </w:rPr>
            </w:pPr>
          </w:p>
        </w:tc>
        <w:tc>
          <w:tcPr>
            <w:tcW w:w="9060" w:type="dxa"/>
            <w:vAlign w:val="bottom"/>
            <w:tcBorders>
              <w:top w:val="single" w:sz="8" w:color="0000FF"/>
            </w:tcBorders>
            <w:gridSpan w:val="27"/>
            <w:shd w:val="clear" w:color="auto" w:fill="CCEEFF"/>
          </w:tcPr>
          <w:p>
            <w:pPr>
              <w:spacing w:after="0" w:line="152" w:lineRule="exact"/>
              <w:rPr>
                <w:rFonts w:ascii="Times New Roman" w:cs="Times New Roman" w:eastAsia="Times New Roman" w:hAnsi="Times New Roman"/>
                <w:sz w:val="17"/>
                <w:szCs w:val="17"/>
                <w:color w:val="0000FF"/>
              </w:rPr>
            </w:pPr>
            <w:hyperlink r:id="rId112">
              <w:r>
                <w:rPr>
                  <w:rFonts w:ascii="Times New Roman" w:cs="Times New Roman" w:eastAsia="Times New Roman" w:hAnsi="Times New Roman"/>
                  <w:sz w:val="17"/>
                  <w:szCs w:val="17"/>
                  <w:color w:val="0000FF"/>
                </w:rPr>
                <w:t>and Fonterra (USA) Inc. (Incorporated by reference to Exhibit 10.24 to the Company’s Form 10-Q filed on August 8, 2023)</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33"/>
        </w:trPr>
        <w:tc>
          <w:tcPr>
            <w:tcW w:w="11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right w:val="single" w:sz="8" w:color="CCEE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1040" w:type="dxa"/>
            <w:vAlign w:val="bottom"/>
            <w:tcBorders>
              <w:top w:val="single" w:sz="8" w:color="0000FF"/>
            </w:tcBorders>
            <w:shd w:val="clear" w:color="auto" w:fill="CCEEFF"/>
          </w:tcPr>
          <w:p>
            <w:pPr>
              <w:spacing w:after="0"/>
              <w:rPr>
                <w:sz w:val="2"/>
                <w:szCs w:val="2"/>
                <w:color w:val="auto"/>
              </w:rPr>
            </w:pPr>
          </w:p>
        </w:tc>
        <w:tc>
          <w:tcPr>
            <w:tcW w:w="64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1360" w:type="dxa"/>
            <w:vAlign w:val="bottom"/>
            <w:tcBorders>
              <w:top w:val="single" w:sz="8" w:color="0000FF"/>
            </w:tcBorders>
            <w:shd w:val="clear" w:color="auto" w:fill="CCEEFF"/>
          </w:tcPr>
          <w:p>
            <w:pPr>
              <w:spacing w:after="0"/>
              <w:rPr>
                <w:sz w:val="2"/>
                <w:szCs w:val="2"/>
                <w:color w:val="auto"/>
              </w:rPr>
            </w:pPr>
          </w:p>
        </w:tc>
        <w:tc>
          <w:tcPr>
            <w:tcW w:w="58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1800" w:type="dxa"/>
            <w:vAlign w:val="bottom"/>
            <w:tcBorders>
              <w:top w:val="single" w:sz="8" w:color="0000FF"/>
            </w:tcBorders>
            <w:shd w:val="clear" w:color="auto" w:fill="CCEEFF"/>
          </w:tcPr>
          <w:p>
            <w:pPr>
              <w:spacing w:after="0"/>
              <w:rPr>
                <w:sz w:val="2"/>
                <w:szCs w:val="2"/>
                <w:color w:val="auto"/>
              </w:rPr>
            </w:pPr>
          </w:p>
        </w:tc>
        <w:tc>
          <w:tcPr>
            <w:tcW w:w="68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righ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6"/>
        </w:trPr>
        <w:tc>
          <w:tcPr>
            <w:tcW w:w="1320" w:type="dxa"/>
            <w:vAlign w:val="bottom"/>
            <w:gridSpan w:val="2"/>
          </w:tcPr>
          <w:p>
            <w:pPr>
              <w:jc w:val="center"/>
              <w:ind w:right="220"/>
              <w:spacing w:after="0" w:line="165" w:lineRule="exact"/>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7"/>
                <w:szCs w:val="17"/>
                <w:color w:val="auto"/>
              </w:rPr>
              <w:t>10.23</w:t>
            </w:r>
          </w:p>
        </w:tc>
        <w:tc>
          <w:tcPr>
            <w:tcW w:w="9100" w:type="dxa"/>
            <w:vAlign w:val="bottom"/>
            <w:gridSpan w:val="29"/>
          </w:tcPr>
          <w:p>
            <w:pPr>
              <w:spacing w:after="0" w:line="165"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MPC Purchase Commitment, dated as of July 1, 2023 by and between Premier Nutrition Company, LLC and Fonterra (USA)</w:t>
              </w:r>
            </w:hyperlink>
          </w:p>
        </w:tc>
      </w:tr>
      <w:tr>
        <w:trPr>
          <w:trHeight w:val="152"/>
        </w:trPr>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80" w:type="dxa"/>
            <w:vAlign w:val="bottom"/>
            <w:tcBorders>
              <w:top w:val="single" w:sz="8" w:color="0000FF"/>
            </w:tcBorders>
            <w:gridSpan w:val="28"/>
          </w:tcPr>
          <w:p>
            <w:pPr>
              <w:spacing w:after="0" w:line="152" w:lineRule="exact"/>
              <w:rPr>
                <w:rFonts w:ascii="Times New Roman" w:cs="Times New Roman" w:eastAsia="Times New Roman" w:hAnsi="Times New Roman"/>
                <w:sz w:val="17"/>
                <w:szCs w:val="17"/>
                <w:color w:val="0000FF"/>
              </w:rPr>
            </w:pPr>
            <w:hyperlink r:id="rId113">
              <w:r>
                <w:rPr>
                  <w:rFonts w:ascii="Times New Roman" w:cs="Times New Roman" w:eastAsia="Times New Roman" w:hAnsi="Times New Roman"/>
                  <w:sz w:val="17"/>
                  <w:szCs w:val="17"/>
                  <w:color w:val="0000FF"/>
                </w:rPr>
                <w:t>Inc. (Incorporated by reference to Exhibit 10.25 to the Company’s Form 10-Q filed on August 8, 2023)</w:t>
              </w:r>
            </w:hyperlink>
          </w:p>
        </w:tc>
        <w:tc>
          <w:tcPr>
            <w:tcW w:w="20" w:type="dxa"/>
            <w:vAlign w:val="bottom"/>
          </w:tcPr>
          <w:p>
            <w:pPr>
              <w:spacing w:after="0"/>
              <w:rPr>
                <w:sz w:val="13"/>
                <w:szCs w:val="13"/>
                <w:color w:val="auto"/>
              </w:rPr>
            </w:pPr>
          </w:p>
        </w:tc>
      </w:tr>
      <w:tr>
        <w:trPr>
          <w:trHeight w:val="33"/>
        </w:trPr>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04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360" w:type="dxa"/>
            <w:vAlign w:val="bottom"/>
            <w:tcBorders>
              <w:top w:val="single" w:sz="8" w:color="0000FF"/>
            </w:tcBorders>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800" w:type="dxa"/>
            <w:vAlign w:val="bottom"/>
            <w:tcBorders>
              <w:top w:val="single" w:sz="8" w:color="0000FF"/>
            </w:tcBorders>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5"/>
        </w:trPr>
        <w:tc>
          <w:tcPr>
            <w:tcW w:w="1320" w:type="dxa"/>
            <w:vAlign w:val="bottom"/>
            <w:tcBorders>
              <w:right w:val="single" w:sz="8" w:color="CCEEFF"/>
            </w:tcBorders>
            <w:gridSpan w:val="2"/>
            <w:shd w:val="clear" w:color="auto" w:fill="CCEEFF"/>
          </w:tcPr>
          <w:p>
            <w:pPr>
              <w:jc w:val="center"/>
              <w:ind w:right="220"/>
              <w:spacing w:after="0" w:line="165" w:lineRule="exact"/>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7"/>
                <w:szCs w:val="17"/>
                <w:color w:val="auto"/>
              </w:rPr>
              <w:t>10.24</w:t>
            </w:r>
          </w:p>
        </w:tc>
        <w:tc>
          <w:tcPr>
            <w:tcW w:w="9100" w:type="dxa"/>
            <w:vAlign w:val="bottom"/>
            <w:gridSpan w:val="29"/>
            <w:shd w:val="clear" w:color="auto" w:fill="CCEEFF"/>
          </w:tcPr>
          <w:p>
            <w:pPr>
              <w:spacing w:after="0" w:line="165"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Stremick Heritage Foods, LLC, Jasper Products, LLC and Premier Nutrition Company Manufacturing Agreement, dated as of</w:t>
              </w:r>
            </w:hyperlink>
          </w:p>
        </w:tc>
      </w:tr>
      <w:tr>
        <w:trPr>
          <w:trHeight w:val="185"/>
        </w:trPr>
        <w:tc>
          <w:tcPr>
            <w:tcW w:w="1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8540" w:type="dxa"/>
            <w:vAlign w:val="bottom"/>
            <w:tcBorders>
              <w:top w:val="single" w:sz="8" w:color="0000FF"/>
              <w:bottom w:val="single" w:sz="8" w:color="0000FF"/>
            </w:tcBorders>
            <w:gridSpan w:val="17"/>
            <w:shd w:val="clear" w:color="auto" w:fill="CCEEFF"/>
          </w:tcPr>
          <w:p>
            <w:pPr>
              <w:spacing w:after="0" w:line="152" w:lineRule="exact"/>
              <w:rPr>
                <w:rFonts w:ascii="Times New Roman" w:cs="Times New Roman" w:eastAsia="Times New Roman" w:hAnsi="Times New Roman"/>
                <w:sz w:val="17"/>
                <w:szCs w:val="17"/>
                <w:color w:val="0000FF"/>
              </w:rPr>
            </w:pPr>
            <w:hyperlink r:id="rId114">
              <w:r>
                <w:rPr>
                  <w:rFonts w:ascii="Times New Roman" w:cs="Times New Roman" w:eastAsia="Times New Roman" w:hAnsi="Times New Roman"/>
                  <w:sz w:val="17"/>
                  <w:szCs w:val="17"/>
                  <w:color w:val="0000FF"/>
                </w:rPr>
                <w:t>December 14, 2022 (Incorporated by reference to Exhibit 10.22 to the Company’s Form 10-Q filed on February 7, 2023)</w:t>
              </w:r>
            </w:hyperlink>
          </w:p>
        </w:tc>
        <w:tc>
          <w:tcPr>
            <w:tcW w:w="500" w:type="dxa"/>
            <w:vAlign w:val="bottom"/>
            <w:tcBorders>
              <w:top w:val="single" w:sz="8" w:color="0000FF"/>
              <w:bottom w:val="single" w:sz="8" w:color="CCEEFF"/>
            </w:tcBorders>
            <w:gridSpan w:val="9"/>
            <w:shd w:val="clear" w:color="auto" w:fill="CCEEFF"/>
          </w:tcPr>
          <w:p>
            <w:pPr>
              <w:spacing w:after="0"/>
              <w:rPr>
                <w:sz w:val="16"/>
                <w:szCs w:val="16"/>
                <w:color w:val="auto"/>
              </w:rPr>
            </w:pPr>
          </w:p>
        </w:tc>
        <w:tc>
          <w:tcPr>
            <w:tcW w:w="60" w:type="dxa"/>
            <w:vAlign w:val="bottom"/>
            <w:tcBorders>
              <w:top w:val="single" w:sz="8" w:color="CCEEFF"/>
              <w:bottom w:val="single" w:sz="8" w:color="CCEEFF"/>
            </w:tcBorders>
            <w:gridSpan w:val="3"/>
            <w:shd w:val="clear" w:color="auto" w:fill="CCEEFF"/>
          </w:tcPr>
          <w:p>
            <w:pPr>
              <w:spacing w:after="0"/>
              <w:rPr>
                <w:sz w:val="16"/>
                <w:szCs w:val="16"/>
                <w:color w:val="auto"/>
              </w:rPr>
            </w:pPr>
          </w:p>
        </w:tc>
      </w:tr>
      <w:tr>
        <w:trPr>
          <w:trHeight w:val="186"/>
        </w:trPr>
        <w:tc>
          <w:tcPr>
            <w:tcW w:w="110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color w:val="auto"/>
                <w:w w:val="95"/>
              </w:rPr>
              <w:t>19.1</w:t>
            </w:r>
          </w:p>
        </w:tc>
        <w:tc>
          <w:tcPr>
            <w:tcW w:w="220" w:type="dxa"/>
            <w:vAlign w:val="bottom"/>
          </w:tcPr>
          <w:p>
            <w:pPr>
              <w:spacing w:after="0"/>
              <w:rPr>
                <w:sz w:val="16"/>
                <w:szCs w:val="16"/>
                <w:color w:val="auto"/>
              </w:rPr>
            </w:pPr>
          </w:p>
        </w:tc>
        <w:tc>
          <w:tcPr>
            <w:tcW w:w="9100" w:type="dxa"/>
            <w:vAlign w:val="bottom"/>
            <w:gridSpan w:val="29"/>
          </w:tcPr>
          <w:p>
            <w:pPr>
              <w:spacing w:after="0" w:line="186" w:lineRule="exact"/>
              <w:rPr>
                <w:rFonts w:ascii="Times New Roman" w:cs="Times New Roman" w:eastAsia="Times New Roman" w:hAnsi="Times New Roman"/>
                <w:sz w:val="18"/>
                <w:szCs w:val="18"/>
                <w:color w:val="0000FF"/>
                <w:w w:val="99"/>
              </w:rPr>
            </w:pPr>
            <w:hyperlink r:id="rId100">
              <w:r>
                <w:rPr>
                  <w:rFonts w:ascii="Times New Roman" w:cs="Times New Roman" w:eastAsia="Times New Roman" w:hAnsi="Times New Roman"/>
                  <w:sz w:val="18"/>
                  <w:szCs w:val="18"/>
                  <w:color w:val="0000FF"/>
                  <w:w w:val="99"/>
                </w:rPr>
                <w:t>BellRing Brands, Inc. Insider Trading Policy (Incorporated by reference to Exhibit 19.1 to the Company’s Form 10-K filed on</w:t>
              </w:r>
            </w:hyperlink>
          </w:p>
        </w:tc>
      </w:tr>
      <w:tr>
        <w:trPr>
          <w:trHeight w:val="152"/>
        </w:trPr>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20" w:type="dxa"/>
            <w:vAlign w:val="bottom"/>
            <w:tcBorders>
              <w:top w:val="single" w:sz="8" w:color="0000FF"/>
            </w:tcBorders>
            <w:gridSpan w:val="25"/>
          </w:tcPr>
          <w:p>
            <w:pPr>
              <w:spacing w:after="0" w:line="152" w:lineRule="exact"/>
              <w:rPr>
                <w:rFonts w:ascii="Times New Roman" w:cs="Times New Roman" w:eastAsia="Times New Roman" w:hAnsi="Times New Roman"/>
                <w:sz w:val="17"/>
                <w:szCs w:val="17"/>
                <w:color w:val="0000FF"/>
              </w:rPr>
            </w:pPr>
            <w:hyperlink r:id="rId100">
              <w:r>
                <w:rPr>
                  <w:rFonts w:ascii="Times New Roman" w:cs="Times New Roman" w:eastAsia="Times New Roman" w:hAnsi="Times New Roman"/>
                  <w:sz w:val="17"/>
                  <w:szCs w:val="17"/>
                  <w:color w:val="0000FF"/>
                </w:rPr>
                <w:t>November 19, 2024)</w:t>
              </w:r>
            </w:hyperlink>
          </w:p>
        </w:tc>
        <w:tc>
          <w:tcPr>
            <w:tcW w:w="80" w:type="dxa"/>
            <w:vAlign w:val="bottom"/>
            <w:gridSpan w:val="4"/>
          </w:tcPr>
          <w:p>
            <w:pPr>
              <w:spacing w:after="0"/>
              <w:rPr>
                <w:sz w:val="13"/>
                <w:szCs w:val="13"/>
                <w:color w:val="auto"/>
              </w:rPr>
            </w:pPr>
          </w:p>
        </w:tc>
      </w:tr>
      <w:tr>
        <w:trPr>
          <w:trHeight w:val="33"/>
        </w:trPr>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040" w:type="dxa"/>
            <w:vAlign w:val="bottom"/>
            <w:tcBorders>
              <w:top w:val="single" w:sz="8" w:color="0000FF"/>
            </w:tcBorders>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5"/>
        </w:trPr>
        <w:tc>
          <w:tcPr>
            <w:tcW w:w="1100" w:type="dxa"/>
            <w:vAlign w:val="bottom"/>
            <w:shd w:val="clear" w:color="auto" w:fill="CCEEFF"/>
          </w:tcPr>
          <w:p>
            <w:pPr>
              <w:jc w:val="center"/>
              <w:spacing w:after="0" w:line="186" w:lineRule="exact"/>
              <w:rPr>
                <w:sz w:val="20"/>
                <w:szCs w:val="20"/>
                <w:color w:val="auto"/>
              </w:rPr>
            </w:pPr>
            <w:r>
              <w:rPr>
                <w:rFonts w:ascii="Times New Roman" w:cs="Times New Roman" w:eastAsia="Times New Roman" w:hAnsi="Times New Roman"/>
                <w:sz w:val="18"/>
                <w:szCs w:val="18"/>
                <w:color w:val="auto"/>
                <w:w w:val="95"/>
              </w:rPr>
              <w:t>21.1</w:t>
            </w:r>
          </w:p>
        </w:tc>
        <w:tc>
          <w:tcPr>
            <w:tcW w:w="220" w:type="dxa"/>
            <w:vAlign w:val="bottom"/>
            <w:tcBorders>
              <w:right w:val="single" w:sz="8" w:color="CCEEFF"/>
            </w:tcBorders>
            <w:shd w:val="clear" w:color="auto" w:fill="CCEEFF"/>
          </w:tcPr>
          <w:p>
            <w:pPr>
              <w:spacing w:after="0"/>
              <w:rPr>
                <w:sz w:val="16"/>
                <w:szCs w:val="16"/>
                <w:color w:val="auto"/>
              </w:rPr>
            </w:pPr>
          </w:p>
        </w:tc>
        <w:tc>
          <w:tcPr>
            <w:tcW w:w="9100" w:type="dxa"/>
            <w:vAlign w:val="bottom"/>
            <w:gridSpan w:val="29"/>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0000FF"/>
              </w:rPr>
              <w:t>Subsidiaries of BellRing Brands, Inc.</w:t>
            </w:r>
          </w:p>
        </w:tc>
      </w:tr>
      <w:tr>
        <w:trPr>
          <w:trHeight w:val="40"/>
        </w:trPr>
        <w:tc>
          <w:tcPr>
            <w:tcW w:w="1100" w:type="dxa"/>
            <w:vAlign w:val="bottom"/>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1040" w:type="dxa"/>
            <w:vAlign w:val="bottom"/>
            <w:shd w:val="clear" w:color="auto" w:fill="0000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36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80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5"/>
        </w:trPr>
        <w:tc>
          <w:tcPr>
            <w:tcW w:w="110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color w:val="auto"/>
                <w:w w:val="95"/>
              </w:rPr>
              <w:t>23.1</w:t>
            </w:r>
          </w:p>
        </w:tc>
        <w:tc>
          <w:tcPr>
            <w:tcW w:w="220" w:type="dxa"/>
            <w:vAlign w:val="bottom"/>
          </w:tcPr>
          <w:p>
            <w:pPr>
              <w:spacing w:after="0"/>
              <w:rPr>
                <w:sz w:val="16"/>
                <w:szCs w:val="16"/>
                <w:color w:val="auto"/>
              </w:rPr>
            </w:pPr>
          </w:p>
        </w:tc>
        <w:tc>
          <w:tcPr>
            <w:tcW w:w="9100" w:type="dxa"/>
            <w:vAlign w:val="bottom"/>
            <w:gridSpan w:val="29"/>
          </w:tcPr>
          <w:p>
            <w:pPr>
              <w:spacing w:after="0" w:line="186" w:lineRule="exact"/>
              <w:rPr>
                <w:sz w:val="20"/>
                <w:szCs w:val="20"/>
                <w:color w:val="auto"/>
              </w:rPr>
            </w:pPr>
            <w:r>
              <w:rPr>
                <w:rFonts w:ascii="Times New Roman" w:cs="Times New Roman" w:eastAsia="Times New Roman" w:hAnsi="Times New Roman"/>
                <w:sz w:val="18"/>
                <w:szCs w:val="18"/>
                <w:color w:val="0000FF"/>
              </w:rPr>
              <w:t>Consent of PricewaterhouseCoopers LLP</w:t>
            </w:r>
          </w:p>
        </w:tc>
      </w:tr>
      <w:tr>
        <w:trPr>
          <w:trHeight w:val="30"/>
        </w:trPr>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04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5"/>
        </w:trPr>
        <w:tc>
          <w:tcPr>
            <w:tcW w:w="1100" w:type="dxa"/>
            <w:vAlign w:val="bottom"/>
            <w:tcBorders>
              <w:bottom w:val="single" w:sz="8" w:color="CCEEFF"/>
            </w:tcBorders>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95"/>
              </w:rPr>
              <w:t>24.1</w:t>
            </w:r>
          </w:p>
        </w:tc>
        <w:tc>
          <w:tcPr>
            <w:tcW w:w="220" w:type="dxa"/>
            <w:vAlign w:val="bottom"/>
            <w:tcBorders>
              <w:bottom w:val="single" w:sz="8" w:color="CCEEFF"/>
              <w:right w:val="single" w:sz="8" w:color="CCEEFF"/>
            </w:tcBorders>
            <w:shd w:val="clear" w:color="auto" w:fill="CCEEFF"/>
          </w:tcPr>
          <w:p>
            <w:pPr>
              <w:spacing w:after="0"/>
              <w:rPr>
                <w:sz w:val="18"/>
                <w:szCs w:val="18"/>
                <w:color w:val="auto"/>
              </w:rPr>
            </w:pPr>
          </w:p>
        </w:tc>
        <w:tc>
          <w:tcPr>
            <w:tcW w:w="3340" w:type="dxa"/>
            <w:vAlign w:val="bottom"/>
            <w:tcBorders>
              <w:bottom w:val="single" w:sz="8" w:color="0000FF"/>
            </w:tcBorders>
            <w:gridSpan w:val="8"/>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w w:val="97"/>
              </w:rPr>
              <w:t>Power of Attorney (Included under Signatures)</w:t>
            </w:r>
          </w:p>
        </w:tc>
        <w:tc>
          <w:tcPr>
            <w:tcW w:w="5760" w:type="dxa"/>
            <w:vAlign w:val="bottom"/>
            <w:tcBorders>
              <w:bottom w:val="single" w:sz="8" w:color="CCEEFF"/>
            </w:tcBorders>
            <w:gridSpan w:val="21"/>
            <w:shd w:val="clear" w:color="auto" w:fill="CCEEFF"/>
          </w:tcPr>
          <w:p>
            <w:pPr>
              <w:spacing w:after="0"/>
              <w:rPr>
                <w:sz w:val="18"/>
                <w:szCs w:val="18"/>
                <w:color w:val="auto"/>
              </w:rPr>
            </w:pPr>
          </w:p>
        </w:tc>
      </w:tr>
      <w:tr>
        <w:trPr>
          <w:trHeight w:val="186"/>
        </w:trPr>
        <w:tc>
          <w:tcPr>
            <w:tcW w:w="110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color w:val="auto"/>
                <w:w w:val="95"/>
              </w:rPr>
              <w:t>31.1</w:t>
            </w:r>
          </w:p>
        </w:tc>
        <w:tc>
          <w:tcPr>
            <w:tcW w:w="220" w:type="dxa"/>
            <w:vAlign w:val="bottom"/>
          </w:tcPr>
          <w:p>
            <w:pPr>
              <w:spacing w:after="0"/>
              <w:rPr>
                <w:sz w:val="16"/>
                <w:szCs w:val="16"/>
                <w:color w:val="auto"/>
              </w:rPr>
            </w:pPr>
          </w:p>
        </w:tc>
        <w:tc>
          <w:tcPr>
            <w:tcW w:w="9100" w:type="dxa"/>
            <w:vAlign w:val="bottom"/>
            <w:gridSpan w:val="29"/>
          </w:tcPr>
          <w:p>
            <w:pPr>
              <w:spacing w:after="0" w:line="186" w:lineRule="exact"/>
              <w:rPr>
                <w:sz w:val="20"/>
                <w:szCs w:val="20"/>
                <w:color w:val="auto"/>
              </w:rPr>
            </w:pPr>
            <w:r>
              <w:rPr>
                <w:rFonts w:ascii="Times New Roman" w:cs="Times New Roman" w:eastAsia="Times New Roman" w:hAnsi="Times New Roman"/>
                <w:sz w:val="18"/>
                <w:szCs w:val="18"/>
                <w:color w:val="0000FF"/>
              </w:rPr>
              <w:t>Certification of Darcy H. Davenport pursuant to Rule 13a-14(a), as adopted pursuant to Section 302 of the Sarbanes-Oxley</w:t>
            </w:r>
          </w:p>
        </w:tc>
      </w:tr>
      <w:tr>
        <w:trPr>
          <w:trHeight w:val="152"/>
        </w:trPr>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940" w:type="dxa"/>
            <w:vAlign w:val="bottom"/>
            <w:tcBorders>
              <w:top w:val="single" w:sz="8" w:color="0000FF"/>
            </w:tcBorders>
            <w:gridSpan w:val="21"/>
          </w:tcPr>
          <w:p>
            <w:pPr>
              <w:spacing w:after="0" w:line="152" w:lineRule="exact"/>
              <w:rPr>
                <w:sz w:val="20"/>
                <w:szCs w:val="20"/>
                <w:color w:val="auto"/>
              </w:rPr>
            </w:pPr>
            <w:r>
              <w:rPr>
                <w:rFonts w:ascii="Times New Roman" w:cs="Times New Roman" w:eastAsia="Times New Roman" w:hAnsi="Times New Roman"/>
                <w:sz w:val="17"/>
                <w:szCs w:val="17"/>
                <w:color w:val="0000FF"/>
              </w:rPr>
              <w:t>Act of 2002, dated November 18, 2025</w:t>
            </w: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33"/>
        </w:trPr>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04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6"/>
        </w:trPr>
        <w:tc>
          <w:tcPr>
            <w:tcW w:w="1100" w:type="dxa"/>
            <w:vAlign w:val="bottom"/>
            <w:shd w:val="clear" w:color="auto" w:fill="CCEEFF"/>
          </w:tcPr>
          <w:p>
            <w:pPr>
              <w:jc w:val="center"/>
              <w:spacing w:after="0" w:line="186" w:lineRule="exact"/>
              <w:rPr>
                <w:sz w:val="20"/>
                <w:szCs w:val="20"/>
                <w:color w:val="auto"/>
              </w:rPr>
            </w:pPr>
            <w:r>
              <w:rPr>
                <w:rFonts w:ascii="Times New Roman" w:cs="Times New Roman" w:eastAsia="Times New Roman" w:hAnsi="Times New Roman"/>
                <w:sz w:val="18"/>
                <w:szCs w:val="18"/>
                <w:color w:val="auto"/>
                <w:w w:val="95"/>
              </w:rPr>
              <w:t>31.2</w:t>
            </w:r>
          </w:p>
        </w:tc>
        <w:tc>
          <w:tcPr>
            <w:tcW w:w="220" w:type="dxa"/>
            <w:vAlign w:val="bottom"/>
            <w:tcBorders>
              <w:right w:val="single" w:sz="8" w:color="CCEEFF"/>
            </w:tcBorders>
            <w:shd w:val="clear" w:color="auto" w:fill="CCEEFF"/>
          </w:tcPr>
          <w:p>
            <w:pPr>
              <w:spacing w:after="0"/>
              <w:rPr>
                <w:sz w:val="16"/>
                <w:szCs w:val="16"/>
                <w:color w:val="auto"/>
              </w:rPr>
            </w:pPr>
          </w:p>
        </w:tc>
        <w:tc>
          <w:tcPr>
            <w:tcW w:w="9100" w:type="dxa"/>
            <w:vAlign w:val="bottom"/>
            <w:gridSpan w:val="29"/>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0000FF"/>
              </w:rPr>
              <w:t>Certification of Paul A. Rode pursuant to Rule 13a-14(a), as adopted pursuant to Section 302 of the Sarbanes-Oxley Act of</w:t>
            </w:r>
          </w:p>
        </w:tc>
      </w:tr>
      <w:tr>
        <w:trPr>
          <w:trHeight w:val="185"/>
        </w:trPr>
        <w:tc>
          <w:tcPr>
            <w:tcW w:w="1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2280" w:type="dxa"/>
            <w:vAlign w:val="bottom"/>
            <w:tcBorders>
              <w:top w:val="single" w:sz="8" w:color="0000FF"/>
              <w:bottom w:val="single" w:sz="8" w:color="0000FF"/>
            </w:tcBorders>
            <w:gridSpan w:val="4"/>
            <w:shd w:val="clear" w:color="auto" w:fill="CCEEFF"/>
          </w:tcPr>
          <w:p>
            <w:pPr>
              <w:spacing w:after="0" w:line="152" w:lineRule="exact"/>
              <w:rPr>
                <w:sz w:val="20"/>
                <w:szCs w:val="20"/>
                <w:color w:val="auto"/>
              </w:rPr>
            </w:pPr>
            <w:r>
              <w:rPr>
                <w:rFonts w:ascii="Times New Roman" w:cs="Times New Roman" w:eastAsia="Times New Roman" w:hAnsi="Times New Roman"/>
                <w:sz w:val="17"/>
                <w:szCs w:val="17"/>
                <w:color w:val="0000FF"/>
              </w:rPr>
              <w:t>2002, dated November 18, 2025</w:t>
            </w:r>
          </w:p>
        </w:tc>
        <w:tc>
          <w:tcPr>
            <w:tcW w:w="6680" w:type="dxa"/>
            <w:vAlign w:val="bottom"/>
            <w:tcBorders>
              <w:top w:val="single" w:sz="8" w:color="0000FF"/>
              <w:bottom w:val="single" w:sz="8" w:color="CCEEFF"/>
            </w:tcBorders>
            <w:gridSpan w:val="18"/>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100" w:type="dxa"/>
            <w:vAlign w:val="bottom"/>
            <w:tcBorders>
              <w:top w:val="single" w:sz="8" w:color="CCEEFF"/>
              <w:bottom w:val="single" w:sz="8" w:color="CCEEFF"/>
            </w:tcBorders>
            <w:gridSpan w:val="5"/>
            <w:shd w:val="clear" w:color="auto" w:fill="CCEEFF"/>
          </w:tcPr>
          <w:p>
            <w:pPr>
              <w:spacing w:after="0"/>
              <w:rPr>
                <w:sz w:val="16"/>
                <w:szCs w:val="16"/>
                <w:color w:val="auto"/>
              </w:rPr>
            </w:pPr>
          </w:p>
        </w:tc>
      </w:tr>
      <w:tr>
        <w:trPr>
          <w:trHeight w:val="185"/>
        </w:trPr>
        <w:tc>
          <w:tcPr>
            <w:tcW w:w="110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color w:val="auto"/>
                <w:w w:val="95"/>
              </w:rPr>
              <w:t>32.1</w:t>
            </w:r>
          </w:p>
        </w:tc>
        <w:tc>
          <w:tcPr>
            <w:tcW w:w="220" w:type="dxa"/>
            <w:vAlign w:val="bottom"/>
          </w:tcPr>
          <w:p>
            <w:pPr>
              <w:spacing w:after="0"/>
              <w:rPr>
                <w:sz w:val="16"/>
                <w:szCs w:val="16"/>
                <w:color w:val="auto"/>
              </w:rPr>
            </w:pPr>
          </w:p>
        </w:tc>
        <w:tc>
          <w:tcPr>
            <w:tcW w:w="9100" w:type="dxa"/>
            <w:vAlign w:val="bottom"/>
            <w:gridSpan w:val="29"/>
          </w:tcPr>
          <w:p>
            <w:pPr>
              <w:spacing w:after="0" w:line="186" w:lineRule="exact"/>
              <w:rPr>
                <w:sz w:val="20"/>
                <w:szCs w:val="20"/>
                <w:color w:val="auto"/>
              </w:rPr>
            </w:pPr>
            <w:r>
              <w:rPr>
                <w:rFonts w:ascii="Times New Roman" w:cs="Times New Roman" w:eastAsia="Times New Roman" w:hAnsi="Times New Roman"/>
                <w:sz w:val="18"/>
                <w:szCs w:val="18"/>
                <w:color w:val="0000FF"/>
              </w:rPr>
              <w:t>Certification of Darcy H. Davenport and Paul A. Rode, pursuant to 18 U.S.C. Section 1350 as adopted pursuant to Section</w:t>
            </w:r>
          </w:p>
        </w:tc>
      </w:tr>
      <w:tr>
        <w:trPr>
          <w:trHeight w:val="152"/>
        </w:trPr>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0" w:type="dxa"/>
            <w:vAlign w:val="bottom"/>
            <w:tcBorders>
              <w:top w:val="single" w:sz="8" w:color="0000FF"/>
            </w:tcBorders>
            <w:gridSpan w:val="24"/>
          </w:tcPr>
          <w:p>
            <w:pPr>
              <w:spacing w:after="0" w:line="152" w:lineRule="exact"/>
              <w:rPr>
                <w:sz w:val="20"/>
                <w:szCs w:val="20"/>
                <w:color w:val="auto"/>
              </w:rPr>
            </w:pPr>
            <w:r>
              <w:rPr>
                <w:rFonts w:ascii="Times New Roman" w:cs="Times New Roman" w:eastAsia="Times New Roman" w:hAnsi="Times New Roman"/>
                <w:sz w:val="17"/>
                <w:szCs w:val="17"/>
                <w:color w:val="0000FF"/>
              </w:rPr>
              <w:t>906 of the Sarbanes-Oxley Act of 2002, dated November 18, 2025</w:t>
            </w:r>
          </w:p>
        </w:tc>
        <w:tc>
          <w:tcPr>
            <w:tcW w:w="100" w:type="dxa"/>
            <w:vAlign w:val="bottom"/>
            <w:gridSpan w:val="5"/>
          </w:tcPr>
          <w:p>
            <w:pPr>
              <w:spacing w:after="0"/>
              <w:rPr>
                <w:sz w:val="13"/>
                <w:szCs w:val="13"/>
                <w:color w:val="auto"/>
              </w:rPr>
            </w:pPr>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5" w:lineRule="exact"/>
        <w:rPr>
          <w:sz w:val="20"/>
          <w:szCs w:val="20"/>
          <w:color w:val="auto"/>
        </w:rPr>
      </w:pPr>
    </w:p>
    <w:p>
      <w:pPr>
        <w:ind w:left="1320" w:right="1280" w:hanging="903"/>
        <w:spacing w:after="0" w:line="227" w:lineRule="auto"/>
        <w:tabs>
          <w:tab w:leader="none" w:pos="1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Interactive Data File (Form 10-K for the year ended September 30, 2025 filed in iXBRL (Inline eXtensible Business Reporting Language)). The financial information contained in the iXBRL-related documents is “unaudited” and “unreviewed.”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-368935</wp:posOffset>
            </wp:positionV>
            <wp:extent cx="6529070" cy="3702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5">
                      <a:extLst>
                        <a:ext uri="{28A0092B-C50C-407E-A947-70E740481C1C}"/>
                      </a:extLst>
                    </a:blip>
                    <a:srcRect/>
                    <a:stretch>
                      <a:fillRect/>
                    </a:stretch>
                  </pic:blipFill>
                  <pic:spPr bwMode="auto">
                    <a:xfrm>
                      <a:off x="0" y="0"/>
                      <a:ext cx="6529070" cy="370205"/>
                    </a:xfrm>
                    <a:prstGeom prst="rect">
                      <a:avLst/>
                    </a:prstGeom>
                    <a:noFill/>
                  </pic:spPr>
                </pic:pic>
              </a:graphicData>
            </a:graphic>
          </wp:anchor>
        </w:drawing>
      </w:r>
    </w:p>
    <w:p>
      <w:pPr>
        <w:ind w:left="1320" w:right="1280" w:hanging="903"/>
        <w:spacing w:after="0" w:line="230" w:lineRule="auto"/>
        <w:tabs>
          <w:tab w:leader="none" w:pos="13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Form 10-K for the year ended September 30, 2025, formatted in iXBRL (Inline eXtensible Business Reporting Language) and contained in Exhibit 101</w:t>
      </w:r>
    </w:p>
    <w:p>
      <w:pPr>
        <w:spacing w:after="0" w:line="122" w:lineRule="exact"/>
        <w:rPr>
          <w:rFonts w:ascii="Times New Roman" w:cs="Times New Roman" w:eastAsia="Times New Roman" w:hAnsi="Times New Roman"/>
          <w:sz w:val="18"/>
          <w:szCs w:val="18"/>
          <w:color w:val="auto"/>
        </w:rPr>
      </w:pPr>
    </w:p>
    <w:p>
      <w:pPr>
        <w:ind w:left="480" w:right="260" w:hanging="450"/>
        <w:spacing w:after="0" w:line="22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7"/>
          <w:szCs w:val="17"/>
          <w:color w:val="auto"/>
        </w:rPr>
        <w:t>Exhibits and schedules have been omitted pursuant to Item 601(b)(2) of Regulation S-K. The Company agrees to furnish supplementally to the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7"/>
          <w:szCs w:val="17"/>
          <w:color w:val="auto"/>
        </w:rPr>
        <w:t>Securities and Exchange Commission (the “SEC”) a copy of any omitted exhibit or schedule upon request by the SEC.</w:t>
      </w:r>
    </w:p>
    <w:p>
      <w:pPr>
        <w:spacing w:after="0" w:line="7" w:lineRule="exact"/>
        <w:rPr>
          <w:sz w:val="20"/>
          <w:szCs w:val="20"/>
          <w:color w:val="auto"/>
        </w:rPr>
      </w:pPr>
    </w:p>
    <w:p>
      <w:pPr>
        <w:ind w:left="480" w:hanging="456"/>
        <w:spacing w:after="0"/>
        <w:tabs>
          <w:tab w:leader="none" w:pos="480"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These exhibits constitute management contracts, compensatory plans and arrangements.</w:t>
      </w:r>
    </w:p>
    <w:p>
      <w:pPr>
        <w:spacing w:after="0" w:line="33" w:lineRule="exact"/>
        <w:rPr>
          <w:sz w:val="20"/>
          <w:szCs w:val="20"/>
          <w:color w:val="auto"/>
        </w:rPr>
      </w:pPr>
    </w:p>
    <w:p>
      <w:pPr>
        <w:ind w:left="480" w:hanging="456"/>
        <w:spacing w:after="0"/>
        <w:tabs>
          <w:tab w:leader="none" w:pos="4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Certain portions of this document that constitute confidential information have been redacted in accordance with Regulation S-K, Item 601(b)(10).</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32"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840"/>
          </w:cols>
          <w:pgMar w:left="320" w:top="333" w:right="7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13" w:lineRule="exact"/>
        <w:rPr>
          <w:sz w:val="20"/>
          <w:szCs w:val="20"/>
          <w:color w:val="auto"/>
        </w:rPr>
      </w:pPr>
    </w:p>
    <w:p>
      <w:pPr>
        <w:ind w:right="260" w:firstLine="318"/>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BellRing Brands, Inc. has duly caused this report to be signed on its behalf by the undersigned thereunto duly authorized.</w:t>
      </w:r>
    </w:p>
    <w:p>
      <w:pPr>
        <w:spacing w:after="0" w:line="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BELLRING BRANDS, INC.</w:t>
      </w:r>
    </w:p>
    <w:p>
      <w:pPr>
        <w:spacing w:after="0" w:line="24" w:lineRule="exact"/>
        <w:rPr>
          <w:sz w:val="20"/>
          <w:szCs w:val="20"/>
          <w:color w:val="auto"/>
        </w:rPr>
      </w:pPr>
    </w:p>
    <w:p>
      <w:pPr>
        <w:ind w:left="700" w:right="2380" w:hanging="7180"/>
        <w:spacing w:after="0" w:line="268" w:lineRule="auto"/>
        <w:tabs>
          <w:tab w:leader="none" w:pos="6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18, 2025 By: /s/ Darcy H. Davenport Darcy H. Davenport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4563745</wp:posOffset>
            </wp:positionH>
            <wp:positionV relativeFrom="paragraph">
              <wp:posOffset>-3810</wp:posOffset>
            </wp:positionV>
            <wp:extent cx="233045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8">
                      <a:extLst>
                        <a:ext uri="{28A0092B-C50C-407E-A947-70E740481C1C}"/>
                      </a:extLst>
                    </a:blip>
                    <a:srcRect/>
                    <a:stretch>
                      <a:fillRect/>
                    </a:stretch>
                  </pic:blipFill>
                  <pic:spPr bwMode="auto">
                    <a:xfrm>
                      <a:off x="0" y="0"/>
                      <a:ext cx="2330450" cy="8255"/>
                    </a:xfrm>
                    <a:prstGeom prst="rect">
                      <a:avLst/>
                    </a:prstGeom>
                    <a:noFill/>
                  </pic:spPr>
                </pic:pic>
              </a:graphicData>
            </a:graphic>
          </wp:anchor>
        </w:drawing>
      </w:r>
    </w:p>
    <w:p>
      <w:pPr>
        <w:spacing w:after="0" w:line="21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98"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Paul A. Rode and Craig L. Rosenthal, and each of them, as his or her true and lawful attorney-in-fact and agent, with full power of substitution and resubstitution, for him or her and in his or her name, place, and stead, in any and all capacities, to sign any and all amendments to this report,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substitute or substitutes may lawfully do or cause to be done by virtue hereof.</w:t>
      </w:r>
    </w:p>
    <w:p>
      <w:pPr>
        <w:spacing w:after="0" w:line="81" w:lineRule="exact"/>
        <w:rPr>
          <w:sz w:val="20"/>
          <w:szCs w:val="20"/>
          <w:color w:val="auto"/>
        </w:rPr>
      </w:pPr>
    </w:p>
    <w:p>
      <w:pPr>
        <w:ind w:right="20" w:firstLine="318"/>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pacing w:after="0" w:line="95" w:lineRule="exact"/>
        <w:rPr>
          <w:sz w:val="20"/>
          <w:szCs w:val="20"/>
          <w:color w:val="auto"/>
        </w:rPr>
      </w:pPr>
    </w:p>
    <w:p>
      <w:pPr>
        <w:ind w:left="1260"/>
        <w:spacing w:after="0"/>
        <w:tabs>
          <w:tab w:leader="none" w:pos="5400" w:val="left"/>
          <w:tab w:leader="none" w:pos="9400" w:val="left"/>
        </w:tabs>
        <w:rPr>
          <w:sz w:val="20"/>
          <w:szCs w:val="20"/>
          <w:color w:val="auto"/>
        </w:rPr>
      </w:pPr>
      <w:r>
        <w:rPr>
          <w:rFonts w:ascii="Times New Roman" w:cs="Times New Roman" w:eastAsia="Times New Roman" w:hAnsi="Times New Roman"/>
          <w:sz w:val="18"/>
          <w:szCs w:val="18"/>
          <w:b w:val="1"/>
          <w:bCs w:val="1"/>
          <w:color w:val="auto"/>
        </w:rPr>
        <w:t>Signature</w:t>
      </w:r>
      <w:r>
        <w:rPr>
          <w:sz w:val="20"/>
          <w:szCs w:val="20"/>
          <w:color w:val="auto"/>
        </w:rPr>
        <w:tab/>
      </w:r>
      <w:r>
        <w:rPr>
          <w:rFonts w:ascii="Times New Roman" w:cs="Times New Roman" w:eastAsia="Times New Roman" w:hAnsi="Times New Roman"/>
          <w:sz w:val="18"/>
          <w:szCs w:val="18"/>
          <w:b w:val="1"/>
          <w:bCs w:val="1"/>
          <w:color w:val="auto"/>
        </w:rPr>
        <w:t>Title</w:t>
      </w:r>
      <w:r>
        <w:rPr>
          <w:sz w:val="20"/>
          <w:szCs w:val="20"/>
          <w:color w:val="auto"/>
        </w:rPr>
        <w:tab/>
      </w:r>
      <w:r>
        <w:rPr>
          <w:rFonts w:ascii="Times New Roman" w:cs="Times New Roman" w:eastAsia="Times New Roman" w:hAnsi="Times New Roman"/>
          <w:sz w:val="17"/>
          <w:szCs w:val="17"/>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1771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9">
                      <a:extLst>
                        <a:ext uri="{28A0092B-C50C-407E-A947-70E740481C1C}"/>
                      </a:extLst>
                    </a:blip>
                    <a:srcRect/>
                    <a:stretch>
                      <a:fillRect/>
                    </a:stretch>
                  </pic:blipFill>
                  <pic:spPr bwMode="auto">
                    <a:xfrm>
                      <a:off x="0" y="0"/>
                      <a:ext cx="7117715"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p>
      <w:pPr>
        <w:spacing w:after="0" w:line="325" w:lineRule="exact"/>
        <w:rPr>
          <w:sz w:val="20"/>
          <w:szCs w:val="20"/>
          <w:color w:val="auto"/>
        </w:rPr>
      </w:pPr>
    </w:p>
    <w:p>
      <w:pPr>
        <w:jc w:val="center"/>
        <w:ind w:left="160"/>
        <w:spacing w:after="0"/>
        <w:rPr>
          <w:sz w:val="20"/>
          <w:szCs w:val="20"/>
          <w:color w:val="auto"/>
        </w:rPr>
      </w:pPr>
      <w:r>
        <w:rPr>
          <w:rFonts w:ascii="Times New Roman" w:cs="Times New Roman" w:eastAsia="Times New Roman" w:hAnsi="Times New Roman"/>
          <w:sz w:val="18"/>
          <w:szCs w:val="18"/>
          <w:color w:val="auto"/>
        </w:rPr>
        <w:t>/s/ Darcy H. Davenport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205295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0">
                      <a:extLst>
                        <a:ext uri="{28A0092B-C50C-407E-A947-70E740481C1C}"/>
                      </a:extLst>
                    </a:blip>
                    <a:srcRect/>
                    <a:stretch>
                      <a:fillRect/>
                    </a:stretch>
                  </pic:blipFill>
                  <pic:spPr bwMode="auto">
                    <a:xfrm>
                      <a:off x="0" y="0"/>
                      <a:ext cx="2052955" cy="8255"/>
                    </a:xfrm>
                    <a:prstGeom prst="rect">
                      <a:avLst/>
                    </a:prstGeom>
                    <a:noFill/>
                  </pic:spPr>
                </pic:pic>
              </a:graphicData>
            </a:graphic>
          </wp:anchor>
        </w:drawing>
      </w:r>
    </w:p>
    <w:p>
      <w:pPr>
        <w:spacing w:after="0" w:line="38" w:lineRule="exact"/>
        <w:rPr>
          <w:sz w:val="20"/>
          <w:szCs w:val="20"/>
          <w:color w:val="auto"/>
        </w:rPr>
      </w:pPr>
    </w:p>
    <w:p>
      <w:pPr>
        <w:jc w:val="center"/>
        <w:ind w:left="160"/>
        <w:spacing w:after="0"/>
        <w:rPr>
          <w:sz w:val="20"/>
          <w:szCs w:val="20"/>
          <w:color w:val="auto"/>
        </w:rPr>
      </w:pPr>
      <w:r>
        <w:rPr>
          <w:rFonts w:ascii="Times New Roman" w:cs="Times New Roman" w:eastAsia="Times New Roman" w:hAnsi="Times New Roman"/>
          <w:sz w:val="18"/>
          <w:szCs w:val="18"/>
          <w:color w:val="auto"/>
        </w:rPr>
        <w:t>Darcy H. Davenport</w:t>
      </w:r>
    </w:p>
    <w:p>
      <w:pPr>
        <w:spacing w:after="0" w:line="323" w:lineRule="exact"/>
        <w:rPr>
          <w:sz w:val="20"/>
          <w:szCs w:val="20"/>
          <w:color w:val="auto"/>
        </w:rPr>
      </w:pPr>
    </w:p>
    <w:p>
      <w:pPr>
        <w:jc w:val="center"/>
        <w:ind w:left="160"/>
        <w:spacing w:after="0"/>
        <w:rPr>
          <w:sz w:val="20"/>
          <w:szCs w:val="20"/>
          <w:color w:val="auto"/>
        </w:rPr>
      </w:pPr>
      <w:r>
        <w:rPr>
          <w:rFonts w:ascii="Times New Roman" w:cs="Times New Roman" w:eastAsia="Times New Roman" w:hAnsi="Times New Roman"/>
          <w:sz w:val="18"/>
          <w:szCs w:val="18"/>
          <w:color w:val="auto"/>
        </w:rPr>
        <w:t>/s/ Paul A. Rode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205295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1">
                      <a:extLst>
                        <a:ext uri="{28A0092B-C50C-407E-A947-70E740481C1C}"/>
                      </a:extLst>
                    </a:blip>
                    <a:srcRect/>
                    <a:stretch>
                      <a:fillRect/>
                    </a:stretch>
                  </pic:blipFill>
                  <pic:spPr bwMode="auto">
                    <a:xfrm>
                      <a:off x="0" y="0"/>
                      <a:ext cx="2052955" cy="8255"/>
                    </a:xfrm>
                    <a:prstGeom prst="rect">
                      <a:avLst/>
                    </a:prstGeom>
                    <a:noFill/>
                  </pic:spPr>
                </pic:pic>
              </a:graphicData>
            </a:graphic>
          </wp:anchor>
        </w:drawing>
      </w:r>
    </w:p>
    <w:p>
      <w:pPr>
        <w:spacing w:after="0" w:line="38" w:lineRule="exact"/>
        <w:rPr>
          <w:sz w:val="20"/>
          <w:szCs w:val="20"/>
          <w:color w:val="auto"/>
        </w:rPr>
      </w:pPr>
    </w:p>
    <w:p>
      <w:pPr>
        <w:jc w:val="center"/>
        <w:ind w:left="160"/>
        <w:spacing w:after="0"/>
        <w:rPr>
          <w:sz w:val="20"/>
          <w:szCs w:val="20"/>
          <w:color w:val="auto"/>
        </w:rPr>
      </w:pPr>
      <w:r>
        <w:rPr>
          <w:rFonts w:ascii="Times New Roman" w:cs="Times New Roman" w:eastAsia="Times New Roman" w:hAnsi="Times New Roman"/>
          <w:sz w:val="18"/>
          <w:szCs w:val="18"/>
          <w:color w:val="auto"/>
        </w:rPr>
        <w:t>Paul A. Rode</w:t>
      </w:r>
    </w:p>
    <w:p>
      <w:pPr>
        <w:spacing w:after="0" w:line="323" w:lineRule="exact"/>
        <w:rPr>
          <w:sz w:val="20"/>
          <w:szCs w:val="20"/>
          <w:color w:val="auto"/>
        </w:rPr>
      </w:pPr>
    </w:p>
    <w:p>
      <w:pPr>
        <w:jc w:val="center"/>
        <w:ind w:left="160"/>
        <w:spacing w:after="0"/>
        <w:rPr>
          <w:sz w:val="20"/>
          <w:szCs w:val="20"/>
          <w:color w:val="auto"/>
        </w:rPr>
      </w:pPr>
      <w:r>
        <w:rPr>
          <w:rFonts w:ascii="Times New Roman" w:cs="Times New Roman" w:eastAsia="Times New Roman" w:hAnsi="Times New Roman"/>
          <w:sz w:val="18"/>
          <w:szCs w:val="18"/>
          <w:color w:val="auto"/>
        </w:rPr>
        <w:t>/s/ Robert V. Vitale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205295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2">
                      <a:extLst>
                        <a:ext uri="{28A0092B-C50C-407E-A947-70E740481C1C}"/>
                      </a:extLst>
                    </a:blip>
                    <a:srcRect/>
                    <a:stretch>
                      <a:fillRect/>
                    </a:stretch>
                  </pic:blipFill>
                  <pic:spPr bwMode="auto">
                    <a:xfrm>
                      <a:off x="0" y="0"/>
                      <a:ext cx="2052955" cy="8255"/>
                    </a:xfrm>
                    <a:prstGeom prst="rect">
                      <a:avLst/>
                    </a:prstGeom>
                    <a:noFill/>
                  </pic:spPr>
                </pic:pic>
              </a:graphicData>
            </a:graphic>
          </wp:anchor>
        </w:drawing>
      </w:r>
    </w:p>
    <w:p>
      <w:pPr>
        <w:spacing w:after="0" w:line="38" w:lineRule="exact"/>
        <w:rPr>
          <w:sz w:val="20"/>
          <w:szCs w:val="20"/>
          <w:color w:val="auto"/>
        </w:rPr>
      </w:pPr>
    </w:p>
    <w:p>
      <w:pPr>
        <w:jc w:val="center"/>
        <w:ind w:left="160"/>
        <w:spacing w:after="0"/>
        <w:rPr>
          <w:sz w:val="20"/>
          <w:szCs w:val="20"/>
          <w:color w:val="auto"/>
        </w:rPr>
      </w:pPr>
      <w:r>
        <w:rPr>
          <w:rFonts w:ascii="Times New Roman" w:cs="Times New Roman" w:eastAsia="Times New Roman" w:hAnsi="Times New Roman"/>
          <w:sz w:val="18"/>
          <w:szCs w:val="18"/>
          <w:color w:val="auto"/>
        </w:rPr>
        <w:t>Robert V. Vitale</w:t>
      </w:r>
    </w:p>
    <w:p>
      <w:pPr>
        <w:spacing w:after="0" w:line="283" w:lineRule="exact"/>
        <w:rPr>
          <w:sz w:val="20"/>
          <w:szCs w:val="20"/>
          <w:color w:val="auto"/>
        </w:rPr>
      </w:pPr>
    </w:p>
    <w:p>
      <w:pPr>
        <w:jc w:val="center"/>
        <w:ind w:left="160"/>
        <w:spacing w:after="0"/>
        <w:rPr>
          <w:sz w:val="20"/>
          <w:szCs w:val="20"/>
          <w:color w:val="auto"/>
        </w:rPr>
      </w:pPr>
      <w:r>
        <w:rPr>
          <w:rFonts w:ascii="Times New Roman" w:cs="Times New Roman" w:eastAsia="Times New Roman" w:hAnsi="Times New Roman"/>
          <w:sz w:val="18"/>
          <w:szCs w:val="18"/>
          <w:color w:val="auto"/>
        </w:rPr>
        <w:t>/s/ Shawn W. Conway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205295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3">
                      <a:extLst>
                        <a:ext uri="{28A0092B-C50C-407E-A947-70E740481C1C}"/>
                      </a:extLst>
                    </a:blip>
                    <a:srcRect/>
                    <a:stretch>
                      <a:fillRect/>
                    </a:stretch>
                  </pic:blipFill>
                  <pic:spPr bwMode="auto">
                    <a:xfrm>
                      <a:off x="0" y="0"/>
                      <a:ext cx="2052955" cy="8255"/>
                    </a:xfrm>
                    <a:prstGeom prst="rect">
                      <a:avLst/>
                    </a:prstGeom>
                    <a:noFill/>
                  </pic:spPr>
                </pic:pic>
              </a:graphicData>
            </a:graphic>
          </wp:anchor>
        </w:drawing>
      </w:r>
    </w:p>
    <w:p>
      <w:pPr>
        <w:spacing w:after="0" w:line="12" w:lineRule="exact"/>
        <w:rPr>
          <w:sz w:val="20"/>
          <w:szCs w:val="20"/>
          <w:color w:val="auto"/>
        </w:rPr>
      </w:pPr>
    </w:p>
    <w:p>
      <w:pPr>
        <w:jc w:val="center"/>
        <w:ind w:left="160"/>
        <w:spacing w:after="0"/>
        <w:rPr>
          <w:sz w:val="20"/>
          <w:szCs w:val="20"/>
          <w:color w:val="auto"/>
        </w:rPr>
      </w:pPr>
      <w:r>
        <w:rPr>
          <w:rFonts w:ascii="Times New Roman" w:cs="Times New Roman" w:eastAsia="Times New Roman" w:hAnsi="Times New Roman"/>
          <w:sz w:val="18"/>
          <w:szCs w:val="18"/>
          <w:color w:val="auto"/>
        </w:rPr>
        <w:t>Shawn W. Conway</w:t>
      </w:r>
    </w:p>
    <w:p>
      <w:pPr>
        <w:spacing w:after="0" w:line="283" w:lineRule="exact"/>
        <w:rPr>
          <w:sz w:val="20"/>
          <w:szCs w:val="20"/>
          <w:color w:val="auto"/>
        </w:rPr>
      </w:pPr>
    </w:p>
    <w:p>
      <w:pPr>
        <w:jc w:val="center"/>
        <w:ind w:left="160"/>
        <w:spacing w:after="0"/>
        <w:rPr>
          <w:sz w:val="20"/>
          <w:szCs w:val="20"/>
          <w:color w:val="auto"/>
        </w:rPr>
      </w:pPr>
      <w:r>
        <w:rPr>
          <w:rFonts w:ascii="Times New Roman" w:cs="Times New Roman" w:eastAsia="Times New Roman" w:hAnsi="Times New Roman"/>
          <w:sz w:val="18"/>
          <w:szCs w:val="18"/>
          <w:color w:val="auto"/>
        </w:rPr>
        <w:t>/s/ Thomas P. Erickson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205295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4">
                      <a:extLst>
                        <a:ext uri="{28A0092B-C50C-407E-A947-70E740481C1C}"/>
                      </a:extLst>
                    </a:blip>
                    <a:srcRect/>
                    <a:stretch>
                      <a:fillRect/>
                    </a:stretch>
                  </pic:blipFill>
                  <pic:spPr bwMode="auto">
                    <a:xfrm>
                      <a:off x="0" y="0"/>
                      <a:ext cx="2052955" cy="8255"/>
                    </a:xfrm>
                    <a:prstGeom prst="rect">
                      <a:avLst/>
                    </a:prstGeom>
                    <a:noFill/>
                  </pic:spPr>
                </pic:pic>
              </a:graphicData>
            </a:graphic>
          </wp:anchor>
        </w:drawing>
      </w:r>
    </w:p>
    <w:p>
      <w:pPr>
        <w:spacing w:after="0" w:line="12" w:lineRule="exact"/>
        <w:rPr>
          <w:sz w:val="20"/>
          <w:szCs w:val="20"/>
          <w:color w:val="auto"/>
        </w:rPr>
      </w:pPr>
    </w:p>
    <w:p>
      <w:pPr>
        <w:jc w:val="center"/>
        <w:ind w:left="160"/>
        <w:spacing w:after="0"/>
        <w:rPr>
          <w:sz w:val="20"/>
          <w:szCs w:val="20"/>
          <w:color w:val="auto"/>
        </w:rPr>
      </w:pPr>
      <w:r>
        <w:rPr>
          <w:rFonts w:ascii="Times New Roman" w:cs="Times New Roman" w:eastAsia="Times New Roman" w:hAnsi="Times New Roman"/>
          <w:sz w:val="18"/>
          <w:szCs w:val="18"/>
          <w:color w:val="auto"/>
        </w:rPr>
        <w:t>Thomas P. Erickson</w:t>
      </w:r>
    </w:p>
    <w:p>
      <w:pPr>
        <w:spacing w:after="0" w:line="283" w:lineRule="exact"/>
        <w:rPr>
          <w:sz w:val="20"/>
          <w:szCs w:val="20"/>
          <w:color w:val="auto"/>
        </w:rPr>
      </w:pPr>
    </w:p>
    <w:p>
      <w:pPr>
        <w:jc w:val="center"/>
        <w:ind w:left="160"/>
        <w:spacing w:after="0"/>
        <w:rPr>
          <w:sz w:val="20"/>
          <w:szCs w:val="20"/>
          <w:color w:val="auto"/>
        </w:rPr>
      </w:pPr>
      <w:r>
        <w:rPr>
          <w:rFonts w:ascii="Times New Roman" w:cs="Times New Roman" w:eastAsia="Times New Roman" w:hAnsi="Times New Roman"/>
          <w:sz w:val="17"/>
          <w:szCs w:val="17"/>
          <w:color w:val="auto"/>
        </w:rPr>
        <w:t>/s/ Jennifer Kuperman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22225</wp:posOffset>
            </wp:positionV>
            <wp:extent cx="205295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5">
                      <a:extLst>
                        <a:ext uri="{28A0092B-C50C-407E-A947-70E740481C1C}"/>
                      </a:extLst>
                    </a:blip>
                    <a:srcRect/>
                    <a:stretch>
                      <a:fillRect/>
                    </a:stretch>
                  </pic:blipFill>
                  <pic:spPr bwMode="auto">
                    <a:xfrm>
                      <a:off x="0" y="0"/>
                      <a:ext cx="2052955" cy="8255"/>
                    </a:xfrm>
                    <a:prstGeom prst="rect">
                      <a:avLst/>
                    </a:prstGeom>
                    <a:noFill/>
                  </pic:spPr>
                </pic:pic>
              </a:graphicData>
            </a:graphic>
          </wp:anchor>
        </w:drawing>
      </w:r>
    </w:p>
    <w:p>
      <w:pPr>
        <w:spacing w:after="0" w:line="23" w:lineRule="exact"/>
        <w:rPr>
          <w:sz w:val="20"/>
          <w:szCs w:val="20"/>
          <w:color w:val="auto"/>
        </w:rPr>
      </w:pPr>
    </w:p>
    <w:p>
      <w:pPr>
        <w:jc w:val="center"/>
        <w:ind w:left="160"/>
        <w:spacing w:after="0"/>
        <w:rPr>
          <w:sz w:val="20"/>
          <w:szCs w:val="20"/>
          <w:color w:val="auto"/>
        </w:rPr>
      </w:pPr>
      <w:r>
        <w:rPr>
          <w:rFonts w:ascii="Times New Roman" w:cs="Times New Roman" w:eastAsia="Times New Roman" w:hAnsi="Times New Roman"/>
          <w:sz w:val="18"/>
          <w:szCs w:val="18"/>
          <w:color w:val="auto"/>
        </w:rPr>
        <w:t>Jennifer Kuperman Johnson</w:t>
      </w:r>
    </w:p>
    <w:p>
      <w:pPr>
        <w:spacing w:after="0" w:line="283" w:lineRule="exact"/>
        <w:rPr>
          <w:sz w:val="20"/>
          <w:szCs w:val="20"/>
          <w:color w:val="auto"/>
        </w:rPr>
      </w:pPr>
    </w:p>
    <w:p>
      <w:pPr>
        <w:jc w:val="center"/>
        <w:ind w:left="160"/>
        <w:spacing w:after="0"/>
        <w:rPr>
          <w:sz w:val="20"/>
          <w:szCs w:val="20"/>
          <w:color w:val="auto"/>
        </w:rPr>
      </w:pPr>
      <w:r>
        <w:rPr>
          <w:rFonts w:ascii="Times New Roman" w:cs="Times New Roman" w:eastAsia="Times New Roman" w:hAnsi="Times New Roman"/>
          <w:sz w:val="18"/>
          <w:szCs w:val="18"/>
          <w:color w:val="auto"/>
        </w:rPr>
        <w:t>/s/ Chonda J. Nwamu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205295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6">
                      <a:extLst>
                        <a:ext uri="{28A0092B-C50C-407E-A947-70E740481C1C}"/>
                      </a:extLst>
                    </a:blip>
                    <a:srcRect/>
                    <a:stretch>
                      <a:fillRect/>
                    </a:stretch>
                  </pic:blipFill>
                  <pic:spPr bwMode="auto">
                    <a:xfrm>
                      <a:off x="0" y="0"/>
                      <a:ext cx="2052955" cy="8255"/>
                    </a:xfrm>
                    <a:prstGeom prst="rect">
                      <a:avLst/>
                    </a:prstGeom>
                    <a:noFill/>
                  </pic:spPr>
                </pic:pic>
              </a:graphicData>
            </a:graphic>
          </wp:anchor>
        </w:drawing>
      </w:r>
    </w:p>
    <w:p>
      <w:pPr>
        <w:spacing w:after="0" w:line="12" w:lineRule="exact"/>
        <w:rPr>
          <w:sz w:val="20"/>
          <w:szCs w:val="20"/>
          <w:color w:val="auto"/>
        </w:rPr>
      </w:pPr>
    </w:p>
    <w:p>
      <w:pPr>
        <w:jc w:val="center"/>
        <w:ind w:left="160"/>
        <w:spacing w:after="0"/>
        <w:rPr>
          <w:sz w:val="20"/>
          <w:szCs w:val="20"/>
          <w:color w:val="auto"/>
        </w:rPr>
      </w:pPr>
      <w:r>
        <w:rPr>
          <w:rFonts w:ascii="Times New Roman" w:cs="Times New Roman" w:eastAsia="Times New Roman" w:hAnsi="Times New Roman"/>
          <w:sz w:val="18"/>
          <w:szCs w:val="18"/>
          <w:color w:val="auto"/>
        </w:rPr>
        <w:t>Chonda J. Nwamu</w:t>
      </w:r>
    </w:p>
    <w:p>
      <w:pPr>
        <w:spacing w:after="0" w:line="283" w:lineRule="exact"/>
        <w:rPr>
          <w:sz w:val="20"/>
          <w:szCs w:val="20"/>
          <w:color w:val="auto"/>
        </w:rPr>
      </w:pPr>
    </w:p>
    <w:p>
      <w:pPr>
        <w:jc w:val="center"/>
        <w:ind w:left="160"/>
        <w:spacing w:after="0"/>
        <w:rPr>
          <w:sz w:val="20"/>
          <w:szCs w:val="20"/>
          <w:color w:val="auto"/>
        </w:rPr>
      </w:pPr>
      <w:r>
        <w:rPr>
          <w:rFonts w:ascii="Times New Roman" w:cs="Times New Roman" w:eastAsia="Times New Roman" w:hAnsi="Times New Roman"/>
          <w:sz w:val="18"/>
          <w:szCs w:val="18"/>
          <w:color w:val="auto"/>
        </w:rPr>
        <w:t>/s/ Elliot H. Stein,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205295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7">
                      <a:extLst>
                        <a:ext uri="{28A0092B-C50C-407E-A947-70E740481C1C}"/>
                      </a:extLst>
                    </a:blip>
                    <a:srcRect/>
                    <a:stretch>
                      <a:fillRect/>
                    </a:stretch>
                  </pic:blipFill>
                  <pic:spPr bwMode="auto">
                    <a:xfrm>
                      <a:off x="0" y="0"/>
                      <a:ext cx="2052955" cy="8255"/>
                    </a:xfrm>
                    <a:prstGeom prst="rect">
                      <a:avLst/>
                    </a:prstGeom>
                    <a:noFill/>
                  </pic:spPr>
                </pic:pic>
              </a:graphicData>
            </a:graphic>
          </wp:anchor>
        </w:drawing>
      </w:r>
    </w:p>
    <w:p>
      <w:pPr>
        <w:spacing w:after="0" w:line="12" w:lineRule="exact"/>
        <w:rPr>
          <w:sz w:val="20"/>
          <w:szCs w:val="20"/>
          <w:color w:val="auto"/>
        </w:rPr>
      </w:pPr>
    </w:p>
    <w:p>
      <w:pPr>
        <w:jc w:val="center"/>
        <w:ind w:left="160"/>
        <w:spacing w:after="0"/>
        <w:rPr>
          <w:sz w:val="20"/>
          <w:szCs w:val="20"/>
          <w:color w:val="auto"/>
        </w:rPr>
      </w:pPr>
      <w:r>
        <w:rPr>
          <w:rFonts w:ascii="Times New Roman" w:cs="Times New Roman" w:eastAsia="Times New Roman" w:hAnsi="Times New Roman"/>
          <w:sz w:val="18"/>
          <w:szCs w:val="18"/>
          <w:color w:val="auto"/>
        </w:rPr>
        <w:t>Elliot H. Stein, Jr.</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4360" w:type="dxa"/>
            <w:vAlign w:val="bottom"/>
          </w:tcPr>
          <w:p>
            <w:pPr>
              <w:jc w:val="center"/>
              <w:ind w:right="652"/>
              <w:spacing w:after="0"/>
              <w:rPr>
                <w:sz w:val="20"/>
                <w:szCs w:val="20"/>
                <w:color w:val="auto"/>
              </w:rPr>
            </w:pPr>
            <w:r>
              <w:rPr>
                <w:rFonts w:ascii="Times New Roman" w:cs="Times New Roman" w:eastAsia="Times New Roman" w:hAnsi="Times New Roman"/>
                <w:sz w:val="18"/>
                <w:szCs w:val="18"/>
                <w:color w:val="auto"/>
                <w:w w:val="97"/>
              </w:rPr>
              <w:t>President and Chief Executive Officer and Director</w:t>
            </w:r>
          </w:p>
        </w:tc>
        <w:tc>
          <w:tcPr>
            <w:tcW w:w="214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7"/>
              </w:rPr>
              <w:t>November 18, 2025</w:t>
            </w:r>
          </w:p>
        </w:tc>
      </w:tr>
      <w:tr>
        <w:trPr>
          <w:trHeight w:val="231"/>
        </w:trPr>
        <w:tc>
          <w:tcPr>
            <w:tcW w:w="4360" w:type="dxa"/>
            <w:vAlign w:val="bottom"/>
          </w:tcPr>
          <w:p>
            <w:pPr>
              <w:jc w:val="center"/>
              <w:ind w:right="652"/>
              <w:spacing w:after="0"/>
              <w:rPr>
                <w:sz w:val="20"/>
                <w:szCs w:val="20"/>
                <w:color w:val="auto"/>
              </w:rPr>
            </w:pPr>
            <w:r>
              <w:rPr>
                <w:rFonts w:ascii="Times New Roman" w:cs="Times New Roman" w:eastAsia="Times New Roman" w:hAnsi="Times New Roman"/>
                <w:sz w:val="18"/>
                <w:szCs w:val="18"/>
                <w:color w:val="auto"/>
                <w:w w:val="98"/>
              </w:rPr>
              <w:t>(Principal Executive Officer)</w:t>
            </w:r>
          </w:p>
        </w:tc>
        <w:tc>
          <w:tcPr>
            <w:tcW w:w="2140" w:type="dxa"/>
            <w:vAlign w:val="bottom"/>
          </w:tcPr>
          <w:p>
            <w:pPr>
              <w:spacing w:after="0"/>
              <w:rPr>
                <w:sz w:val="20"/>
                <w:szCs w:val="20"/>
                <w:color w:val="auto"/>
              </w:rPr>
            </w:pPr>
          </w:p>
        </w:tc>
      </w:tr>
      <w:tr>
        <w:trPr>
          <w:trHeight w:val="564"/>
        </w:trPr>
        <w:tc>
          <w:tcPr>
            <w:tcW w:w="4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Chief Financial Officer and Treasurer</w:t>
            </w:r>
          </w:p>
        </w:tc>
        <w:tc>
          <w:tcPr>
            <w:tcW w:w="214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7"/>
              </w:rPr>
              <w:t>November 18, 2025</w:t>
            </w:r>
          </w:p>
        </w:tc>
      </w:tr>
      <w:tr>
        <w:trPr>
          <w:trHeight w:val="231"/>
        </w:trPr>
        <w:tc>
          <w:tcPr>
            <w:tcW w:w="4360" w:type="dxa"/>
            <w:vAlign w:val="bottom"/>
          </w:tcPr>
          <w:p>
            <w:pPr>
              <w:jc w:val="center"/>
              <w:ind w:right="652"/>
              <w:spacing w:after="0"/>
              <w:rPr>
                <w:sz w:val="20"/>
                <w:szCs w:val="20"/>
                <w:color w:val="auto"/>
              </w:rPr>
            </w:pPr>
            <w:r>
              <w:rPr>
                <w:rFonts w:ascii="Times New Roman" w:cs="Times New Roman" w:eastAsia="Times New Roman" w:hAnsi="Times New Roman"/>
                <w:sz w:val="18"/>
                <w:szCs w:val="18"/>
                <w:color w:val="auto"/>
                <w:w w:val="98"/>
              </w:rPr>
              <w:t>(Principal Financial and Accounting Officer)</w:t>
            </w:r>
          </w:p>
        </w:tc>
        <w:tc>
          <w:tcPr>
            <w:tcW w:w="2140" w:type="dxa"/>
            <w:vAlign w:val="bottom"/>
          </w:tcPr>
          <w:p>
            <w:pPr>
              <w:spacing w:after="0"/>
              <w:rPr>
                <w:sz w:val="20"/>
                <w:szCs w:val="20"/>
                <w:color w:val="auto"/>
              </w:rPr>
            </w:pPr>
          </w:p>
        </w:tc>
      </w:tr>
      <w:tr>
        <w:trPr>
          <w:trHeight w:val="538"/>
        </w:trPr>
        <w:tc>
          <w:tcPr>
            <w:tcW w:w="4360" w:type="dxa"/>
            <w:vAlign w:val="bottom"/>
          </w:tcPr>
          <w:p>
            <w:pPr>
              <w:jc w:val="center"/>
              <w:ind w:right="672"/>
              <w:spacing w:after="0"/>
              <w:rPr>
                <w:sz w:val="20"/>
                <w:szCs w:val="20"/>
                <w:color w:val="auto"/>
              </w:rPr>
            </w:pPr>
            <w:r>
              <w:rPr>
                <w:rFonts w:ascii="Times New Roman" w:cs="Times New Roman" w:eastAsia="Times New Roman" w:hAnsi="Times New Roman"/>
                <w:sz w:val="18"/>
                <w:szCs w:val="18"/>
                <w:color w:val="auto"/>
                <w:w w:val="98"/>
              </w:rPr>
              <w:t>Chairman of the Board of Directors</w:t>
            </w:r>
          </w:p>
        </w:tc>
        <w:tc>
          <w:tcPr>
            <w:tcW w:w="214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7"/>
              </w:rPr>
              <w:t>November 18, 2025</w:t>
            </w:r>
          </w:p>
        </w:tc>
      </w:tr>
      <w:tr>
        <w:trPr>
          <w:trHeight w:val="755"/>
        </w:trPr>
        <w:tc>
          <w:tcPr>
            <w:tcW w:w="4360" w:type="dxa"/>
            <w:vAlign w:val="bottom"/>
          </w:tcPr>
          <w:p>
            <w:pPr>
              <w:jc w:val="center"/>
              <w:ind w:right="652"/>
              <w:spacing w:after="0"/>
              <w:rPr>
                <w:sz w:val="20"/>
                <w:szCs w:val="20"/>
                <w:color w:val="auto"/>
              </w:rPr>
            </w:pPr>
            <w:r>
              <w:rPr>
                <w:rFonts w:ascii="Times New Roman" w:cs="Times New Roman" w:eastAsia="Times New Roman" w:hAnsi="Times New Roman"/>
                <w:sz w:val="18"/>
                <w:szCs w:val="18"/>
                <w:color w:val="auto"/>
                <w:w w:val="96"/>
              </w:rPr>
              <w:t>Director</w:t>
            </w:r>
          </w:p>
        </w:tc>
        <w:tc>
          <w:tcPr>
            <w:tcW w:w="214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7"/>
              </w:rPr>
              <w:t>November 18, 2025</w:t>
            </w:r>
          </w:p>
        </w:tc>
      </w:tr>
      <w:tr>
        <w:trPr>
          <w:trHeight w:val="729"/>
        </w:trPr>
        <w:tc>
          <w:tcPr>
            <w:tcW w:w="4360" w:type="dxa"/>
            <w:vAlign w:val="bottom"/>
          </w:tcPr>
          <w:p>
            <w:pPr>
              <w:jc w:val="center"/>
              <w:ind w:right="652"/>
              <w:spacing w:after="0"/>
              <w:rPr>
                <w:sz w:val="20"/>
                <w:szCs w:val="20"/>
                <w:color w:val="auto"/>
              </w:rPr>
            </w:pPr>
            <w:r>
              <w:rPr>
                <w:rFonts w:ascii="Times New Roman" w:cs="Times New Roman" w:eastAsia="Times New Roman" w:hAnsi="Times New Roman"/>
                <w:sz w:val="18"/>
                <w:szCs w:val="18"/>
                <w:color w:val="auto"/>
                <w:w w:val="96"/>
              </w:rPr>
              <w:t>Director</w:t>
            </w:r>
          </w:p>
        </w:tc>
        <w:tc>
          <w:tcPr>
            <w:tcW w:w="214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7"/>
              </w:rPr>
              <w:t>November 18, 2025</w:t>
            </w:r>
          </w:p>
        </w:tc>
      </w:tr>
      <w:tr>
        <w:trPr>
          <w:trHeight w:val="729"/>
        </w:trPr>
        <w:tc>
          <w:tcPr>
            <w:tcW w:w="4360" w:type="dxa"/>
            <w:vAlign w:val="bottom"/>
          </w:tcPr>
          <w:p>
            <w:pPr>
              <w:jc w:val="center"/>
              <w:ind w:right="652"/>
              <w:spacing w:after="0"/>
              <w:rPr>
                <w:sz w:val="20"/>
                <w:szCs w:val="20"/>
                <w:color w:val="auto"/>
              </w:rPr>
            </w:pPr>
            <w:r>
              <w:rPr>
                <w:rFonts w:ascii="Times New Roman" w:cs="Times New Roman" w:eastAsia="Times New Roman" w:hAnsi="Times New Roman"/>
                <w:sz w:val="18"/>
                <w:szCs w:val="18"/>
                <w:color w:val="auto"/>
                <w:w w:val="96"/>
              </w:rPr>
              <w:t>Director</w:t>
            </w:r>
          </w:p>
        </w:tc>
        <w:tc>
          <w:tcPr>
            <w:tcW w:w="214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7"/>
              </w:rPr>
              <w:t>November 18, 2025</w:t>
            </w:r>
          </w:p>
        </w:tc>
      </w:tr>
      <w:tr>
        <w:trPr>
          <w:trHeight w:val="729"/>
        </w:trPr>
        <w:tc>
          <w:tcPr>
            <w:tcW w:w="4360" w:type="dxa"/>
            <w:vAlign w:val="bottom"/>
          </w:tcPr>
          <w:p>
            <w:pPr>
              <w:jc w:val="center"/>
              <w:ind w:right="652"/>
              <w:spacing w:after="0"/>
              <w:rPr>
                <w:sz w:val="20"/>
                <w:szCs w:val="20"/>
                <w:color w:val="auto"/>
              </w:rPr>
            </w:pPr>
            <w:r>
              <w:rPr>
                <w:rFonts w:ascii="Times New Roman" w:cs="Times New Roman" w:eastAsia="Times New Roman" w:hAnsi="Times New Roman"/>
                <w:sz w:val="18"/>
                <w:szCs w:val="18"/>
                <w:color w:val="auto"/>
                <w:w w:val="96"/>
              </w:rPr>
              <w:t>Director</w:t>
            </w:r>
          </w:p>
        </w:tc>
        <w:tc>
          <w:tcPr>
            <w:tcW w:w="214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7"/>
              </w:rPr>
              <w:t>November 18, 2025</w:t>
            </w:r>
          </w:p>
        </w:tc>
      </w:tr>
      <w:tr>
        <w:trPr>
          <w:trHeight w:val="729"/>
        </w:trPr>
        <w:tc>
          <w:tcPr>
            <w:tcW w:w="4360" w:type="dxa"/>
            <w:vAlign w:val="bottom"/>
          </w:tcPr>
          <w:p>
            <w:pPr>
              <w:jc w:val="center"/>
              <w:ind w:right="652"/>
              <w:spacing w:after="0"/>
              <w:rPr>
                <w:sz w:val="20"/>
                <w:szCs w:val="20"/>
                <w:color w:val="auto"/>
              </w:rPr>
            </w:pPr>
            <w:r>
              <w:rPr>
                <w:rFonts w:ascii="Times New Roman" w:cs="Times New Roman" w:eastAsia="Times New Roman" w:hAnsi="Times New Roman"/>
                <w:sz w:val="18"/>
                <w:szCs w:val="18"/>
                <w:color w:val="auto"/>
                <w:w w:val="96"/>
              </w:rPr>
              <w:t>Director</w:t>
            </w:r>
          </w:p>
        </w:tc>
        <w:tc>
          <w:tcPr>
            <w:tcW w:w="214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7"/>
              </w:rPr>
              <w:t>November 18, 2025</w:t>
            </w:r>
          </w:p>
        </w:tc>
      </w:tr>
    </w:tbl>
    <w:p>
      <w:pPr>
        <w:spacing w:after="0" w:line="414" w:lineRule="exact"/>
        <w:rPr>
          <w:sz w:val="20"/>
          <w:szCs w:val="20"/>
          <w:color w:val="auto"/>
        </w:rPr>
      </w:pPr>
    </w:p>
    <w:p>
      <w:pPr>
        <w:sectPr>
          <w:pgSz w:w="11900" w:h="16838" w:orient="portrait"/>
          <w:cols w:equalWidth="0" w:num="2">
            <w:col w:w="3080" w:space="720"/>
            <w:col w:w="7440"/>
          </w:cols>
          <w:pgMar w:left="320" w:top="33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240"/>
          </w:cols>
          <w:pgMar w:left="320" w:top="333" w:right="339" w:bottom="1440" w:gutter="0" w:footer="0" w:header="0"/>
          <w:type w:val="continuous"/>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u w:val="single" w:color="auto"/>
          <w:color w:val="auto"/>
        </w:rPr>
        <w:t>Exhibit 4.3</w:t>
      </w:r>
    </w:p>
    <w:p>
      <w:pPr>
        <w:spacing w:after="0" w:line="200" w:lineRule="exact"/>
        <w:rPr>
          <w:sz w:val="20"/>
          <w:szCs w:val="20"/>
          <w:color w:val="auto"/>
        </w:rPr>
      </w:pPr>
    </w:p>
    <w:p>
      <w:pPr>
        <w:spacing w:after="0" w:line="360" w:lineRule="exact"/>
        <w:rPr>
          <w:sz w:val="20"/>
          <w:szCs w:val="20"/>
          <w:color w:val="auto"/>
        </w:rPr>
      </w:pPr>
    </w:p>
    <w:p>
      <w:pPr>
        <w:jc w:val="center"/>
        <w:ind w:left="340" w:right="420"/>
        <w:spacing w:after="0" w:line="276" w:lineRule="auto"/>
        <w:rPr>
          <w:sz w:val="20"/>
          <w:szCs w:val="20"/>
          <w:color w:val="auto"/>
        </w:rPr>
      </w:pPr>
      <w:r>
        <w:rPr>
          <w:rFonts w:ascii="Times New Roman" w:cs="Times New Roman" w:eastAsia="Times New Roman" w:hAnsi="Times New Roman"/>
          <w:sz w:val="18"/>
          <w:szCs w:val="18"/>
          <w:b w:val="1"/>
          <w:bCs w:val="1"/>
          <w:color w:val="auto"/>
        </w:rPr>
        <w:t>DESCRIPTION OF BELLRING BRANDS, INC.’S SECURITIES REGISTERED PURSUANT TO SECTION 12 OF THE SECURITIES EXCHANGE ACT OF 1934</w:t>
      </w:r>
    </w:p>
    <w:p>
      <w:pPr>
        <w:spacing w:after="0" w:line="109" w:lineRule="exact"/>
        <w:rPr>
          <w:sz w:val="20"/>
          <w:szCs w:val="20"/>
          <w:color w:val="auto"/>
        </w:rPr>
      </w:pPr>
    </w:p>
    <w:p>
      <w:pPr>
        <w:ind w:firstLine="636"/>
        <w:spacing w:after="0" w:line="255" w:lineRule="auto"/>
        <w:rPr>
          <w:sz w:val="20"/>
          <w:szCs w:val="20"/>
          <w:color w:val="auto"/>
        </w:rPr>
      </w:pPr>
      <w:r>
        <w:rPr>
          <w:rFonts w:ascii="Times New Roman" w:cs="Times New Roman" w:eastAsia="Times New Roman" w:hAnsi="Times New Roman"/>
          <w:sz w:val="18"/>
          <w:szCs w:val="18"/>
          <w:color w:val="auto"/>
        </w:rPr>
        <w:t>The following is a brief description of the registered securities of BellRing Brands, Inc. (the “Company,” “BellRing,” “we,” “us” or “our”). This description is not complete and is qualified in its entirety by reference to the full text of our certificate of incorporation (the “certificate of incorporation”) filed as Exhibit 3.1 to our Form 8-K12B filed on March 10, 2022 and incorporated herein by reference, and to the full text of our bylaws (the “bylaws”) filed as Exhibit 3.2 to our Form 8-K12B filed on March 10, 2022 and incorporated herein by reference.</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46" w:lineRule="exact"/>
        <w:rPr>
          <w:sz w:val="20"/>
          <w:szCs w:val="20"/>
          <w:color w:val="auto"/>
        </w:rPr>
      </w:pPr>
    </w:p>
    <w:p>
      <w:pPr>
        <w:ind w:right="360" w:firstLine="636"/>
        <w:spacing w:after="0" w:line="274" w:lineRule="auto"/>
        <w:rPr>
          <w:sz w:val="20"/>
          <w:szCs w:val="20"/>
          <w:color w:val="auto"/>
        </w:rPr>
      </w:pPr>
      <w:r>
        <w:rPr>
          <w:rFonts w:ascii="Times New Roman" w:cs="Times New Roman" w:eastAsia="Times New Roman" w:hAnsi="Times New Roman"/>
          <w:sz w:val="18"/>
          <w:szCs w:val="18"/>
          <w:color w:val="auto"/>
        </w:rPr>
        <w:t>Under our certificate of incorporation, we may issue up to 500,000,000 shares of common stock, par value $0.01 per share, and up to 50,000,000 shares of preferred stock, par value $0.01 per share. Our common stock is listed on the NYSE under the ticker symbol “BRBR”.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44" w:lineRule="exact"/>
        <w:rPr>
          <w:sz w:val="20"/>
          <w:szCs w:val="20"/>
          <w:color w:val="auto"/>
        </w:rPr>
      </w:pPr>
    </w:p>
    <w:p>
      <w:pPr>
        <w:ind w:right="520" w:firstLine="636"/>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The holders of our common stock are entitled to one vote for each share held by such holder on the applicable record date on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matters on which stockholders are generally entitled to vote.</w:t>
      </w:r>
    </w:p>
    <w:p>
      <w:pPr>
        <w:spacing w:after="0" w:line="186" w:lineRule="exact"/>
        <w:rPr>
          <w:sz w:val="20"/>
          <w:szCs w:val="20"/>
          <w:color w:val="auto"/>
        </w:rPr>
      </w:pPr>
    </w:p>
    <w:p>
      <w:pPr>
        <w:ind w:right="560" w:firstLine="636"/>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The holders of our common stock are entitled to receive dividends when, as and if declared by our board of directors out of legally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available funds.</w:t>
      </w:r>
    </w:p>
    <w:p>
      <w:pPr>
        <w:spacing w:after="0" w:line="186" w:lineRule="exact"/>
        <w:rPr>
          <w:sz w:val="20"/>
          <w:szCs w:val="20"/>
          <w:color w:val="auto"/>
        </w:rPr>
      </w:pPr>
    </w:p>
    <w:p>
      <w:pPr>
        <w:jc w:val="both"/>
        <w:ind w:right="420" w:firstLine="63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Liquidation or Dissolution. </w:t>
      </w:r>
      <w:r>
        <w:rPr>
          <w:rFonts w:ascii="Times New Roman" w:cs="Times New Roman" w:eastAsia="Times New Roman" w:hAnsi="Times New Roman"/>
          <w:sz w:val="18"/>
          <w:szCs w:val="18"/>
          <w:color w:val="auto"/>
        </w:rPr>
        <w:t>Upon our liquidation or dissolution, the holders of our common stock will be entitled to share ratably in those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that are legally available for distribution to stockholders after payment of liabilities and subject to the special rights and preferences, if any, of any holders of our preferred stock then outstanding.</w:t>
      </w:r>
    </w:p>
    <w:p>
      <w:pPr>
        <w:spacing w:after="0" w:line="199" w:lineRule="exact"/>
        <w:rPr>
          <w:sz w:val="20"/>
          <w:szCs w:val="20"/>
          <w:color w:val="auto"/>
        </w:rPr>
      </w:pPr>
    </w:p>
    <w:p>
      <w:pPr>
        <w:ind w:right="180" w:firstLine="636"/>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Other Rights. </w:t>
      </w:r>
      <w:r>
        <w:rPr>
          <w:rFonts w:ascii="Times New Roman" w:cs="Times New Roman" w:eastAsia="Times New Roman" w:hAnsi="Times New Roman"/>
          <w:sz w:val="18"/>
          <w:szCs w:val="18"/>
          <w:color w:val="auto"/>
        </w:rPr>
        <w:t>There are no preemptive rights, redemption or sinking fund provisions applicable to our common stock, and the outstanding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common stock are fully paid and non-assessable.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of Rights of Holders of Common Stock - Preferred Stock</w:t>
      </w:r>
    </w:p>
    <w:p>
      <w:pPr>
        <w:spacing w:after="0" w:line="246" w:lineRule="exact"/>
        <w:rPr>
          <w:sz w:val="20"/>
          <w:szCs w:val="20"/>
          <w:color w:val="auto"/>
        </w:rPr>
      </w:pPr>
    </w:p>
    <w:p>
      <w:pPr>
        <w:ind w:firstLine="636"/>
        <w:spacing w:after="0" w:line="274" w:lineRule="auto"/>
        <w:rPr>
          <w:sz w:val="20"/>
          <w:szCs w:val="20"/>
          <w:color w:val="auto"/>
        </w:rPr>
      </w:pPr>
      <w:r>
        <w:rPr>
          <w:rFonts w:ascii="Times New Roman" w:cs="Times New Roman" w:eastAsia="Times New Roman" w:hAnsi="Times New Roman"/>
          <w:sz w:val="18"/>
          <w:szCs w:val="18"/>
          <w:color w:val="auto"/>
        </w:rPr>
        <w:t>The rights of holders of our common stock may be materially limited or qualified by the rights, powers and preferences of any preferred stock that we may issue in the future.</w:t>
      </w:r>
    </w:p>
    <w:p>
      <w:pPr>
        <w:spacing w:after="0" w:line="190" w:lineRule="exact"/>
        <w:rPr>
          <w:sz w:val="20"/>
          <w:szCs w:val="20"/>
          <w:color w:val="auto"/>
        </w:rPr>
      </w:pPr>
    </w:p>
    <w:p>
      <w:pPr>
        <w:ind w:right="80" w:firstLine="636"/>
        <w:spacing w:after="0" w:line="252" w:lineRule="auto"/>
        <w:rPr>
          <w:sz w:val="20"/>
          <w:szCs w:val="20"/>
          <w:color w:val="auto"/>
        </w:rPr>
      </w:pPr>
      <w:r>
        <w:rPr>
          <w:rFonts w:ascii="Times New Roman" w:cs="Times New Roman" w:eastAsia="Times New Roman" w:hAnsi="Times New Roman"/>
          <w:sz w:val="18"/>
          <w:szCs w:val="18"/>
          <w:color w:val="auto"/>
        </w:rPr>
        <w:t>Our board of directors is authorized, subject to limitations prescribed by Delaware law and our certificate of incorporation, to determine the terms and conditions of the preferred stock, including whether the shares of preferred stock will be issued in one or more series, the number of shares to be included in each series and the powers (including voting powers), designations, preferences and rights of the shares. Our board of directors also is authorized to designate any qualifications, limitations or restrictions on the shares without any further vote or action by our stockholders, subject to applicable rules of the NYSE and Delaware law.</w:t>
      </w:r>
    </w:p>
    <w:p>
      <w:pPr>
        <w:spacing w:after="0" w:line="212" w:lineRule="exact"/>
        <w:rPr>
          <w:sz w:val="20"/>
          <w:szCs w:val="20"/>
          <w:color w:val="auto"/>
        </w:rPr>
      </w:pPr>
    </w:p>
    <w:p>
      <w:pPr>
        <w:ind w:right="20" w:firstLine="636"/>
        <w:spacing w:after="0" w:line="259" w:lineRule="auto"/>
        <w:rPr>
          <w:sz w:val="20"/>
          <w:szCs w:val="20"/>
          <w:color w:val="auto"/>
        </w:rPr>
      </w:pPr>
      <w:r>
        <w:rPr>
          <w:rFonts w:ascii="Times New Roman" w:cs="Times New Roman" w:eastAsia="Times New Roman" w:hAnsi="Times New Roman"/>
          <w:sz w:val="18"/>
          <w:szCs w:val="18"/>
          <w:color w:val="auto"/>
        </w:rPr>
        <w:t>Authorizing our board of directors to establish preferred stock eliminates delays associated with seeking stockholder approval of the creation of a particular class or series of preferred stock. The rights of the holders of our common stock are subject to the rights of the holders of any shares of our preferred stock issued at any time,</w:t>
      </w:r>
    </w:p>
    <w:p>
      <w:pPr>
        <w:sectPr>
          <w:pgSz w:w="11900" w:h="16838" w:orient="portrait"/>
          <w:cols w:equalWidth="0" w:num="1">
            <w:col w:w="11240"/>
          </w:cols>
          <w:pgMar w:left="320" w:top="1380" w:right="339" w:bottom="1440" w:gutter="0" w:footer="0" w:header="0"/>
        </w:sectPr>
      </w:pPr>
    </w:p>
    <w:bookmarkStart w:id="75" w:name="page76"/>
    <w:bookmarkEnd w:id="75"/>
    <w:p>
      <w:pPr>
        <w:ind w:right="140"/>
        <w:spacing w:after="0" w:line="255" w:lineRule="auto"/>
        <w:rPr>
          <w:sz w:val="20"/>
          <w:szCs w:val="20"/>
          <w:color w:val="auto"/>
        </w:rPr>
      </w:pPr>
      <w:r>
        <w:rPr>
          <w:rFonts w:ascii="Times New Roman" w:cs="Times New Roman" w:eastAsia="Times New Roman" w:hAnsi="Times New Roman"/>
          <w:sz w:val="18"/>
          <w:szCs w:val="18"/>
          <w:color w:val="auto"/>
        </w:rPr>
        <w:t>including in the future. The issuance of preferred stock, while providing desirable flexibility in connection with possible acquisitions and other corporate purposes, may have the effect of delaying, deferring or preventing a change in control and may adversely affect the voting and other rights of the holders of our common stock, which could have an adverse impact on the market price of our common stock. These provisions also could make it more difficult for our stockholders to effect certain corporate actions, including the election of directors.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Opportunities</w:t>
      </w:r>
    </w:p>
    <w:p>
      <w:pPr>
        <w:spacing w:after="0" w:line="246" w:lineRule="exact"/>
        <w:rPr>
          <w:sz w:val="20"/>
          <w:szCs w:val="20"/>
          <w:color w:val="auto"/>
        </w:rPr>
      </w:pPr>
    </w:p>
    <w:p>
      <w:pPr>
        <w:ind w:right="140" w:firstLine="636"/>
        <w:spacing w:after="0" w:line="282" w:lineRule="auto"/>
        <w:rPr>
          <w:sz w:val="20"/>
          <w:szCs w:val="20"/>
          <w:color w:val="auto"/>
        </w:rPr>
      </w:pPr>
      <w:r>
        <w:rPr>
          <w:rFonts w:ascii="Times New Roman" w:cs="Times New Roman" w:eastAsia="Times New Roman" w:hAnsi="Times New Roman"/>
          <w:sz w:val="17"/>
          <w:szCs w:val="17"/>
          <w:color w:val="auto"/>
        </w:rPr>
        <w:t>The General Corporation Law of the State of Delaware (the “DGCL”) permits the adoption of a provision in a corporation’s certificate of incorporation renouncing any interests or expectancy of a corporation in, or in being offered an opportunity to participate in, specified business opportunities or specified classes or categories of business opportunities that are presented to the corporation or to one or more of its directors, officers or stockholders.</w:t>
      </w:r>
    </w:p>
    <w:p>
      <w:pPr>
        <w:spacing w:after="0" w:line="185" w:lineRule="exact"/>
        <w:rPr>
          <w:sz w:val="20"/>
          <w:szCs w:val="20"/>
          <w:color w:val="auto"/>
        </w:rPr>
      </w:pPr>
    </w:p>
    <w:p>
      <w:pPr>
        <w:ind w:firstLine="636"/>
        <w:spacing w:after="0" w:line="249" w:lineRule="auto"/>
        <w:rPr>
          <w:sz w:val="20"/>
          <w:szCs w:val="20"/>
          <w:color w:val="auto"/>
        </w:rPr>
      </w:pPr>
      <w:r>
        <w:rPr>
          <w:rFonts w:ascii="Times New Roman" w:cs="Times New Roman" w:eastAsia="Times New Roman" w:hAnsi="Times New Roman"/>
          <w:sz w:val="18"/>
          <w:szCs w:val="18"/>
          <w:color w:val="auto"/>
        </w:rPr>
        <w:t>Our certificate of incorporation includes certain provisions regulating and defining the conduct of our affairs to the extent that they may involve Post Holdings, Inc. (“Post”) and its directors, officers, employees, agents and affiliates (except that we and our subsidiaries are not deemed affiliates of Post or its affiliates for purposes of these provisions) and our rights, powers, duties and liabilities and those of our directors, officers, managers, employees and agents in connection with our relationship with Post. In general, and except as may be set forth in any agreement between us and Post, these provisions provide that Post and its affiliates may carry on and conduct any business of any kind, nature or description, whether or not such business is competitive with or in the same or similar lines of business as us; Post and its affiliates may do business with any of our customers, vendors and lessors; and Post and its affiliates may make investments in any kind of property in which we may make investments. In addition, these provisions provide that we renounce any interest or expectancy to participate in any business of Post or its affiliates.</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Moreover, our certificate of incorporation provides that we renounce any interests or expectancy in corporate opportunities which become known to</w:t>
      </w:r>
    </w:p>
    <w:p>
      <w:pPr>
        <w:spacing w:after="0" w:line="36" w:lineRule="exact"/>
        <w:rPr>
          <w:sz w:val="20"/>
          <w:szCs w:val="20"/>
          <w:color w:val="auto"/>
        </w:rPr>
      </w:pPr>
    </w:p>
    <w:p>
      <w:pPr>
        <w:ind w:right="100" w:firstLine="6"/>
        <w:spacing w:after="0" w:line="263" w:lineRule="auto"/>
        <w:tabs>
          <w:tab w:leader="none" w:pos="211"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of our directors, officers, managers, employees or agents who also are directors, officers, employees, agents or affiliates of Post or its affiliates (except that we and our subsidiaries are not deemed affiliates of Post or its affiliates for the purposes of the provision) or (ii) Post or its affiliates. The provision generally provides that neither Post nor our directors, officers, managers, employees or agents who also are directors, officers, employees, agents or affiliates of Post or its affiliates will be liable to us or our stockholders for breach of any fiduciary duty solely by reason of the fact that any such person pursues or acquires any corporate opportunity for the account of Post or its affiliates, directs, recommends or transfers such corporate opportunity to Post or its affiliates or does not offer or communicate information regarding such corporate opportunity to us or any person controlled by us because such person has directed or intends to direct such opportunity to Post or one of its affiliates. This renunciation does not extend to corporate opportunities expressly offered to one of our directors, officers, managers, employees or agents, solely in his or her capacity as our director, officer, manager, employee or agent.</w:t>
      </w:r>
    </w:p>
    <w:p>
      <w:pPr>
        <w:spacing w:after="0" w:line="201" w:lineRule="exact"/>
        <w:rPr>
          <w:sz w:val="20"/>
          <w:szCs w:val="20"/>
          <w:color w:val="auto"/>
        </w:rPr>
      </w:pPr>
    </w:p>
    <w:p>
      <w:pPr>
        <w:ind w:right="320" w:firstLine="636"/>
        <w:spacing w:after="0" w:line="274" w:lineRule="auto"/>
        <w:rPr>
          <w:sz w:val="20"/>
          <w:szCs w:val="20"/>
          <w:color w:val="auto"/>
        </w:rPr>
      </w:pPr>
      <w:r>
        <w:rPr>
          <w:rFonts w:ascii="Times New Roman" w:cs="Times New Roman" w:eastAsia="Times New Roman" w:hAnsi="Times New Roman"/>
          <w:sz w:val="18"/>
          <w:szCs w:val="18"/>
          <w:color w:val="auto"/>
        </w:rPr>
        <w:t>These provisions in our certificate of incorporation cease to apply at such time as none of the directors, officers, employees, agents or affiliates of Post serve as our directors, officers, managers, employees or agents.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Our Certificate of Incorporation and Bylaws</w:t>
      </w:r>
    </w:p>
    <w:p>
      <w:pPr>
        <w:spacing w:after="0" w:line="246" w:lineRule="exact"/>
        <w:rPr>
          <w:sz w:val="20"/>
          <w:szCs w:val="20"/>
          <w:color w:val="auto"/>
        </w:rPr>
      </w:pPr>
    </w:p>
    <w:p>
      <w:pPr>
        <w:jc w:val="both"/>
        <w:ind w:right="260" w:firstLine="636"/>
        <w:spacing w:after="0" w:line="259" w:lineRule="auto"/>
        <w:rPr>
          <w:sz w:val="20"/>
          <w:szCs w:val="20"/>
          <w:color w:val="auto"/>
        </w:rPr>
      </w:pPr>
      <w:r>
        <w:rPr>
          <w:rFonts w:ascii="Times New Roman" w:cs="Times New Roman" w:eastAsia="Times New Roman" w:hAnsi="Times New Roman"/>
          <w:sz w:val="18"/>
          <w:szCs w:val="18"/>
          <w:color w:val="auto"/>
        </w:rPr>
        <w:t>Our certificate of incorporation and bylaws contain certain provisions that are intended to enhance the likelihood of continuity and stability in the composition of our board of directors and which may have the effect of delaying, deferring or preventing a future takeover or change in control unless such takeover or change in control is approved by our board of directors. These provisions include:</w:t>
      </w:r>
    </w:p>
    <w:p>
      <w:pPr>
        <w:spacing w:after="0" w:line="202" w:lineRule="exact"/>
        <w:rPr>
          <w:sz w:val="20"/>
          <w:szCs w:val="20"/>
          <w:color w:val="auto"/>
        </w:rPr>
      </w:pPr>
    </w:p>
    <w:p>
      <w:pPr>
        <w:ind w:right="400" w:firstLine="636"/>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No Special Meetings Called by Stockholders. </w:t>
      </w:r>
      <w:r>
        <w:rPr>
          <w:rFonts w:ascii="Times New Roman" w:cs="Times New Roman" w:eastAsia="Times New Roman" w:hAnsi="Times New Roman"/>
          <w:sz w:val="18"/>
          <w:szCs w:val="18"/>
          <w:color w:val="auto"/>
        </w:rPr>
        <w:t>Our certificate of incorporation and bylaws provide that stockholder action can be taken only at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or special meeting of stockholders and cannot be taken by any</w:t>
      </w:r>
    </w:p>
    <w:p>
      <w:pPr>
        <w:sectPr>
          <w:pgSz w:w="11900" w:h="16838" w:orient="portrait"/>
          <w:cols w:equalWidth="0" w:num="1">
            <w:col w:w="11240"/>
          </w:cols>
          <w:pgMar w:left="320" w:top="1393" w:right="339" w:bottom="1440" w:gutter="0" w:footer="0" w:header="0"/>
        </w:sectPr>
      </w:pPr>
    </w:p>
    <w:bookmarkStart w:id="76" w:name="page77"/>
    <w:bookmarkEnd w:id="76"/>
    <w:p>
      <w:pPr>
        <w:ind w:right="80"/>
        <w:spacing w:after="0" w:line="259" w:lineRule="auto"/>
        <w:rPr>
          <w:sz w:val="20"/>
          <w:szCs w:val="20"/>
          <w:color w:val="auto"/>
        </w:rPr>
      </w:pPr>
      <w:r>
        <w:rPr>
          <w:rFonts w:ascii="Times New Roman" w:cs="Times New Roman" w:eastAsia="Times New Roman" w:hAnsi="Times New Roman"/>
          <w:sz w:val="18"/>
          <w:szCs w:val="18"/>
          <w:color w:val="auto"/>
        </w:rPr>
        <w:t>consent in lieu of a meeting. Our bylaws also provide that, except as otherwise required by law, special meetings of the stockholders can only be called by the affirmative vote of a majority of our entire board of directors, the chairperson of the board of directors or our president. Except as described above, stockholders are not permitted to call a special meeting or to require the board of directors to call a special meeting.</w:t>
      </w:r>
    </w:p>
    <w:p>
      <w:pPr>
        <w:spacing w:after="0" w:line="202" w:lineRule="exact"/>
        <w:rPr>
          <w:sz w:val="20"/>
          <w:szCs w:val="20"/>
          <w:color w:val="auto"/>
        </w:rPr>
      </w:pPr>
    </w:p>
    <w:p>
      <w:pPr>
        <w:ind w:firstLine="636"/>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Advance Notice Procedures. </w:t>
      </w:r>
      <w:r>
        <w:rPr>
          <w:rFonts w:ascii="Times New Roman" w:cs="Times New Roman" w:eastAsia="Times New Roman" w:hAnsi="Times New Roman"/>
          <w:sz w:val="18"/>
          <w:szCs w:val="18"/>
          <w:color w:val="auto"/>
        </w:rPr>
        <w:t>Our bylaws contain provisions requiring that advance notice be delivered to us of any business to be brought by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 before an annual meeting and providing for procedures to be followed by stockholders in nominating persons for election to our board of directors. Ordinarily, the stockholder must give notice in writing to our Secretary not less than 90 days nor more than 120 days prior to the date of the first anniversary of the prior year’s annual meeting except that, in the event that the date of the meeting is more than 30 days before or more than 60 days after such anniversary date, notice by the stockholder must be received not earlier than the 120th day prior to the date of such annual meeting and not later than the close of business on the later of the 90th day prior to the date of such annual meeting or the 10th day following the day on which public announcement of the date of the annual meeting is first made. For stockholder proposals, the notice must include a description of the proposal, the reasons for the proposal and other specified matters. Our board of directors may reject any proposals or nominations that have not followed these procedures or that are not a proper subject for stockholder action in accordance with the provisions of applicable law. Although our bylaws do not otherwise give the board of directors the power to approve or disapprove stockholder nominations of candidates or proposals regarding other business to be conducted at a special or annual meeting, our bylaws may have the effect of precluding the conduct of certain business or the nomination of certain individuals at a meeting if the proper procedures are not followed or may discourage or deter a potential acquirer from conducting a solicitation of proxies to elect its own slate of directors or otherwise attempting to obtain control of us.</w:t>
      </w:r>
    </w:p>
    <w:p>
      <w:pPr>
        <w:spacing w:after="0" w:line="214" w:lineRule="exact"/>
        <w:rPr>
          <w:sz w:val="20"/>
          <w:szCs w:val="20"/>
          <w:color w:val="auto"/>
        </w:rPr>
      </w:pPr>
    </w:p>
    <w:p>
      <w:pPr>
        <w:ind w:right="140" w:firstLine="63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Directors, and Not Stockholders, Fix the Size of Our Board of Directors. </w:t>
      </w:r>
      <w:r>
        <w:rPr>
          <w:rFonts w:ascii="Times New Roman" w:cs="Times New Roman" w:eastAsia="Times New Roman" w:hAnsi="Times New Roman"/>
          <w:sz w:val="18"/>
          <w:szCs w:val="18"/>
          <w:color w:val="auto"/>
        </w:rPr>
        <w:t>Our certificate of incorporation and bylaws provide that the number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will be fixed from time to time exclusively pursuant to a resolution adopted by our board of directors, but in no event will it consist of less than five nor more than twelve directors.</w:t>
      </w:r>
    </w:p>
    <w:p>
      <w:pPr>
        <w:spacing w:after="0" w:line="199" w:lineRule="exact"/>
        <w:rPr>
          <w:sz w:val="20"/>
          <w:szCs w:val="20"/>
          <w:color w:val="auto"/>
        </w:rPr>
      </w:pPr>
    </w:p>
    <w:p>
      <w:pPr>
        <w:ind w:right="160" w:firstLine="63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Vacancies and Newly-Created Directorships on Our Board of Directors. </w:t>
      </w:r>
      <w:r>
        <w:rPr>
          <w:rFonts w:ascii="Times New Roman" w:cs="Times New Roman" w:eastAsia="Times New Roman" w:hAnsi="Times New Roman"/>
          <w:sz w:val="18"/>
          <w:szCs w:val="18"/>
          <w:color w:val="auto"/>
        </w:rPr>
        <w:t>Subject to the special rights of holders of any outstanding series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preferred stock, any vacancy on our board of directors occurring for any reason, and any newly created directorships which occur by reason of an increase in the number of directors, will be filled only by the majority of the remaining directors, even if less than a quorum or by a sole remaining director. These provisions could make it more difficult for our stockholders to affect the composition of the board of directors.</w:t>
      </w:r>
    </w:p>
    <w:p>
      <w:pPr>
        <w:spacing w:after="0" w:line="203" w:lineRule="exact"/>
        <w:rPr>
          <w:sz w:val="20"/>
          <w:szCs w:val="20"/>
          <w:color w:val="auto"/>
        </w:rPr>
      </w:pPr>
    </w:p>
    <w:p>
      <w:pPr>
        <w:ind w:right="60" w:firstLine="636"/>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Classified Board of Directors; Removal of Directors. </w:t>
      </w:r>
      <w:r>
        <w:rPr>
          <w:rFonts w:ascii="Times New Roman" w:cs="Times New Roman" w:eastAsia="Times New Roman" w:hAnsi="Times New Roman"/>
          <w:sz w:val="18"/>
          <w:szCs w:val="18"/>
          <w:color w:val="auto"/>
        </w:rPr>
        <w:t>Our certificate of incorporation and bylaws provide that our board of directors is divided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classes of directors serving staggered three-year terms. In January 2025, we amended our certificate of incorporation and bylaws to declassify our board of directors over a three-year period ending at our 2027 annual meeting of stockholders, with directors in any class up for election at each of the 2025, 2026 and 2027 annual meetings of stockholders and all directors up for election at every annual meeting thereafter being elected for only one year terms. The number of directors assigned to each class is as equal as reasonably possible. Until our board of directors is fully declassified at the 2027 annual meeting of stockholders, only a portion of our board of directors up for election each year, and the existence of a classified board of directors could render more difficult or discourage an attempt to obtain control of us because it would take more than one annual meeting to do so. In addition, for as long as our board of directors remains classified, our certificate of incorporation provides that our directors may only be removed for cause, which could also make it more difficult to change the composition of our board of directors. Effective at our 2027 annual meeting of stockholders, our board of directors will be fully declassified, and thereafter directors may be removed with or without cause.</w:t>
      </w:r>
    </w:p>
    <w:p>
      <w:pPr>
        <w:spacing w:after="0" w:line="211" w:lineRule="exact"/>
        <w:rPr>
          <w:sz w:val="20"/>
          <w:szCs w:val="20"/>
          <w:color w:val="auto"/>
        </w:rPr>
      </w:pPr>
    </w:p>
    <w:p>
      <w:pPr>
        <w:ind w:right="160" w:firstLine="63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Authorized but Unissued Shares. </w:t>
      </w:r>
      <w:r>
        <w:rPr>
          <w:rFonts w:ascii="Times New Roman" w:cs="Times New Roman" w:eastAsia="Times New Roman" w:hAnsi="Times New Roman"/>
          <w:sz w:val="18"/>
          <w:szCs w:val="18"/>
          <w:color w:val="auto"/>
        </w:rPr>
        <w:t>Our authorized but unissued shares of common stock and preferred stock are available for future issuance without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 approval, subject to applicable rules of the NYSE and Delaware law. These additional shares may be utilized for a variety of corporate purposes, including future public offerings or private offerings to raise additional capital, corporate acquisitions and employee benefit plans and equity grants. The existence of authorized but unissued shares of common stock and preferred stock could render</w:t>
      </w:r>
    </w:p>
    <w:p>
      <w:pPr>
        <w:sectPr>
          <w:pgSz w:w="11900" w:h="16838" w:orient="portrait"/>
          <w:cols w:equalWidth="0" w:num="1">
            <w:col w:w="11240"/>
          </w:cols>
          <w:pgMar w:left="320" w:top="1393" w:right="339" w:bottom="1440" w:gutter="0" w:footer="0" w:header="0"/>
        </w:sectPr>
      </w:pPr>
    </w:p>
    <w:bookmarkStart w:id="77" w:name="page78"/>
    <w:bookmarkEnd w:id="77"/>
    <w:p>
      <w:pPr>
        <w:ind w:right="80"/>
        <w:spacing w:after="0" w:line="259" w:lineRule="auto"/>
        <w:rPr>
          <w:sz w:val="20"/>
          <w:szCs w:val="20"/>
          <w:color w:val="auto"/>
        </w:rPr>
      </w:pPr>
      <w:r>
        <w:rPr>
          <w:rFonts w:ascii="Times New Roman" w:cs="Times New Roman" w:eastAsia="Times New Roman" w:hAnsi="Times New Roman"/>
          <w:sz w:val="18"/>
          <w:szCs w:val="18"/>
          <w:color w:val="auto"/>
        </w:rPr>
        <w:t>more difficult or discourage an attempt to obtain control of a majority of our common stock by means of a proxy contest, tender offer, merger or otherwise. We do not intend to solicit approval of stockholders for issuance of authorized but unissued shares of our common stock and preferred stock, unless our board of directors believes that approval is advisable or is required by applicable rules of the NYSE or Delaware law.</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Amendments to Certificate of Incorporation and Bylaws</w:t>
      </w:r>
    </w:p>
    <w:p>
      <w:pPr>
        <w:spacing w:after="0" w:line="246" w:lineRule="exact"/>
        <w:rPr>
          <w:sz w:val="20"/>
          <w:szCs w:val="20"/>
          <w:color w:val="auto"/>
        </w:rPr>
      </w:pPr>
    </w:p>
    <w:p>
      <w:pPr>
        <w:ind w:right="160" w:firstLine="636"/>
        <w:spacing w:after="0" w:line="251" w:lineRule="auto"/>
        <w:rPr>
          <w:sz w:val="20"/>
          <w:szCs w:val="20"/>
          <w:color w:val="auto"/>
        </w:rPr>
      </w:pPr>
      <w:r>
        <w:rPr>
          <w:rFonts w:ascii="Times New Roman" w:cs="Times New Roman" w:eastAsia="Times New Roman" w:hAnsi="Times New Roman"/>
          <w:sz w:val="18"/>
          <w:szCs w:val="18"/>
          <w:color w:val="auto"/>
        </w:rPr>
        <w:t>The DGCL generally provides that a corporation may amend its certificate of incorporation upon a resolution of its board of directors proposing the amendment and its submission to the stockholders for their approval upon the affirmative vote of holders of a majority of the voting power entitled to vote thereon. Our certificate of incorporation provides that it may be amended in accordance with and upon the vote prescribed by Delaware law, except that the indemnification provisions of the certificate of incorporation may be amended (or a provision inconsistent with the indemnification provisions adopted) only upon the affirmative vote of not less than 85% of all of the voting power of all of the outstanding shares of our common stock then entitled to vote in the election of directors, voting together as a single class.</w:t>
      </w:r>
    </w:p>
    <w:p>
      <w:pPr>
        <w:spacing w:after="0" w:line="212" w:lineRule="exact"/>
        <w:rPr>
          <w:sz w:val="20"/>
          <w:szCs w:val="20"/>
          <w:color w:val="auto"/>
        </w:rPr>
      </w:pPr>
    </w:p>
    <w:p>
      <w:pPr>
        <w:ind w:right="60" w:firstLine="636"/>
        <w:spacing w:after="0" w:line="251" w:lineRule="auto"/>
        <w:rPr>
          <w:sz w:val="20"/>
          <w:szCs w:val="20"/>
          <w:color w:val="auto"/>
        </w:rPr>
      </w:pPr>
      <w:r>
        <w:rPr>
          <w:rFonts w:ascii="Times New Roman" w:cs="Times New Roman" w:eastAsia="Times New Roman" w:hAnsi="Times New Roman"/>
          <w:sz w:val="18"/>
          <w:szCs w:val="18"/>
          <w:color w:val="auto"/>
        </w:rPr>
        <w:t>The DGCL provides that the power to adopt, amend or repeal the bylaws of a corporation is held by the stockholders of the corporation, except that a corporation may, in its certificate of incorporation, confer the power to adopt, amend or repeal its bylaws upon the board of directors of the corporation, but the fact that such power has been so conferred upon the board of directors will not divest the stockholders of such power or limit their power to adopt, amend or repeal the bylaws. Our certificate of incorporation and bylaws provide that our board of directors may amend, alter, change or repeal any provision of the bylaws. Our certificate of incorporation and bylaws also provide that stockholders may amend, alter, change or repeal any provision of the bylaws upon the affirmative vote of a majority of all of the voting power entitled to vote thereon.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Liability; Indemnification of Directors and Officers</w:t>
      </w:r>
    </w:p>
    <w:p>
      <w:pPr>
        <w:spacing w:after="0" w:line="246" w:lineRule="exact"/>
        <w:rPr>
          <w:sz w:val="20"/>
          <w:szCs w:val="20"/>
          <w:color w:val="auto"/>
        </w:rPr>
      </w:pPr>
    </w:p>
    <w:p>
      <w:pPr>
        <w:ind w:right="520" w:firstLine="636"/>
        <w:spacing w:after="0" w:line="274" w:lineRule="auto"/>
        <w:rPr>
          <w:sz w:val="20"/>
          <w:szCs w:val="20"/>
          <w:color w:val="auto"/>
        </w:rPr>
      </w:pPr>
      <w:r>
        <w:rPr>
          <w:rFonts w:ascii="Times New Roman" w:cs="Times New Roman" w:eastAsia="Times New Roman" w:hAnsi="Times New Roman"/>
          <w:sz w:val="18"/>
          <w:szCs w:val="18"/>
          <w:color w:val="auto"/>
        </w:rPr>
        <w:t>The DGCL permits a corporation, in its certificate of incorporation, to limit or eliminate, subject to certain statutory limitations, the liability of directors to the corporation or its stockholders for monetary damages for breaches of fiduciary duty, except for liability:</w:t>
      </w:r>
    </w:p>
    <w:p>
      <w:pPr>
        <w:spacing w:after="0" w:line="190" w:lineRule="exact"/>
        <w:rPr>
          <w:sz w:val="20"/>
          <w:szCs w:val="20"/>
          <w:color w:val="auto"/>
        </w:rPr>
      </w:pPr>
    </w:p>
    <w:p>
      <w:pPr>
        <w:ind w:left="960" w:hanging="318"/>
        <w:spacing w:after="0"/>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the director’s duty of loyalty to the corporation or its stockholders;</w:t>
      </w:r>
    </w:p>
    <w:p>
      <w:pPr>
        <w:spacing w:after="0" w:line="24"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that involve intentional misconduct or knowing violation of law;</w:t>
      </w:r>
    </w:p>
    <w:p>
      <w:pPr>
        <w:spacing w:after="0" w:line="5"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certain unlawful dividend payments or stock redemptions or repurchases; and</w:t>
      </w:r>
    </w:p>
    <w:p>
      <w:pPr>
        <w:spacing w:after="0" w:line="5"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a director derives an improper personal benefit.</w:t>
      </w:r>
    </w:p>
    <w:p>
      <w:pPr>
        <w:spacing w:after="0" w:line="224" w:lineRule="exact"/>
        <w:rPr>
          <w:sz w:val="20"/>
          <w:szCs w:val="20"/>
          <w:color w:val="auto"/>
        </w:rPr>
      </w:pPr>
    </w:p>
    <w:p>
      <w:pPr>
        <w:ind w:firstLine="636"/>
        <w:spacing w:after="0" w:line="248" w:lineRule="auto"/>
        <w:rPr>
          <w:sz w:val="20"/>
          <w:szCs w:val="20"/>
          <w:color w:val="auto"/>
        </w:rPr>
      </w:pPr>
      <w:r>
        <w:rPr>
          <w:rFonts w:ascii="Times New Roman" w:cs="Times New Roman" w:eastAsia="Times New Roman" w:hAnsi="Times New Roman"/>
          <w:sz w:val="18"/>
          <w:szCs w:val="18"/>
          <w:color w:val="auto"/>
        </w:rPr>
        <w:t>The DGCL permits a corporation, under specified circumstances, to indemnify its directors, officers, employees and agents against expenses (including attorneys’ fees), judgments, fines and amounts paid in settlements actually and reasonably incurred by them in connection with any action, suit or proceeding by reason of the fact that they were or are directors, officers, employees or agents of the corporation, if such directors, officers, employees or agents acted in good faith and in a manner they reasonably believed to be in or not opposed to the best interests of the corporation and, with respect to any criminal action or proceeding, had no reason to believe their conduct was unlawful. In a derivative action or suit (i.e., one by or in the right of the corporation), indemnification may be made only for expenses actually and reasonably incurred by directors, officers, employees and agents in connection with the defense or settlement of an action or suit, and only with respect to a matter as to which they have acted in good faith and in a manner they reasonably believed to be in or not opposed to the best interests of the corporation, except that no indemnification will be made if such person has been adjudged liable to the corporation, unless and only to the extent that the court in which the action or suit was brought determines upon application that the defendant directors, officers, employees or agents are fairly and reasonably entitled to indemnity for such expenses despite such adjudication of liability.</w:t>
      </w:r>
    </w:p>
    <w:p>
      <w:pPr>
        <w:sectPr>
          <w:pgSz w:w="11900" w:h="16838" w:orient="portrait"/>
          <w:cols w:equalWidth="0" w:num="1">
            <w:col w:w="11240"/>
          </w:cols>
          <w:pgMar w:left="320" w:top="1393" w:right="339" w:bottom="1440" w:gutter="0" w:footer="0" w:header="0"/>
        </w:sectPr>
      </w:pPr>
    </w:p>
    <w:bookmarkStart w:id="78" w:name="page79"/>
    <w:bookmarkEnd w:id="78"/>
    <w:p>
      <w:pPr>
        <w:ind w:right="160" w:firstLine="636"/>
        <w:spacing w:after="0" w:line="255" w:lineRule="auto"/>
        <w:rPr>
          <w:sz w:val="20"/>
          <w:szCs w:val="20"/>
          <w:color w:val="auto"/>
        </w:rPr>
      </w:pPr>
      <w:r>
        <w:rPr>
          <w:rFonts w:ascii="Times New Roman" w:cs="Times New Roman" w:eastAsia="Times New Roman" w:hAnsi="Times New Roman"/>
          <w:sz w:val="18"/>
          <w:szCs w:val="18"/>
          <w:color w:val="auto"/>
        </w:rPr>
        <w:t>The DGCL also permits corporations to advance expenses incurred by an officer or director of the corporation in defending any civil, criminal, administrative or investigative action, suit or proceeding in advance of the final disposition of such action, suit or proceeding upon receipt of an undertaking by or on behalf of such director or officer to repay such amount if it shall ultimately be determined that such person is not entitled to be indemnified by the corporation.</w:t>
      </w:r>
    </w:p>
    <w:p>
      <w:pPr>
        <w:spacing w:after="0" w:line="207" w:lineRule="exact"/>
        <w:rPr>
          <w:sz w:val="20"/>
          <w:szCs w:val="20"/>
          <w:color w:val="auto"/>
        </w:rPr>
      </w:pPr>
    </w:p>
    <w:p>
      <w:pPr>
        <w:ind w:right="20" w:firstLine="636"/>
        <w:spacing w:after="0" w:line="255" w:lineRule="auto"/>
        <w:rPr>
          <w:sz w:val="20"/>
          <w:szCs w:val="20"/>
          <w:color w:val="auto"/>
        </w:rPr>
      </w:pPr>
      <w:r>
        <w:rPr>
          <w:rFonts w:ascii="Times New Roman" w:cs="Times New Roman" w:eastAsia="Times New Roman" w:hAnsi="Times New Roman"/>
          <w:sz w:val="18"/>
          <w:szCs w:val="18"/>
          <w:color w:val="auto"/>
        </w:rPr>
        <w:t>Our certificate of incorporation limits the liability of directors to the fullest extent permitted by the DGCL and provides that we will provide our directors and officers with customary indemnification and advancement. We have entered into customary indemnification agreements with each of our directors and certain of our executive officers that provide them, in general, with customary indemnification and advancement in connection with their service to us or on our behalf.</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Exclusive Forum</w:t>
      </w:r>
    </w:p>
    <w:p>
      <w:pPr>
        <w:spacing w:after="0" w:line="246" w:lineRule="exact"/>
        <w:rPr>
          <w:sz w:val="20"/>
          <w:szCs w:val="20"/>
          <w:color w:val="auto"/>
        </w:rPr>
      </w:pPr>
    </w:p>
    <w:p>
      <w:pPr>
        <w:jc w:val="both"/>
        <w:ind w:right="260" w:firstLine="636"/>
        <w:spacing w:after="0" w:line="255" w:lineRule="auto"/>
        <w:rPr>
          <w:sz w:val="20"/>
          <w:szCs w:val="20"/>
          <w:color w:val="auto"/>
        </w:rPr>
      </w:pPr>
      <w:r>
        <w:rPr>
          <w:rFonts w:ascii="Times New Roman" w:cs="Times New Roman" w:eastAsia="Times New Roman" w:hAnsi="Times New Roman"/>
          <w:sz w:val="18"/>
          <w:szCs w:val="18"/>
          <w:color w:val="auto"/>
        </w:rPr>
        <w:t>The DGCL permits a corporation to require, and not prohibit, in its certificate of incorporation or bylaws, internal corporate claims to be brought (only) in Delaware. Under Section 115 of the DGCL, “internal corporate claims” means claims, including claims in the right of the corporation, (i) that are based upon a violation of a duty by a current or former director or officer or stockholder in such capacity or (ii) as to which the DGCL confers jurisdiction upon the Court of Chancery.</w:t>
      </w:r>
    </w:p>
    <w:p>
      <w:pPr>
        <w:spacing w:after="0" w:line="207" w:lineRule="exact"/>
        <w:rPr>
          <w:sz w:val="20"/>
          <w:szCs w:val="20"/>
          <w:color w:val="auto"/>
        </w:rPr>
      </w:pPr>
    </w:p>
    <w:p>
      <w:pPr>
        <w:ind w:right="40" w:firstLine="636"/>
        <w:spacing w:after="0" w:line="259" w:lineRule="auto"/>
        <w:rPr>
          <w:sz w:val="20"/>
          <w:szCs w:val="20"/>
          <w:color w:val="auto"/>
        </w:rPr>
      </w:pPr>
      <w:r>
        <w:rPr>
          <w:rFonts w:ascii="Times New Roman" w:cs="Times New Roman" w:eastAsia="Times New Roman" w:hAnsi="Times New Roman"/>
          <w:sz w:val="18"/>
          <w:szCs w:val="18"/>
          <w:color w:val="auto"/>
        </w:rPr>
        <w:t>Section 12 of our certificate of incorporation provides that, unless we consent in writing to the selection of an alternative forum, the Court of Chancery (or, if the Court of Chancery does not have subject matter jurisdiction, the federal district court for the State of Delaware) is the exclusive forum for the following types of actions or proceedings under Delaware statutory or common law:</w:t>
      </w:r>
    </w:p>
    <w:p>
      <w:pPr>
        <w:spacing w:after="0" w:line="204" w:lineRule="exact"/>
        <w:rPr>
          <w:sz w:val="20"/>
          <w:szCs w:val="20"/>
          <w:color w:val="auto"/>
        </w:rPr>
      </w:pPr>
    </w:p>
    <w:p>
      <w:pPr>
        <w:ind w:left="960" w:hanging="318"/>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24"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breach of fiduciary duty;</w:t>
      </w:r>
    </w:p>
    <w:p>
      <w:pPr>
        <w:spacing w:after="0" w:line="5"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arising pursuant to the DGCL; and</w:t>
      </w:r>
    </w:p>
    <w:p>
      <w:pPr>
        <w:spacing w:after="0" w:line="5"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that is governed by the internal affairs doctrine.</w:t>
      </w:r>
    </w:p>
    <w:p>
      <w:pPr>
        <w:spacing w:after="0" w:line="224" w:lineRule="exact"/>
        <w:rPr>
          <w:sz w:val="20"/>
          <w:szCs w:val="20"/>
          <w:color w:val="auto"/>
        </w:rPr>
      </w:pPr>
    </w:p>
    <w:p>
      <w:pPr>
        <w:ind w:firstLine="636"/>
        <w:spacing w:after="0" w:line="252" w:lineRule="auto"/>
        <w:rPr>
          <w:sz w:val="20"/>
          <w:szCs w:val="20"/>
          <w:color w:val="auto"/>
        </w:rPr>
      </w:pPr>
      <w:r>
        <w:rPr>
          <w:rFonts w:ascii="Times New Roman" w:cs="Times New Roman" w:eastAsia="Times New Roman" w:hAnsi="Times New Roman"/>
          <w:sz w:val="18"/>
          <w:szCs w:val="18"/>
          <w:color w:val="auto"/>
        </w:rPr>
        <w:t>Section 12 does not apply to suits brought to enforce a duty or liability created by the Exchange Act, for which the U.S. federal courts have exclusive jurisdiction. Our certificate of incorporation also provides that U.S. federal courts will, to the fullest extent permitted by law, be the sole and exclusive forum for the resolution of any complaint asserting a cause of action or proceeding arising under the Securities Act of 1933, as amended (the “Securities Act”). Further, to the fullest extent permitted by law, any person or entity purchasing or otherwise acquiring or holding any interest in our common stock will be deemed to have notice of Section 12 of our certificate of incorporation.</w:t>
      </w:r>
    </w:p>
    <w:p>
      <w:pPr>
        <w:spacing w:after="0" w:line="212" w:lineRule="exact"/>
        <w:rPr>
          <w:sz w:val="20"/>
          <w:szCs w:val="20"/>
          <w:color w:val="auto"/>
        </w:rPr>
      </w:pPr>
    </w:p>
    <w:p>
      <w:pPr>
        <w:ind w:right="320" w:firstLine="636"/>
        <w:spacing w:after="0" w:line="255" w:lineRule="auto"/>
        <w:rPr>
          <w:sz w:val="20"/>
          <w:szCs w:val="20"/>
          <w:color w:val="auto"/>
        </w:rPr>
      </w:pPr>
      <w:r>
        <w:rPr>
          <w:rFonts w:ascii="Times New Roman" w:cs="Times New Roman" w:eastAsia="Times New Roman" w:hAnsi="Times New Roman"/>
          <w:sz w:val="18"/>
          <w:szCs w:val="18"/>
          <w:color w:val="auto"/>
        </w:rPr>
        <w:t>Although our certificate of incorporation contains the exclusive forum provision described above, it is possible that a court could find that such a provision is inapplicable for a particular claim or action or that such provision is unenforceable. The exclusive forum provision does not relieve us of our duties to comply with the federal securities laws and the rules and regulations thereunder, and our stockholders will not be deemed to have waived our compliance with these laws, rules and regulations.</w:t>
      </w:r>
    </w:p>
    <w:p>
      <w:pPr>
        <w:sectPr>
          <w:pgSz w:w="11900" w:h="16838" w:orient="portrait"/>
          <w:cols w:equalWidth="0" w:num="1">
            <w:col w:w="11200"/>
          </w:cols>
          <w:pgMar w:left="320" w:top="1393" w:right="37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21"/>
          <w:szCs w:val="21"/>
          <w:b w:val="1"/>
          <w:bCs w:val="1"/>
          <w:u w:val="single" w:color="auto"/>
          <w:color w:val="auto"/>
        </w:rPr>
        <w:t>Exhibit 10.21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FIRST AMENDMENT TO CREDIT AGREEMENT</w:t>
      </w:r>
    </w:p>
    <w:p>
      <w:pPr>
        <w:spacing w:after="0" w:line="21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 xml:space="preserve">This </w:t>
      </w:r>
      <w:r>
        <w:rPr>
          <w:rFonts w:ascii="Times New Roman" w:cs="Times New Roman" w:eastAsia="Times New Roman" w:hAnsi="Times New Roman"/>
          <w:sz w:val="19"/>
          <w:szCs w:val="19"/>
          <w:b w:val="1"/>
          <w:bCs w:val="1"/>
          <w:color w:val="auto"/>
        </w:rPr>
        <w:t>FIRST AMENDMENT TO CREDIT AGREEMENT</w:t>
      </w:r>
      <w:r>
        <w:rPr>
          <w:rFonts w:ascii="Times New Roman" w:cs="Times New Roman" w:eastAsia="Times New Roman" w:hAnsi="Times New Roman"/>
          <w:sz w:val="19"/>
          <w:szCs w:val="19"/>
          <w:color w:val="auto"/>
        </w:rPr>
        <w:t xml:space="preserve"> (this “</w:t>
      </w:r>
      <w:r>
        <w:rPr>
          <w:rFonts w:ascii="Times New Roman" w:cs="Times New Roman" w:eastAsia="Times New Roman" w:hAnsi="Times New Roman"/>
          <w:sz w:val="19"/>
          <w:szCs w:val="19"/>
          <w:b w:val="1"/>
          <w:bCs w:val="1"/>
          <w:color w:val="auto"/>
        </w:rPr>
        <w:t>Amendment</w:t>
      </w:r>
      <w:r>
        <w:rPr>
          <w:rFonts w:ascii="Times New Roman" w:cs="Times New Roman" w:eastAsia="Times New Roman" w:hAnsi="Times New Roman"/>
          <w:sz w:val="19"/>
          <w:szCs w:val="19"/>
          <w:color w:val="auto"/>
        </w:rPr>
        <w:t xml:space="preserve">”) is dated as of August 22, 2025 and is entered into by and among </w:t>
      </w:r>
      <w:r>
        <w:rPr>
          <w:rFonts w:ascii="Times New Roman" w:cs="Times New Roman" w:eastAsia="Times New Roman" w:hAnsi="Times New Roman"/>
          <w:sz w:val="19"/>
          <w:szCs w:val="19"/>
          <w:b w:val="1"/>
          <w:bCs w:val="1"/>
          <w:color w:val="auto"/>
        </w:rPr>
        <w:t>BELLRING BRANDS, INC.</w:t>
      </w:r>
      <w:r>
        <w:rPr>
          <w:rFonts w:ascii="Times New Roman" w:cs="Times New Roman" w:eastAsia="Times New Roman" w:hAnsi="Times New Roman"/>
          <w:sz w:val="19"/>
          <w:szCs w:val="19"/>
          <w:color w:val="auto"/>
        </w:rPr>
        <w:t>, a Delaware corporation (form</w:t>
      </w:r>
      <w:r>
        <w:rPr>
          <w:rFonts w:ascii="Times New Roman" w:cs="Times New Roman" w:eastAsia="Times New Roman" w:hAnsi="Times New Roman"/>
          <w:sz w:val="21"/>
          <w:szCs w:val="21"/>
          <w:color w:val="auto"/>
        </w:rPr>
        <w:t>erly known as BellRing Distribution, LLC, a Delaware limited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1"/>
          <w:szCs w:val="21"/>
          <w:color w:val="auto"/>
        </w:rPr>
        <w:t>liability company) (the “</w:t>
      </w:r>
      <w:r>
        <w:rPr>
          <w:rFonts w:ascii="Times New Roman" w:cs="Times New Roman" w:eastAsia="Times New Roman" w:hAnsi="Times New Roman"/>
          <w:sz w:val="21"/>
          <w:szCs w:val="21"/>
          <w:b w:val="1"/>
          <w:bCs w:val="1"/>
          <w:color w:val="auto"/>
        </w:rPr>
        <w:t>Borrower</w:t>
      </w:r>
      <w:r>
        <w:rPr>
          <w:rFonts w:ascii="Times New Roman" w:cs="Times New Roman" w:eastAsia="Times New Roman" w:hAnsi="Times New Roman"/>
          <w:sz w:val="21"/>
          <w:szCs w:val="21"/>
          <w:color w:val="auto"/>
        </w:rPr>
        <w:t xml:space="preserve">”), the Guarantors party hereto, </w:t>
      </w:r>
      <w:r>
        <w:rPr>
          <w:rFonts w:ascii="Times New Roman" w:cs="Times New Roman" w:eastAsia="Times New Roman" w:hAnsi="Times New Roman"/>
          <w:sz w:val="21"/>
          <w:szCs w:val="21"/>
          <w:b w:val="1"/>
          <w:bCs w:val="1"/>
          <w:color w:val="auto"/>
        </w:rPr>
        <w:t>JPMORGAN CHASE BANK, N.A.</w:t>
      </w:r>
      <w:r>
        <w:rPr>
          <w:rFonts w:ascii="Times New Roman" w:cs="Times New Roman" w:eastAsia="Times New Roman" w:hAnsi="Times New Roman"/>
          <w:sz w:val="21"/>
          <w:szCs w:val="21"/>
          <w:color w:val="auto"/>
        </w:rPr>
        <w:t>, as Administrative Agent (in such capacity, the “</w:t>
      </w:r>
      <w:r>
        <w:rPr>
          <w:rFonts w:ascii="Times New Roman" w:cs="Times New Roman" w:eastAsia="Times New Roman" w:hAnsi="Times New Roman"/>
          <w:sz w:val="21"/>
          <w:szCs w:val="21"/>
          <w:b w:val="1"/>
          <w:bCs w:val="1"/>
          <w:color w:val="auto"/>
        </w:rPr>
        <w:t>Administrative Agent</w:t>
      </w:r>
      <w:r>
        <w:rPr>
          <w:rFonts w:ascii="Times New Roman" w:cs="Times New Roman" w:eastAsia="Times New Roman" w:hAnsi="Times New Roman"/>
          <w:sz w:val="21"/>
          <w:szCs w:val="21"/>
          <w:color w:val="auto"/>
        </w:rPr>
        <w:t>”), each Lender party hereto that is providing 2025 Revolving Credit Commitments (as defined herein) (collectively, the “</w:t>
      </w:r>
      <w:r>
        <w:rPr>
          <w:rFonts w:ascii="Times New Roman" w:cs="Times New Roman" w:eastAsia="Times New Roman" w:hAnsi="Times New Roman"/>
          <w:sz w:val="21"/>
          <w:szCs w:val="21"/>
          <w:b w:val="1"/>
          <w:bCs w:val="1"/>
          <w:color w:val="auto"/>
        </w:rPr>
        <w:t>2025 Revolving Credit Lenders</w:t>
      </w:r>
      <w:r>
        <w:rPr>
          <w:rFonts w:ascii="Times New Roman" w:cs="Times New Roman" w:eastAsia="Times New Roman" w:hAnsi="Times New Roman"/>
          <w:sz w:val="21"/>
          <w:szCs w:val="21"/>
          <w:color w:val="auto"/>
        </w:rPr>
        <w:t>”), and each L/C Issuer.</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RECITALS</w:t>
      </w:r>
    </w:p>
    <w:p>
      <w:pPr>
        <w:spacing w:after="0" w:line="22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Borrower, the Lenders party thereto, each L/C Issuer and the Administrative Agent have entered into that certain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Credit Agreement, dated as of March 10, 2022 (as amended, restated, amended and restated, supplemented or otherwise modified from time to time prior to the date hereof, the “</w:t>
      </w:r>
      <w:r>
        <w:rPr>
          <w:rFonts w:ascii="Times New Roman" w:cs="Times New Roman" w:eastAsia="Times New Roman" w:hAnsi="Times New Roman"/>
          <w:sz w:val="21"/>
          <w:szCs w:val="21"/>
          <w:b w:val="1"/>
          <w:bCs w:val="1"/>
          <w:color w:val="auto"/>
        </w:rPr>
        <w:t>Existing Credit Agreement</w:t>
      </w:r>
      <w:r>
        <w:rPr>
          <w:rFonts w:ascii="Times New Roman" w:cs="Times New Roman" w:eastAsia="Times New Roman" w:hAnsi="Times New Roman"/>
          <w:sz w:val="21"/>
          <w:szCs w:val="21"/>
          <w:color w:val="auto"/>
        </w:rPr>
        <w:t>”, and the Existing Credit Agreement, as amended pursuant to this Amendment, the “</w:t>
      </w:r>
      <w:r>
        <w:rPr>
          <w:rFonts w:ascii="Times New Roman" w:cs="Times New Roman" w:eastAsia="Times New Roman" w:hAnsi="Times New Roman"/>
          <w:sz w:val="21"/>
          <w:szCs w:val="21"/>
          <w:b w:val="1"/>
          <w:bCs w:val="1"/>
          <w:color w:val="auto"/>
        </w:rPr>
        <w:t>Credit Agreement</w:t>
      </w:r>
      <w:r>
        <w:rPr>
          <w:rFonts w:ascii="Times New Roman" w:cs="Times New Roman" w:eastAsia="Times New Roman" w:hAnsi="Times New Roman"/>
          <w:sz w:val="21"/>
          <w:szCs w:val="21"/>
          <w:color w:val="auto"/>
        </w:rPr>
        <w:t>”);</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Borrower has notified the Administrative Agent that it is requesting:</w:t>
      </w:r>
    </w:p>
    <w:p>
      <w:pPr>
        <w:spacing w:after="0" w:line="226" w:lineRule="exact"/>
        <w:rPr>
          <w:sz w:val="20"/>
          <w:szCs w:val="20"/>
          <w:color w:val="auto"/>
        </w:rPr>
      </w:pPr>
    </w:p>
    <w:p>
      <w:pPr>
        <w:jc w:val="both"/>
        <w:ind w:left="1280" w:hanging="638"/>
        <w:spacing w:after="0" w:line="258" w:lineRule="auto"/>
        <w:tabs>
          <w:tab w:leader="none" w:pos="1268"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pursuant to Section 2.17 of the Existing Credit Agreement, Credit Agreement Refinancing Indebtedness (as defined in the Existing Credit Agreement) in the form of Other Revolving Commitments (as defined in the Existing Credit Agreement) in the aggregate amount of $200,000,000 (such commitments, the “</w:t>
      </w:r>
      <w:r>
        <w:rPr>
          <w:rFonts w:ascii="Times New Roman" w:cs="Times New Roman" w:eastAsia="Times New Roman" w:hAnsi="Times New Roman"/>
          <w:sz w:val="21"/>
          <w:szCs w:val="21"/>
          <w:b w:val="1"/>
          <w:bCs w:val="1"/>
          <w:color w:val="auto"/>
        </w:rPr>
        <w:t>2025 Refinancing Revolving Credit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Commitments</w:t>
      </w:r>
      <w:r>
        <w:rPr>
          <w:rFonts w:ascii="Times New Roman" w:cs="Times New Roman" w:eastAsia="Times New Roman" w:hAnsi="Times New Roman"/>
          <w:sz w:val="21"/>
          <w:szCs w:val="21"/>
          <w:color w:val="auto"/>
        </w:rPr>
        <w:t>”), which 2025 Refinancing Revolving Credit Commitments will replace in full on the First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Amendment Effective Date (as defined below) all existing Revolving Credit Commitments under the Existing Credit Agreement immediately prior to giving effect to this Amendment (such existing Revolving Credit Commitments, the “</w:t>
      </w:r>
      <w:r>
        <w:rPr>
          <w:rFonts w:ascii="Times New Roman" w:cs="Times New Roman" w:eastAsia="Times New Roman" w:hAnsi="Times New Roman"/>
          <w:sz w:val="21"/>
          <w:szCs w:val="21"/>
          <w:b w:val="1"/>
          <w:bCs w:val="1"/>
          <w:color w:val="auto"/>
        </w:rPr>
        <w:t>Existing Revolving Credit Commitments</w:t>
      </w:r>
      <w:r>
        <w:rPr>
          <w:rFonts w:ascii="Times New Roman" w:cs="Times New Roman" w:eastAsia="Times New Roman" w:hAnsi="Times New Roman"/>
          <w:sz w:val="21"/>
          <w:szCs w:val="21"/>
          <w:color w:val="auto"/>
        </w:rPr>
        <w:t>”);</w:t>
      </w:r>
    </w:p>
    <w:p>
      <w:pPr>
        <w:spacing w:after="0" w:line="170" w:lineRule="exact"/>
        <w:rPr>
          <w:rFonts w:ascii="Times New Roman" w:cs="Times New Roman" w:eastAsia="Times New Roman" w:hAnsi="Times New Roman"/>
          <w:sz w:val="21"/>
          <w:szCs w:val="21"/>
          <w:color w:val="auto"/>
        </w:rPr>
      </w:pPr>
    </w:p>
    <w:p>
      <w:pPr>
        <w:jc w:val="both"/>
        <w:ind w:left="1280" w:hanging="638"/>
        <w:spacing w:after="0" w:line="263" w:lineRule="auto"/>
        <w:tabs>
          <w:tab w:leader="none" w:pos="1274"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pursuant to Section 2.14 of the Existing Credit Agreement, an increase to the aggregate principal amount of 2025 Refinancing Revolving Credit Commitments in an amount equal to $300,000,000 (such increased commitments, the “</w:t>
      </w:r>
      <w:r>
        <w:rPr>
          <w:rFonts w:ascii="Times New Roman" w:cs="Times New Roman" w:eastAsia="Times New Roman" w:hAnsi="Times New Roman"/>
          <w:sz w:val="21"/>
          <w:szCs w:val="21"/>
          <w:b w:val="1"/>
          <w:bCs w:val="1"/>
          <w:color w:val="auto"/>
        </w:rPr>
        <w:t>2025 Incremental Revolving Credit Commitments</w:t>
      </w:r>
      <w:r>
        <w:rPr>
          <w:rFonts w:ascii="Times New Roman" w:cs="Times New Roman" w:eastAsia="Times New Roman" w:hAnsi="Times New Roman"/>
          <w:sz w:val="21"/>
          <w:szCs w:val="21"/>
          <w:color w:val="auto"/>
        </w:rPr>
        <w:t>” and collectively with the 2025 Refinancing Revolving Credit Commitments, the “</w:t>
      </w:r>
      <w:r>
        <w:rPr>
          <w:rFonts w:ascii="Times New Roman" w:cs="Times New Roman" w:eastAsia="Times New Roman" w:hAnsi="Times New Roman"/>
          <w:sz w:val="21"/>
          <w:szCs w:val="21"/>
          <w:b w:val="1"/>
          <w:bCs w:val="1"/>
          <w:color w:val="auto"/>
        </w:rPr>
        <w:t>2025 Revolving Credit Commitments</w:t>
      </w:r>
      <w:r>
        <w:rPr>
          <w:rFonts w:ascii="Times New Roman" w:cs="Times New Roman" w:eastAsia="Times New Roman" w:hAnsi="Times New Roman"/>
          <w:sz w:val="21"/>
          <w:szCs w:val="21"/>
          <w:color w:val="auto"/>
        </w:rPr>
        <w:t>”), to be effective on the First Amendment Effective Date;</w:t>
      </w:r>
    </w:p>
    <w:p>
      <w:pPr>
        <w:spacing w:after="0" w:line="200" w:lineRule="exact"/>
        <w:rPr>
          <w:sz w:val="20"/>
          <w:szCs w:val="20"/>
          <w:color w:val="auto"/>
        </w:rPr>
      </w:pPr>
    </w:p>
    <w:p>
      <w:pPr>
        <w:spacing w:after="0" w:line="222" w:lineRule="exact"/>
        <w:rPr>
          <w:sz w:val="20"/>
          <w:szCs w:val="20"/>
          <w:color w:val="auto"/>
        </w:rPr>
      </w:pPr>
    </w:p>
    <w:p>
      <w:pPr>
        <w:jc w:val="both"/>
        <w:ind w:firstLine="636"/>
        <w:spacing w:after="0" w:line="276"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pursuant to Section 2.17 of the Existing Credit Agreement, the Borrower may obtain Other Revolving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Commitments (as defined in the Existing Credit Agreement) by, among other things, entering into one or more Refinancing Amendments in accordance with the terms and conditions of the Existing Credit Agreement;</w:t>
      </w:r>
    </w:p>
    <w:p>
      <w:pPr>
        <w:spacing w:after="0" w:line="147" w:lineRule="exact"/>
        <w:rPr>
          <w:sz w:val="20"/>
          <w:szCs w:val="20"/>
          <w:color w:val="auto"/>
        </w:rPr>
      </w:pPr>
    </w:p>
    <w:p>
      <w:pPr>
        <w:jc w:val="both"/>
        <w:ind w:firstLine="636"/>
        <w:spacing w:after="0" w:line="289"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pursuant to Section 2.14 of the Existing Credit Agreement, the Borrower may obtain Incremental Facilities (as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defined in the Existing Credit Agreement) by, among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1"/>
          <w:szCs w:val="21"/>
          <w:color w:val="auto"/>
        </w:rPr>
        <w:t>ii</w:t>
      </w:r>
    </w:p>
    <w:p>
      <w:pPr>
        <w:sectPr>
          <w:pgSz w:w="11900" w:h="16838" w:orient="portrait"/>
          <w:cols w:equalWidth="0" w:num="1">
            <w:col w:w="11240"/>
          </w:cols>
          <w:pgMar w:left="320" w:top="95" w:right="339" w:bottom="1440" w:gutter="0" w:footer="0" w:header="0"/>
        </w:sectPr>
      </w:pPr>
    </w:p>
    <w:bookmarkStart w:id="80" w:name="page81"/>
    <w:bookmarkEnd w:id="80"/>
    <w:p>
      <w:pPr>
        <w:jc w:val="both"/>
        <w:ind w:right="20"/>
        <w:spacing w:after="0" w:line="262" w:lineRule="auto"/>
        <w:rPr>
          <w:sz w:val="20"/>
          <w:szCs w:val="20"/>
          <w:color w:val="auto"/>
        </w:rPr>
      </w:pPr>
      <w:r>
        <w:rPr>
          <w:rFonts w:ascii="Times New Roman" w:cs="Times New Roman" w:eastAsia="Times New Roman" w:hAnsi="Times New Roman"/>
          <w:sz w:val="21"/>
          <w:szCs w:val="21"/>
          <w:color w:val="auto"/>
        </w:rPr>
        <w:t>things, entering into one or more Joinder Agreements in accordance with the terms and conditions of the Existing Credit Agreement;</w:t>
      </w:r>
    </w:p>
    <w:p>
      <w:pPr>
        <w:spacing w:after="0" w:line="200" w:lineRule="exact"/>
        <w:rPr>
          <w:sz w:val="20"/>
          <w:szCs w:val="20"/>
          <w:color w:val="auto"/>
        </w:rPr>
      </w:pPr>
    </w:p>
    <w:p>
      <w:pPr>
        <w:spacing w:after="0" w:line="248" w:lineRule="exact"/>
        <w:rPr>
          <w:sz w:val="20"/>
          <w:szCs w:val="20"/>
          <w:color w:val="auto"/>
        </w:rPr>
      </w:pPr>
    </w:p>
    <w:p>
      <w:pPr>
        <w:jc w:val="both"/>
        <w:ind w:firstLine="636"/>
        <w:spacing w:after="0" w:line="267"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Borrower has requested, and each of the 2025 Revolving Credit Lenders party hereto has agreed, subject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the terms and conditions hereof, to extend 2025 Refinancing Revolving Credit Commitments and 2025 Incremental Revolving Credit Commitments to the Borrower on the First Amendment Effective Date in the amounts set forth next to such 2025 Revolving Credit Lender’s name on </w:t>
      </w:r>
      <w:r>
        <w:rPr>
          <w:rFonts w:ascii="Times New Roman" w:cs="Times New Roman" w:eastAsia="Times New Roman" w:hAnsi="Times New Roman"/>
          <w:sz w:val="21"/>
          <w:szCs w:val="21"/>
          <w:u w:val="single" w:color="auto"/>
          <w:color w:val="auto"/>
        </w:rPr>
        <w:t>Annex I</w:t>
      </w:r>
      <w:r>
        <w:rPr>
          <w:rFonts w:ascii="Times New Roman" w:cs="Times New Roman" w:eastAsia="Times New Roman" w:hAnsi="Times New Roman"/>
          <w:sz w:val="21"/>
          <w:szCs w:val="21"/>
          <w:color w:val="auto"/>
        </w:rPr>
        <w:t xml:space="preserve"> hereto;</w:t>
      </w:r>
    </w:p>
    <w:p>
      <w:pPr>
        <w:spacing w:after="0" w:line="158" w:lineRule="exact"/>
        <w:rPr>
          <w:sz w:val="20"/>
          <w:szCs w:val="20"/>
          <w:color w:val="auto"/>
        </w:rPr>
      </w:pPr>
    </w:p>
    <w:p>
      <w:pPr>
        <w:jc w:val="both"/>
        <w:ind w:firstLine="636"/>
        <w:spacing w:after="0" w:line="263"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Revolving Credit Loans made by the 2025 Revolving Credit Lenders to the Borrower under the 2025</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Revolving Credit Commitments are referred to herein as the “</w:t>
      </w:r>
      <w:r>
        <w:rPr>
          <w:rFonts w:ascii="Times New Roman" w:cs="Times New Roman" w:eastAsia="Times New Roman" w:hAnsi="Times New Roman"/>
          <w:sz w:val="21"/>
          <w:szCs w:val="21"/>
          <w:b w:val="1"/>
          <w:bCs w:val="1"/>
          <w:color w:val="auto"/>
        </w:rPr>
        <w:t>2025 Revolving Credit Loans</w:t>
      </w:r>
      <w:r>
        <w:rPr>
          <w:rFonts w:ascii="Times New Roman" w:cs="Times New Roman" w:eastAsia="Times New Roman" w:hAnsi="Times New Roman"/>
          <w:sz w:val="21"/>
          <w:szCs w:val="21"/>
          <w:color w:val="auto"/>
        </w:rPr>
        <w:t>” and the Facility in respect of the 2025 Revolving Credit Commitments and the 2025 Revolving Credit Loans is referred to herein as the “</w:t>
      </w:r>
      <w:r>
        <w:rPr>
          <w:rFonts w:ascii="Times New Roman" w:cs="Times New Roman" w:eastAsia="Times New Roman" w:hAnsi="Times New Roman"/>
          <w:sz w:val="21"/>
          <w:szCs w:val="21"/>
          <w:b w:val="1"/>
          <w:bCs w:val="1"/>
          <w:color w:val="auto"/>
        </w:rPr>
        <w:t>2025 Revolving Credit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Facility</w:t>
      </w:r>
      <w:r>
        <w:rPr>
          <w:rFonts w:ascii="Times New Roman" w:cs="Times New Roman" w:eastAsia="Times New Roman" w:hAnsi="Times New Roman"/>
          <w:sz w:val="21"/>
          <w:szCs w:val="21"/>
          <w:color w:val="auto"/>
        </w:rPr>
        <w:t>”;</w:t>
      </w:r>
    </w:p>
    <w:p>
      <w:pPr>
        <w:spacing w:after="0" w:line="194" w:lineRule="exact"/>
        <w:rPr>
          <w:sz w:val="20"/>
          <w:szCs w:val="20"/>
          <w:color w:val="auto"/>
        </w:rPr>
      </w:pPr>
    </w:p>
    <w:p>
      <w:pPr>
        <w:jc w:val="both"/>
        <w:ind w:firstLine="636"/>
        <w:spacing w:after="0" w:line="264"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(x) the proceeds of the 2025 Revolving Credit Facility will be used (a) to repay in full the outstanding Original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Revolving Credit Loans on the First Amendment Effective Date, (b) to pay fees and expenses in connection with the foregoing and</w:t>
      </w:r>
    </w:p>
    <w:p>
      <w:pPr>
        <w:jc w:val="both"/>
        <w:ind w:firstLine="6"/>
        <w:spacing w:after="0" w:line="262" w:lineRule="auto"/>
        <w:tabs>
          <w:tab w:leader="none" w:pos="302"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working capital, acquisitions, investments, and for other general corporate purposes (including, for the avoidance of doubt, repurchases of shares and repurchases and redemptions of debt), and (y) the Original Revolving Credit Commitments shall be terminated on the First Amendment Effective Date; and</w:t>
      </w:r>
    </w:p>
    <w:p>
      <w:pPr>
        <w:spacing w:after="0" w:line="162"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in connection with the foregoing, the Administrative Agent, the Borrower, the other Guarantors and the 2025</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Revolving Credit Lenders desire to memorialize the terms of this Amendment by amending the Existing Credit Agreement in accordance with Section 10.01 thereof, such amendments to become effective on the First Amendment Effective Date.</w:t>
      </w:r>
    </w:p>
    <w:p>
      <w:pPr>
        <w:spacing w:after="0" w:line="155" w:lineRule="exact"/>
        <w:rPr>
          <w:sz w:val="20"/>
          <w:szCs w:val="20"/>
          <w:color w:val="auto"/>
        </w:rPr>
      </w:pPr>
    </w:p>
    <w:p>
      <w:pPr>
        <w:jc w:val="both"/>
        <w:ind w:firstLine="636"/>
        <w:spacing w:after="0" w:line="302" w:lineRule="auto"/>
        <w:rPr>
          <w:sz w:val="20"/>
          <w:szCs w:val="20"/>
          <w:color w:val="auto"/>
        </w:rPr>
      </w:pPr>
      <w:r>
        <w:rPr>
          <w:rFonts w:ascii="Times New Roman" w:cs="Times New Roman" w:eastAsia="Times New Roman" w:hAnsi="Times New Roman"/>
          <w:sz w:val="21"/>
          <w:szCs w:val="21"/>
          <w:b w:val="1"/>
          <w:bCs w:val="1"/>
          <w:color w:val="auto"/>
        </w:rPr>
        <w:t>NOW, THEREFORE</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 consideration of the premises and the mutual agreements set forth herein, the parties hereto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hereby agree as follows:</w:t>
      </w:r>
    </w:p>
    <w:p>
      <w:pPr>
        <w:spacing w:after="0" w:line="121" w:lineRule="exact"/>
        <w:rPr>
          <w:sz w:val="20"/>
          <w:szCs w:val="20"/>
          <w:color w:val="auto"/>
        </w:rPr>
      </w:pPr>
    </w:p>
    <w:p>
      <w:pPr>
        <w:spacing w:after="0"/>
        <w:tabs>
          <w:tab w:leader="none" w:pos="1720" w:val="left"/>
          <w:tab w:leader="none" w:pos="3080" w:val="left"/>
        </w:tabs>
        <w:rPr>
          <w:sz w:val="20"/>
          <w:szCs w:val="20"/>
          <w:color w:val="auto"/>
        </w:rPr>
      </w:pPr>
      <w:r>
        <w:rPr>
          <w:rFonts w:ascii="Times New Roman" w:cs="Times New Roman" w:eastAsia="Times New Roman" w:hAnsi="Times New Roman"/>
          <w:sz w:val="21"/>
          <w:szCs w:val="21"/>
          <w:b w:val="1"/>
          <w:bCs w:val="1"/>
          <w:color w:val="auto"/>
        </w:rPr>
        <w:t>SECTION I.</w:t>
      </w:r>
      <w:r>
        <w:rPr>
          <w:sz w:val="20"/>
          <w:szCs w:val="20"/>
          <w:color w:val="auto"/>
        </w:rPr>
        <w:tab/>
      </w:r>
      <w:r>
        <w:rPr>
          <w:rFonts w:ascii="Times New Roman" w:cs="Times New Roman" w:eastAsia="Times New Roman" w:hAnsi="Times New Roman"/>
          <w:sz w:val="21"/>
          <w:szCs w:val="21"/>
          <w:b w:val="1"/>
          <w:bCs w:val="1"/>
          <w:color w:val="auto"/>
        </w:rPr>
        <w:t>SECTION I.</w:t>
        <w:tab/>
        <w:t>DEFINED TERMS.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Capitalized terms used and not defined herein shall have the meanings assigned to such terms in the Credit Agreement.</w:t>
      </w:r>
    </w:p>
    <w:p>
      <w:pPr>
        <w:spacing w:after="0" w:line="218" w:lineRule="exact"/>
        <w:rPr>
          <w:sz w:val="20"/>
          <w:szCs w:val="20"/>
          <w:color w:val="auto"/>
        </w:rPr>
      </w:pPr>
    </w:p>
    <w:p>
      <w:pPr>
        <w:spacing w:after="0"/>
        <w:tabs>
          <w:tab w:leader="none" w:pos="1720" w:val="left"/>
          <w:tab w:leader="none" w:pos="3160" w:val="left"/>
        </w:tabs>
        <w:rPr>
          <w:sz w:val="20"/>
          <w:szCs w:val="20"/>
          <w:color w:val="auto"/>
        </w:rPr>
      </w:pPr>
      <w:r>
        <w:rPr>
          <w:rFonts w:ascii="Times New Roman" w:cs="Times New Roman" w:eastAsia="Times New Roman" w:hAnsi="Times New Roman"/>
          <w:sz w:val="21"/>
          <w:szCs w:val="21"/>
          <w:b w:val="1"/>
          <w:bCs w:val="1"/>
          <w:color w:val="auto"/>
        </w:rPr>
        <w:t>SECTION II.</w:t>
      </w:r>
      <w:r>
        <w:rPr>
          <w:sz w:val="20"/>
          <w:szCs w:val="20"/>
          <w:color w:val="auto"/>
        </w:rPr>
        <w:tab/>
      </w:r>
      <w:r>
        <w:rPr>
          <w:rFonts w:ascii="Times New Roman" w:cs="Times New Roman" w:eastAsia="Times New Roman" w:hAnsi="Times New Roman"/>
          <w:sz w:val="21"/>
          <w:szCs w:val="21"/>
          <w:b w:val="1"/>
          <w:bCs w:val="1"/>
          <w:color w:val="auto"/>
        </w:rPr>
        <w:t>SECTION II.</w:t>
      </w:r>
      <w:r>
        <w:rPr>
          <w:sz w:val="20"/>
          <w:szCs w:val="20"/>
          <w:color w:val="auto"/>
        </w:rPr>
        <w:tab/>
      </w:r>
      <w:r>
        <w:rPr>
          <w:rFonts w:ascii="Times New Roman" w:cs="Times New Roman" w:eastAsia="Times New Roman" w:hAnsi="Times New Roman"/>
          <w:sz w:val="20"/>
          <w:szCs w:val="20"/>
          <w:b w:val="1"/>
          <w:bCs w:val="1"/>
          <w:color w:val="auto"/>
        </w:rPr>
        <w:t>2025 REVOLVING CREDIT FACILITY.</w:t>
      </w:r>
    </w:p>
    <w:p>
      <w:pPr>
        <w:spacing w:after="0" w:line="200" w:lineRule="exact"/>
        <w:rPr>
          <w:sz w:val="20"/>
          <w:szCs w:val="20"/>
          <w:color w:val="auto"/>
        </w:rPr>
      </w:pPr>
    </w:p>
    <w:p>
      <w:pPr>
        <w:jc w:val="both"/>
        <w:ind w:firstLine="642"/>
        <w:spacing w:after="0" w:line="226" w:lineRule="auto"/>
        <w:tabs>
          <w:tab w:leader="none" w:pos="1138" w:val="left"/>
        </w:tabs>
        <w:numPr>
          <w:ilvl w:val="0"/>
          <w:numId w:val="3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color w:val="auto"/>
        </w:rPr>
        <w:t xml:space="preserve">Subject to the terms and conditions set forth herein, the 2025 Revolving Credit Lenders agree, on a several and not joint basis, to make their respective 2025 Refinancing Revolving Credit Commitments (as specified on </w:t>
      </w:r>
      <w:r>
        <w:rPr>
          <w:rFonts w:ascii="Times New Roman" w:cs="Times New Roman" w:eastAsia="Times New Roman" w:hAnsi="Times New Roman"/>
          <w:sz w:val="21"/>
          <w:szCs w:val="21"/>
          <w:u w:val="single" w:color="auto"/>
          <w:color w:val="auto"/>
        </w:rPr>
        <w:t>Annex I</w:t>
      </w:r>
      <w:r>
        <w:rPr>
          <w:rFonts w:ascii="Times New Roman" w:cs="Times New Roman" w:eastAsia="Times New Roman" w:hAnsi="Times New Roman"/>
          <w:sz w:val="21"/>
          <w:szCs w:val="21"/>
          <w:color w:val="auto"/>
        </w:rPr>
        <w:t>) available to the Borrower on the First Amendment Effective Date. The 2025 Refinancing Revolving Credit Commitments shall replace the Existing Revolving Credit Commitments in full.</w:t>
      </w:r>
    </w:p>
    <w:p>
      <w:pPr>
        <w:spacing w:after="0" w:line="150" w:lineRule="exact"/>
        <w:rPr>
          <w:rFonts w:ascii="Times New Roman" w:cs="Times New Roman" w:eastAsia="Times New Roman" w:hAnsi="Times New Roman"/>
          <w:sz w:val="19"/>
          <w:szCs w:val="19"/>
          <w:b w:val="1"/>
          <w:bCs w:val="1"/>
          <w:color w:val="auto"/>
        </w:rPr>
      </w:pPr>
    </w:p>
    <w:p>
      <w:pPr>
        <w:jc w:val="both"/>
        <w:ind w:firstLine="642"/>
        <w:spacing w:after="0" w:line="232" w:lineRule="auto"/>
        <w:tabs>
          <w:tab w:leader="none" w:pos="1127" w:val="left"/>
        </w:tabs>
        <w:numPr>
          <w:ilvl w:val="0"/>
          <w:numId w:val="3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color w:val="auto"/>
        </w:rPr>
        <w:t xml:space="preserve">Subject to the terms and conditions set forth herein, the 2025 Revolving Credit Lenders agree, on a several and not joint basis, to make their respective 2025 Incremental Revolving Credit Commitments (as specified on </w:t>
      </w:r>
      <w:r>
        <w:rPr>
          <w:rFonts w:ascii="Times New Roman" w:cs="Times New Roman" w:eastAsia="Times New Roman" w:hAnsi="Times New Roman"/>
          <w:sz w:val="21"/>
          <w:szCs w:val="21"/>
          <w:u w:val="single" w:color="auto"/>
          <w:color w:val="auto"/>
        </w:rPr>
        <w:t>Annex I</w:t>
      </w:r>
      <w:r>
        <w:rPr>
          <w:rFonts w:ascii="Times New Roman" w:cs="Times New Roman" w:eastAsia="Times New Roman" w:hAnsi="Times New Roman"/>
          <w:sz w:val="21"/>
          <w:szCs w:val="21"/>
          <w:color w:val="auto"/>
        </w:rPr>
        <w:t>) available to the Borrower on the First Amendment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1"/>
          <w:szCs w:val="21"/>
          <w:color w:val="auto"/>
        </w:rPr>
        <w:t>iii</w:t>
      </w:r>
    </w:p>
    <w:p>
      <w:pPr>
        <w:sectPr>
          <w:pgSz w:w="11900" w:h="16838" w:orient="portrait"/>
          <w:cols w:equalWidth="0" w:num="1">
            <w:col w:w="11240"/>
          </w:cols>
          <w:pgMar w:left="320" w:top="1397" w:right="339" w:bottom="1440" w:gutter="0" w:footer="0" w:header="0"/>
        </w:sectPr>
      </w:pPr>
    </w:p>
    <w:bookmarkStart w:id="81" w:name="page82"/>
    <w:bookmarkEnd w:id="81"/>
    <w:p>
      <w:pPr>
        <w:ind w:left="-642" w:firstLine="642"/>
        <w:spacing w:after="0" w:line="245" w:lineRule="auto"/>
        <w:tabs>
          <w:tab w:leader="none" w:pos="510" w:val="left"/>
        </w:tabs>
        <w:numPr>
          <w:ilvl w:val="0"/>
          <w:numId w:val="3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color w:val="auto"/>
        </w:rPr>
        <w:t>The aggregate amount of the 2025 Revolving Credit Commitments on the First Amendment Effective Date (after giving effect to this Amendment) is $500,000,000.</w:t>
      </w:r>
    </w:p>
    <w:p>
      <w:pPr>
        <w:spacing w:after="0" w:line="142" w:lineRule="exact"/>
        <w:rPr>
          <w:rFonts w:ascii="Times New Roman" w:cs="Times New Roman" w:eastAsia="Times New Roman" w:hAnsi="Times New Roman"/>
          <w:sz w:val="19"/>
          <w:szCs w:val="19"/>
          <w:b w:val="1"/>
          <w:bCs w:val="1"/>
          <w:color w:val="auto"/>
        </w:rPr>
      </w:pPr>
    </w:p>
    <w:p>
      <w:pPr>
        <w:jc w:val="both"/>
        <w:ind w:left="-642" w:firstLine="642"/>
        <w:spacing w:after="0" w:line="232" w:lineRule="auto"/>
        <w:tabs>
          <w:tab w:leader="none" w:pos="496" w:val="left"/>
        </w:tabs>
        <w:numPr>
          <w:ilvl w:val="0"/>
          <w:numId w:val="3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color w:val="auto"/>
        </w:rPr>
        <w:t>This Amendment constitutes a “Refinancing Amendment” with respect to the establishment of the 2025 Refinancing Revolving Credit Commitments as “Other Revolving Commitments”. The 2025 Refinancing Revolving Credit Commitments have been established in accordance with Section 2.17 of the Credit Agreement.</w:t>
      </w:r>
    </w:p>
    <w:p>
      <w:pPr>
        <w:spacing w:after="0" w:line="147" w:lineRule="exact"/>
        <w:rPr>
          <w:rFonts w:ascii="Times New Roman" w:cs="Times New Roman" w:eastAsia="Times New Roman" w:hAnsi="Times New Roman"/>
          <w:sz w:val="19"/>
          <w:szCs w:val="19"/>
          <w:b w:val="1"/>
          <w:bCs w:val="1"/>
          <w:color w:val="auto"/>
        </w:rPr>
      </w:pPr>
    </w:p>
    <w:p>
      <w:pPr>
        <w:jc w:val="both"/>
        <w:ind w:left="-642" w:firstLine="642"/>
        <w:spacing w:after="0" w:line="223" w:lineRule="auto"/>
        <w:tabs>
          <w:tab w:leader="none" w:pos="512" w:val="left"/>
        </w:tabs>
        <w:numPr>
          <w:ilvl w:val="0"/>
          <w:numId w:val="3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color w:val="auto"/>
        </w:rPr>
        <w:t>This Amendment constitutes a “Joinder Agreement” with respect to the establishment of the 2025 Incremental Revolving Credit Commitments as an “Incremental Facility”. The 2025 Incremental Revolving Credit Commitments have been established in accordance with Section 2.14 of the Credit Agreement, have been incurred pursuant to clause (c) of the definition of “Incremental Available Amount” and shall constitute an addition to, and part of the same Class as, the 2025 Refinancing Revolving Credit Commitments.</w:t>
      </w:r>
    </w:p>
    <w:p>
      <w:pPr>
        <w:spacing w:after="0" w:line="150" w:lineRule="exact"/>
        <w:rPr>
          <w:rFonts w:ascii="Times New Roman" w:cs="Times New Roman" w:eastAsia="Times New Roman" w:hAnsi="Times New Roman"/>
          <w:sz w:val="19"/>
          <w:szCs w:val="19"/>
          <w:b w:val="1"/>
          <w:bCs w:val="1"/>
          <w:color w:val="auto"/>
        </w:rPr>
      </w:pPr>
    </w:p>
    <w:p>
      <w:pPr>
        <w:jc w:val="both"/>
        <w:ind w:left="-642" w:firstLine="642"/>
        <w:spacing w:after="0" w:line="226" w:lineRule="auto"/>
        <w:tabs>
          <w:tab w:leader="none" w:pos="483" w:val="left"/>
        </w:tabs>
        <w:numPr>
          <w:ilvl w:val="0"/>
          <w:numId w:val="3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color w:val="auto"/>
        </w:rPr>
        <w:t>Any revolving credit loans made pursuant to the 2025 Revolving Credit Commitments shall be “Revolving Credit Loans” for all purposes under the Credit Agreement and each other Loan Document and, except as expressly set forth in this Amendment (including in the Credit Agreement), shall have terms and conditions identical to the Existing Revolving Credit Commitments.</w:t>
      </w:r>
    </w:p>
    <w:p>
      <w:pPr>
        <w:spacing w:after="0" w:line="150" w:lineRule="exact"/>
        <w:rPr>
          <w:rFonts w:ascii="Times New Roman" w:cs="Times New Roman" w:eastAsia="Times New Roman" w:hAnsi="Times New Roman"/>
          <w:sz w:val="19"/>
          <w:szCs w:val="19"/>
          <w:b w:val="1"/>
          <w:bCs w:val="1"/>
          <w:color w:val="auto"/>
        </w:rPr>
      </w:pPr>
    </w:p>
    <w:p>
      <w:pPr>
        <w:ind w:left="-642" w:firstLine="642"/>
        <w:spacing w:after="0" w:line="245" w:lineRule="auto"/>
        <w:tabs>
          <w:tab w:leader="none" w:pos="481" w:val="left"/>
        </w:tabs>
        <w:numPr>
          <w:ilvl w:val="0"/>
          <w:numId w:val="3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color w:val="auto"/>
        </w:rPr>
        <w:t xml:space="preserve">After giving effect to this Amendment on the First Amendment Effective Date, the Revolving Credit Commitments of each 2025 Revolving Credit Lender shall be as set forth on </w:t>
      </w:r>
      <w:r>
        <w:rPr>
          <w:rFonts w:ascii="Times New Roman" w:cs="Times New Roman" w:eastAsia="Times New Roman" w:hAnsi="Times New Roman"/>
          <w:sz w:val="21"/>
          <w:szCs w:val="21"/>
          <w:u w:val="single" w:color="auto"/>
          <w:color w:val="auto"/>
        </w:rPr>
        <w:t>Annex I</w:t>
      </w:r>
      <w:r>
        <w:rPr>
          <w:rFonts w:ascii="Times New Roman" w:cs="Times New Roman" w:eastAsia="Times New Roman" w:hAnsi="Times New Roman"/>
          <w:sz w:val="21"/>
          <w:szCs w:val="21"/>
          <w:color w:val="auto"/>
        </w:rPr>
        <w:t xml:space="preserve"> hereto.</w:t>
      </w:r>
    </w:p>
    <w:p>
      <w:pPr>
        <w:spacing w:after="0" w:line="142" w:lineRule="exact"/>
        <w:rPr>
          <w:rFonts w:ascii="Times New Roman" w:cs="Times New Roman" w:eastAsia="Times New Roman" w:hAnsi="Times New Roman"/>
          <w:sz w:val="19"/>
          <w:szCs w:val="19"/>
          <w:b w:val="1"/>
          <w:bCs w:val="1"/>
          <w:color w:val="auto"/>
        </w:rPr>
      </w:pPr>
    </w:p>
    <w:p>
      <w:pPr>
        <w:jc w:val="both"/>
        <w:ind w:left="-642" w:firstLine="642"/>
        <w:spacing w:after="0" w:line="223" w:lineRule="auto"/>
        <w:tabs>
          <w:tab w:leader="none" w:pos="481" w:val="left"/>
        </w:tabs>
        <w:numPr>
          <w:ilvl w:val="0"/>
          <w:numId w:val="3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color w:val="auto"/>
        </w:rPr>
        <w:t>On the First Amendment Effective Date, the Borrower shall (i) prepay in full the Original Revolving Credit Loans then outstanding, together with all accrued and unpaid interest thereon and fees (including, without limitation, Letter of Credit Fees and commitment fees, in accordance with the Existing Credit Agreement) or premiums, if any, with respect to the Original Revolving Credit Facility to the First Amendment Effective Date, and the Original Revolving Credit Commitments will automatically terminate, and (ii) pay the Administrative Agent all fees due and payable to it under the Fee Letter.</w:t>
      </w:r>
    </w:p>
    <w:p>
      <w:pPr>
        <w:spacing w:after="0" w:line="150" w:lineRule="exact"/>
        <w:rPr>
          <w:rFonts w:ascii="Times New Roman" w:cs="Times New Roman" w:eastAsia="Times New Roman" w:hAnsi="Times New Roman"/>
          <w:sz w:val="19"/>
          <w:szCs w:val="19"/>
          <w:b w:val="1"/>
          <w:bCs w:val="1"/>
          <w:color w:val="auto"/>
        </w:rPr>
      </w:pPr>
    </w:p>
    <w:p>
      <w:pPr>
        <w:jc w:val="both"/>
        <w:ind w:left="-642" w:firstLine="642"/>
        <w:spacing w:after="0" w:line="232" w:lineRule="auto"/>
        <w:tabs>
          <w:tab w:leader="none" w:pos="511" w:val="left"/>
        </w:tabs>
        <w:numPr>
          <w:ilvl w:val="0"/>
          <w:numId w:val="3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color w:val="auto"/>
        </w:rPr>
        <w:t>Each of the 2025 Revolving Credit Lenders party hereto agrees to waive any breakage costs that may arise in accordance with Section 3.05 of the Credit Agreement due to the prepayment of the Original Revolving Credit Loans on a day other than the last day of the Interest Period for such Loans.</w:t>
      </w:r>
    </w:p>
    <w:p>
      <w:pPr>
        <w:spacing w:after="0" w:line="147" w:lineRule="exact"/>
        <w:rPr>
          <w:rFonts w:ascii="Times New Roman" w:cs="Times New Roman" w:eastAsia="Times New Roman" w:hAnsi="Times New Roman"/>
          <w:sz w:val="19"/>
          <w:szCs w:val="19"/>
          <w:b w:val="1"/>
          <w:bCs w:val="1"/>
          <w:color w:val="auto"/>
        </w:rPr>
      </w:pPr>
    </w:p>
    <w:p>
      <w:pPr>
        <w:jc w:val="both"/>
        <w:ind w:left="-642" w:firstLine="642"/>
        <w:spacing w:after="0" w:line="232" w:lineRule="auto"/>
        <w:tabs>
          <w:tab w:leader="none" w:pos="480" w:val="left"/>
        </w:tabs>
        <w:numPr>
          <w:ilvl w:val="0"/>
          <w:numId w:val="3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color w:val="auto"/>
        </w:rPr>
        <w:t>For the avoidance of doubt, any Letter of Credit that was issued and is still outstanding immediately prior to the First Amendment Effective Date under the Existing Credit Agreement shall be deemed issued and outstanding under the Credit Agreement, as of the First Amendment Effective Date.</w:t>
      </w:r>
    </w:p>
    <w:p>
      <w:pPr>
        <w:spacing w:after="0" w:line="170" w:lineRule="exact"/>
        <w:rPr>
          <w:sz w:val="20"/>
          <w:szCs w:val="20"/>
          <w:color w:val="auto"/>
        </w:rPr>
      </w:pPr>
    </w:p>
    <w:p>
      <w:pPr>
        <w:ind w:left="878" w:hanging="1509"/>
        <w:spacing w:after="0" w:line="289" w:lineRule="auto"/>
        <w:tabs>
          <w:tab w:leader="none" w:pos="858" w:val="left"/>
        </w:tabs>
        <w:rPr>
          <w:sz w:val="20"/>
          <w:szCs w:val="20"/>
          <w:color w:val="auto"/>
        </w:rPr>
      </w:pPr>
      <w:r>
        <w:rPr>
          <w:rFonts w:ascii="Times New Roman" w:cs="Times New Roman" w:eastAsia="Times New Roman" w:hAnsi="Times New Roman"/>
          <w:sz w:val="21"/>
          <w:szCs w:val="21"/>
          <w:b w:val="1"/>
          <w:bCs w:val="1"/>
          <w:color w:val="auto"/>
        </w:rPr>
        <w:t>SECTION III.</w:t>
        <w:tab/>
        <w:t>SECTION III. AMENDMENTS TO EXISTING CREDIT AGREEMENT AND THE OTHER LOAN DOCUMENTS.</w:t>
      </w:r>
    </w:p>
    <w:p>
      <w:pPr>
        <w:spacing w:after="0" w:line="111" w:lineRule="exact"/>
        <w:rPr>
          <w:sz w:val="20"/>
          <w:szCs w:val="20"/>
          <w:color w:val="auto"/>
        </w:rPr>
      </w:pPr>
    </w:p>
    <w:p>
      <w:pPr>
        <w:jc w:val="both"/>
        <w:ind w:left="-642" w:firstLine="642"/>
        <w:spacing w:after="0" w:line="226" w:lineRule="auto"/>
        <w:tabs>
          <w:tab w:leader="none" w:pos="496" w:val="left"/>
        </w:tabs>
        <w:numPr>
          <w:ilvl w:val="0"/>
          <w:numId w:val="3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color w:val="auto"/>
        </w:rPr>
        <w:t xml:space="preserve">Effective as of the First Amendment Effective Date, the parties hereto agree that the Existing Credit Agreement is hereby amended to delete the stricken text (indicated textually in the same manner as the following example: </w:t>
      </w:r>
      <w:r>
        <w:rPr>
          <w:rFonts w:ascii="Times New Roman" w:cs="Times New Roman" w:eastAsia="Times New Roman" w:hAnsi="Times New Roman"/>
          <w:sz w:val="21"/>
          <w:szCs w:val="21"/>
          <w:color w:val="FF0000"/>
          <w:strike w:val="1"/>
        </w:rPr>
        <w:t>stricken text</w:t>
      </w:r>
      <w:r>
        <w:rPr>
          <w:rFonts w:ascii="Times New Roman" w:cs="Times New Roman" w:eastAsia="Times New Roman" w:hAnsi="Times New Roman"/>
          <w:sz w:val="21"/>
          <w:szCs w:val="21"/>
          <w:color w:val="auto"/>
        </w:rPr>
        <w:t xml:space="preserve">) and to add the double-underlined text (indicated textually in the same manner as the following example: </w:t>
      </w:r>
      <w:r>
        <w:rPr>
          <w:rFonts w:ascii="Times New Roman" w:cs="Times New Roman" w:eastAsia="Times New Roman" w:hAnsi="Times New Roman"/>
          <w:sz w:val="21"/>
          <w:szCs w:val="21"/>
          <w:u w:val="single" w:color="auto"/>
          <w:color w:val="0000FF"/>
        </w:rPr>
        <w:t>double-underlined text</w:t>
      </w:r>
      <w:r>
        <w:rPr>
          <w:rFonts w:ascii="Times New Roman" w:cs="Times New Roman" w:eastAsia="Times New Roman" w:hAnsi="Times New Roman"/>
          <w:sz w:val="21"/>
          <w:szCs w:val="21"/>
          <w:color w:val="auto"/>
        </w:rPr>
        <w:t xml:space="preserve">) as set forth in the Credit Agreement attached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178"/>
        <w:spacing w:after="0"/>
        <w:rPr>
          <w:sz w:val="20"/>
          <w:szCs w:val="20"/>
          <w:color w:val="auto"/>
        </w:rPr>
      </w:pPr>
      <w:r>
        <w:rPr>
          <w:rFonts w:ascii="Times New Roman" w:cs="Times New Roman" w:eastAsia="Times New Roman" w:hAnsi="Times New Roman"/>
          <w:sz w:val="21"/>
          <w:szCs w:val="21"/>
          <w:color w:val="auto"/>
        </w:rPr>
        <w:t>iv</w:t>
      </w:r>
    </w:p>
    <w:p>
      <w:pPr>
        <w:sectPr>
          <w:pgSz w:w="11900" w:h="16838" w:orient="portrait"/>
          <w:cols w:equalWidth="0" w:num="1">
            <w:col w:w="10598"/>
          </w:cols>
          <w:pgMar w:left="962" w:top="1371" w:right="339" w:bottom="1440" w:gutter="0" w:footer="0" w:header="0"/>
        </w:sectPr>
      </w:pPr>
    </w:p>
    <w:bookmarkStart w:id="82" w:name="page83"/>
    <w:bookmarkEnd w:id="82"/>
    <w:p>
      <w:pPr>
        <w:ind w:firstLine="642"/>
        <w:spacing w:after="0" w:line="245" w:lineRule="auto"/>
        <w:tabs>
          <w:tab w:leader="none" w:pos="1154" w:val="left"/>
        </w:tabs>
        <w:numPr>
          <w:ilvl w:val="0"/>
          <w:numId w:val="3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color w:val="auto"/>
        </w:rPr>
        <w:t xml:space="preserve">Effective as of the First Amendment Effective Date, the parties hereto agree that </w:t>
      </w:r>
      <w:r>
        <w:rPr>
          <w:rFonts w:ascii="Times New Roman" w:cs="Times New Roman" w:eastAsia="Times New Roman" w:hAnsi="Times New Roman"/>
          <w:sz w:val="21"/>
          <w:szCs w:val="21"/>
          <w:u w:val="single" w:color="auto"/>
          <w:color w:val="auto"/>
        </w:rPr>
        <w:t>Schedule 2.01</w:t>
      </w:r>
      <w:r>
        <w:rPr>
          <w:rFonts w:ascii="Times New Roman" w:cs="Times New Roman" w:eastAsia="Times New Roman" w:hAnsi="Times New Roman"/>
          <w:sz w:val="21"/>
          <w:szCs w:val="21"/>
          <w:color w:val="auto"/>
        </w:rPr>
        <w:t xml:space="preserve"> of the Credit Agreement shall be deleted in its entirety and replaced with </w:t>
      </w:r>
      <w:r>
        <w:rPr>
          <w:rFonts w:ascii="Times New Roman" w:cs="Times New Roman" w:eastAsia="Times New Roman" w:hAnsi="Times New Roman"/>
          <w:sz w:val="21"/>
          <w:szCs w:val="21"/>
          <w:u w:val="single" w:color="auto"/>
          <w:color w:val="auto"/>
        </w:rPr>
        <w:t>Schedule 2.01</w:t>
      </w:r>
      <w:r>
        <w:rPr>
          <w:rFonts w:ascii="Times New Roman" w:cs="Times New Roman" w:eastAsia="Times New Roman" w:hAnsi="Times New Roman"/>
          <w:sz w:val="21"/>
          <w:szCs w:val="21"/>
          <w:color w:val="auto"/>
        </w:rPr>
        <w:t xml:space="preserve"> as set forth in </w:t>
      </w:r>
      <w:r>
        <w:rPr>
          <w:rFonts w:ascii="Times New Roman" w:cs="Times New Roman" w:eastAsia="Times New Roman" w:hAnsi="Times New Roman"/>
          <w:sz w:val="21"/>
          <w:szCs w:val="21"/>
          <w:u w:val="single" w:color="auto"/>
          <w:color w:val="auto"/>
        </w:rPr>
        <w:t>Annex I</w:t>
      </w:r>
      <w:r>
        <w:rPr>
          <w:rFonts w:ascii="Times New Roman" w:cs="Times New Roman" w:eastAsia="Times New Roman" w:hAnsi="Times New Roman"/>
          <w:sz w:val="21"/>
          <w:szCs w:val="21"/>
          <w:color w:val="auto"/>
        </w:rPr>
        <w:t xml:space="preserve"> hereto.</w:t>
      </w:r>
    </w:p>
    <w:p>
      <w:pPr>
        <w:spacing w:after="0" w:line="139" w:lineRule="exact"/>
        <w:rPr>
          <w:sz w:val="20"/>
          <w:szCs w:val="20"/>
          <w:color w:val="auto"/>
        </w:rPr>
      </w:pPr>
    </w:p>
    <w:p>
      <w:pPr>
        <w:spacing w:after="0"/>
        <w:tabs>
          <w:tab w:leader="none" w:pos="1700" w:val="left"/>
        </w:tabs>
        <w:rPr>
          <w:sz w:val="20"/>
          <w:szCs w:val="20"/>
          <w:color w:val="auto"/>
        </w:rPr>
      </w:pPr>
      <w:r>
        <w:rPr>
          <w:rFonts w:ascii="Times New Roman" w:cs="Times New Roman" w:eastAsia="Times New Roman" w:hAnsi="Times New Roman"/>
          <w:sz w:val="21"/>
          <w:szCs w:val="21"/>
          <w:b w:val="1"/>
          <w:bCs w:val="1"/>
          <w:color w:val="auto"/>
        </w:rPr>
        <w:t>SECTION IV.</w:t>
      </w:r>
      <w:r>
        <w:rPr>
          <w:sz w:val="20"/>
          <w:szCs w:val="20"/>
          <w:color w:val="auto"/>
        </w:rPr>
        <w:tab/>
      </w:r>
      <w:r>
        <w:rPr>
          <w:rFonts w:ascii="Times New Roman" w:cs="Times New Roman" w:eastAsia="Times New Roman" w:hAnsi="Times New Roman"/>
          <w:sz w:val="21"/>
          <w:szCs w:val="21"/>
          <w:b w:val="1"/>
          <w:bCs w:val="1"/>
          <w:color w:val="auto"/>
        </w:rPr>
        <w:t>CONDITIONS TO EFFECTIVENESS.</w:t>
      </w:r>
    </w:p>
    <w:p>
      <w:pPr>
        <w:spacing w:after="0" w:line="213" w:lineRule="exact"/>
        <w:rPr>
          <w:sz w:val="20"/>
          <w:szCs w:val="20"/>
          <w:color w:val="auto"/>
        </w:rPr>
      </w:pPr>
    </w:p>
    <w:p>
      <w:pPr>
        <w:ind w:firstLine="636"/>
        <w:spacing w:after="0" w:line="285" w:lineRule="auto"/>
        <w:rPr>
          <w:sz w:val="20"/>
          <w:szCs w:val="20"/>
          <w:color w:val="auto"/>
        </w:rPr>
      </w:pPr>
      <w:r>
        <w:rPr>
          <w:rFonts w:ascii="Times New Roman" w:cs="Times New Roman" w:eastAsia="Times New Roman" w:hAnsi="Times New Roman"/>
          <w:sz w:val="21"/>
          <w:szCs w:val="21"/>
          <w:color w:val="auto"/>
        </w:rPr>
        <w:t>This Amendment shall become effective as of the date hereof only upon the satisfaction of all of the following conditions precedent (the date of satisfaction of such conditions being referred to herein as the “</w:t>
      </w:r>
      <w:r>
        <w:rPr>
          <w:rFonts w:ascii="Times New Roman" w:cs="Times New Roman" w:eastAsia="Times New Roman" w:hAnsi="Times New Roman"/>
          <w:sz w:val="21"/>
          <w:szCs w:val="21"/>
          <w:b w:val="1"/>
          <w:bCs w:val="1"/>
          <w:color w:val="auto"/>
        </w:rPr>
        <w:t>First Amendment Effective Date</w:t>
      </w:r>
      <w:r>
        <w:rPr>
          <w:rFonts w:ascii="Times New Roman" w:cs="Times New Roman" w:eastAsia="Times New Roman" w:hAnsi="Times New Roman"/>
          <w:sz w:val="21"/>
          <w:szCs w:val="21"/>
          <w:color w:val="auto"/>
        </w:rPr>
        <w:t>”):</w:t>
      </w:r>
    </w:p>
    <w:p>
      <w:pPr>
        <w:spacing w:after="0" w:line="111" w:lineRule="exact"/>
        <w:rPr>
          <w:sz w:val="20"/>
          <w:szCs w:val="20"/>
          <w:color w:val="auto"/>
        </w:rPr>
      </w:pPr>
    </w:p>
    <w:p>
      <w:pPr>
        <w:ind w:firstLine="642"/>
        <w:spacing w:after="0" w:line="249" w:lineRule="auto"/>
        <w:tabs>
          <w:tab w:leader="none" w:pos="1152" w:val="left"/>
        </w:tabs>
        <w:numPr>
          <w:ilvl w:val="0"/>
          <w:numId w:val="3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b w:val="1"/>
          <w:bCs w:val="1"/>
          <w:u w:val="single" w:color="auto"/>
          <w:color w:val="auto"/>
        </w:rPr>
        <w:t>Execution</w:t>
      </w:r>
      <w:r>
        <w:rPr>
          <w:rFonts w:ascii="Times New Roman" w:cs="Times New Roman" w:eastAsia="Times New Roman" w:hAnsi="Times New Roman"/>
          <w:sz w:val="21"/>
          <w:szCs w:val="21"/>
          <w:color w:val="auto"/>
        </w:rPr>
        <w:t>. The Administrative Agent shall have received a counterpart signature page of this Amendment, duly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executed and delivered by the Administrative Agent, the Borrower, the Guarantors and the 2025 Revolving Credit Lenders.</w:t>
      </w:r>
    </w:p>
    <w:p>
      <w:pPr>
        <w:spacing w:after="0" w:line="134" w:lineRule="exact"/>
        <w:rPr>
          <w:rFonts w:ascii="Times New Roman" w:cs="Times New Roman" w:eastAsia="Times New Roman" w:hAnsi="Times New Roman"/>
          <w:sz w:val="19"/>
          <w:szCs w:val="19"/>
          <w:b w:val="1"/>
          <w:bCs w:val="1"/>
          <w:color w:val="auto"/>
        </w:rPr>
      </w:pPr>
    </w:p>
    <w:p>
      <w:pPr>
        <w:jc w:val="both"/>
        <w:ind w:firstLine="642"/>
        <w:spacing w:after="0" w:line="227" w:lineRule="auto"/>
        <w:tabs>
          <w:tab w:leader="none" w:pos="1154" w:val="left"/>
        </w:tabs>
        <w:numPr>
          <w:ilvl w:val="0"/>
          <w:numId w:val="3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b w:val="1"/>
          <w:bCs w:val="1"/>
          <w:u w:val="single" w:color="auto"/>
          <w:color w:val="auto"/>
        </w:rPr>
        <w:t>Notices</w:t>
      </w:r>
      <w:r>
        <w:rPr>
          <w:rFonts w:ascii="Times New Roman" w:cs="Times New Roman" w:eastAsia="Times New Roman" w:hAnsi="Times New Roman"/>
          <w:sz w:val="21"/>
          <w:szCs w:val="21"/>
          <w:color w:val="auto"/>
        </w:rPr>
        <w:t>. The Administrative Agent shall have received a conditional notice of prepayment with respect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prepayment in full of the Original Revolving Credit Loans, in accordance with Section 2.05(a) of the Credit Agreement (except that, notwithstanding anything to the contrary in the Existing Credit Agreement, the parties hereto agree that such notice may be delivered no later than three (3) Business Days prior to the First Amendment Effective Date).</w:t>
      </w:r>
    </w:p>
    <w:p>
      <w:pPr>
        <w:spacing w:after="0" w:line="146" w:lineRule="exact"/>
        <w:rPr>
          <w:rFonts w:ascii="Times New Roman" w:cs="Times New Roman" w:eastAsia="Times New Roman" w:hAnsi="Times New Roman"/>
          <w:sz w:val="19"/>
          <w:szCs w:val="19"/>
          <w:b w:val="1"/>
          <w:bCs w:val="1"/>
          <w:color w:val="auto"/>
        </w:rPr>
      </w:pPr>
    </w:p>
    <w:p>
      <w:pPr>
        <w:jc w:val="both"/>
        <w:ind w:firstLine="642"/>
        <w:spacing w:after="0" w:line="219" w:lineRule="auto"/>
        <w:tabs>
          <w:tab w:leader="none" w:pos="1125" w:val="left"/>
        </w:tabs>
        <w:numPr>
          <w:ilvl w:val="0"/>
          <w:numId w:val="3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b w:val="1"/>
          <w:bCs w:val="1"/>
          <w:u w:val="single" w:color="auto"/>
          <w:color w:val="auto"/>
        </w:rPr>
        <w:t>Representations and Warranties</w:t>
      </w:r>
      <w:r>
        <w:rPr>
          <w:rFonts w:ascii="Times New Roman" w:cs="Times New Roman" w:eastAsia="Times New Roman" w:hAnsi="Times New Roman"/>
          <w:sz w:val="21"/>
          <w:szCs w:val="21"/>
          <w:color w:val="auto"/>
        </w:rPr>
        <w:t>. The representations and warranties set forth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 V</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this Amendment shall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be true and correct in all material respects on and as of the First Amendment Effective Date, except to the extent that such representations and warranties relate to an earlier date, in which case such representations and warranties shall be true and correct in all material respects as of such earlier date, in each case after giving effect to this Amendment (and except that the representations and warranties contained in clauses (a) and (b) of Section 5.05 of the Credit Agreement shall be deemed to refer to the most recent statements furnished pursuant to clauses (a) and (b), respectively, of Section 6.01 of the Credit Agreement);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any representation and warranty that is qualified as to “materiality”, “Material Adverse Effect” or similar language shall be true and correct (after giving effect to any qualification therein) in all respects.</w:t>
      </w:r>
    </w:p>
    <w:p>
      <w:pPr>
        <w:spacing w:after="0" w:line="145" w:lineRule="exact"/>
        <w:rPr>
          <w:rFonts w:ascii="Times New Roman" w:cs="Times New Roman" w:eastAsia="Times New Roman" w:hAnsi="Times New Roman"/>
          <w:sz w:val="19"/>
          <w:szCs w:val="19"/>
          <w:b w:val="1"/>
          <w:bCs w:val="1"/>
          <w:color w:val="auto"/>
        </w:rPr>
      </w:pPr>
    </w:p>
    <w:p>
      <w:pPr>
        <w:ind w:right="20" w:firstLine="642"/>
        <w:spacing w:after="0" w:line="249" w:lineRule="auto"/>
        <w:tabs>
          <w:tab w:leader="none" w:pos="1138" w:val="left"/>
        </w:tabs>
        <w:numPr>
          <w:ilvl w:val="0"/>
          <w:numId w:val="3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b w:val="1"/>
          <w:bCs w:val="1"/>
          <w:u w:val="single" w:color="auto"/>
          <w:color w:val="auto"/>
        </w:rPr>
        <w:t>No Default</w:t>
      </w:r>
      <w:r>
        <w:rPr>
          <w:rFonts w:ascii="Times New Roman" w:cs="Times New Roman" w:eastAsia="Times New Roman" w:hAnsi="Times New Roman"/>
          <w:sz w:val="21"/>
          <w:szCs w:val="21"/>
          <w:color w:val="auto"/>
        </w:rPr>
        <w:t>. No Default or Event of Default shall exist immediately before or immediately after giving effect to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Amendment and the transactions contemplated hereby.</w:t>
      </w:r>
    </w:p>
    <w:p>
      <w:pPr>
        <w:spacing w:after="0" w:line="134" w:lineRule="exact"/>
        <w:rPr>
          <w:rFonts w:ascii="Times New Roman" w:cs="Times New Roman" w:eastAsia="Times New Roman" w:hAnsi="Times New Roman"/>
          <w:sz w:val="19"/>
          <w:szCs w:val="19"/>
          <w:b w:val="1"/>
          <w:bCs w:val="1"/>
          <w:color w:val="auto"/>
        </w:rPr>
      </w:pPr>
    </w:p>
    <w:p>
      <w:pPr>
        <w:jc w:val="both"/>
        <w:ind w:firstLine="642"/>
        <w:spacing w:after="0" w:line="216" w:lineRule="auto"/>
        <w:tabs>
          <w:tab w:leader="none" w:pos="1114" w:val="left"/>
        </w:tabs>
        <w:numPr>
          <w:ilvl w:val="0"/>
          <w:numId w:val="3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b w:val="1"/>
          <w:bCs w:val="1"/>
          <w:u w:val="single" w:color="auto"/>
          <w:color w:val="auto"/>
        </w:rPr>
        <w:t>Officer Certificate</w:t>
      </w:r>
      <w:r>
        <w:rPr>
          <w:rFonts w:ascii="Times New Roman" w:cs="Times New Roman" w:eastAsia="Times New Roman" w:hAnsi="Times New Roman"/>
          <w:sz w:val="21"/>
          <w:szCs w:val="21"/>
          <w:color w:val="auto"/>
        </w:rPr>
        <w:t>. The Administrative Agent (or its counsel) shall have received (i) a certificate of (or on behalf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each Loan Party, dated the First Amendment Effective Date and executed by a secretary, assistant secretary or other senior officer (as the case may be) thereof, which shall (A) certify that attached thereto is a true and complete copy of the resolutions or written consents of the governing body of such Loan Party authorizing the execution, delivery and performance of this Amendment, and that such resolutions or written consents have not been modified, rescinded or amended (other than as attached thereto) and are in full force and effect, (B) identify by name and title and bear the signatures of the officers or authorized signatories of such Loan Party authorized to sign this Amendment on the First Amendment Effective Date and (C) certify (x) that attached thereto is a true and complete copy of the certificate or articles of incorporation or formation of such Loan Party, certified by the relevant authority of the jurisdiction of organization of such Loan Party, and a true and correct copy of its bylaws or operating agreement and (y) that such documents or agreements have not been amended (except as otherwise attached to such certificate and certified therein as being the only amendments thereto as of such date) and (ii) a good standing (or equivalent) certificate as of a recent date for each Loan Party, from the relevant authority of its jurisdiction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1"/>
          <w:szCs w:val="21"/>
          <w:color w:val="auto"/>
        </w:rPr>
        <w:t>v</w:t>
      </w:r>
    </w:p>
    <w:p>
      <w:pPr>
        <w:sectPr>
          <w:pgSz w:w="11900" w:h="16838" w:orient="portrait"/>
          <w:cols w:equalWidth="0" w:num="1">
            <w:col w:w="11240"/>
          </w:cols>
          <w:pgMar w:left="320" w:top="1371" w:right="339" w:bottom="1440" w:gutter="0" w:footer="0" w:header="0"/>
        </w:sectPr>
      </w:pPr>
    </w:p>
    <w:bookmarkStart w:id="83" w:name="page84"/>
    <w:bookmarkEnd w:id="83"/>
    <w:p>
      <w:pPr>
        <w:jc w:val="both"/>
        <w:ind w:left="-642" w:firstLine="642"/>
        <w:spacing w:after="0" w:line="233" w:lineRule="auto"/>
        <w:tabs>
          <w:tab w:leader="none" w:pos="483" w:val="left"/>
        </w:tabs>
        <w:numPr>
          <w:ilvl w:val="0"/>
          <w:numId w:val="3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b w:val="1"/>
          <w:bCs w:val="1"/>
          <w:u w:val="single" w:color="auto"/>
          <w:color w:val="auto"/>
        </w:rPr>
        <w:t>Legal Opinions</w:t>
      </w:r>
      <w:r>
        <w:rPr>
          <w:rFonts w:ascii="Times New Roman" w:cs="Times New Roman" w:eastAsia="Times New Roman" w:hAnsi="Times New Roman"/>
          <w:sz w:val="21"/>
          <w:szCs w:val="21"/>
          <w:color w:val="auto"/>
        </w:rPr>
        <w:t>. The Administrative Agent (or its counsel) shall have received, on behalf of itself and the 2025</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Revolving Credit Lenders on the First Amendment Effective Date, a customary written opinion from Lewis Rice LLC, counsel to the Loan Parties in form and substance reasonably satisfactory to the Administrative Agent.</w:t>
      </w:r>
    </w:p>
    <w:p>
      <w:pPr>
        <w:spacing w:after="0" w:line="144" w:lineRule="exact"/>
        <w:rPr>
          <w:rFonts w:ascii="Times New Roman" w:cs="Times New Roman" w:eastAsia="Times New Roman" w:hAnsi="Times New Roman"/>
          <w:sz w:val="19"/>
          <w:szCs w:val="19"/>
          <w:b w:val="1"/>
          <w:bCs w:val="1"/>
          <w:color w:val="auto"/>
        </w:rPr>
      </w:pPr>
    </w:p>
    <w:p>
      <w:pPr>
        <w:jc w:val="both"/>
        <w:ind w:left="-642" w:firstLine="642"/>
        <w:spacing w:after="0" w:line="224" w:lineRule="auto"/>
        <w:tabs>
          <w:tab w:leader="none" w:pos="481" w:val="left"/>
        </w:tabs>
        <w:numPr>
          <w:ilvl w:val="0"/>
          <w:numId w:val="3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b w:val="1"/>
          <w:bCs w:val="1"/>
          <w:u w:val="single" w:color="auto"/>
          <w:color w:val="auto"/>
        </w:rPr>
        <w:t>Fees and Expenses</w:t>
      </w:r>
      <w:r>
        <w:rPr>
          <w:rFonts w:ascii="Times New Roman" w:cs="Times New Roman" w:eastAsia="Times New Roman" w:hAnsi="Times New Roman"/>
          <w:sz w:val="21"/>
          <w:szCs w:val="21"/>
          <w:color w:val="auto"/>
        </w:rPr>
        <w:t>. All costs, fees and expenses (including, without limitation, reasonable and invoiced out-of-pocket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expenses) to the extent invoiced no less than two (2) Business Days prior to the First Amendment Effective Date owing by the Borrower to the Administrative Agent and/or the Lenders under the Loan Documents or as a result of the consummation of the transactions contemplated by this Amendment shall have been paid in full. The Administrative Agent shall have received all fees due and payable to it under the Fee Letter.</w:t>
      </w:r>
    </w:p>
    <w:p>
      <w:pPr>
        <w:spacing w:after="0" w:line="145" w:lineRule="exact"/>
        <w:rPr>
          <w:rFonts w:ascii="Times New Roman" w:cs="Times New Roman" w:eastAsia="Times New Roman" w:hAnsi="Times New Roman"/>
          <w:sz w:val="19"/>
          <w:szCs w:val="19"/>
          <w:b w:val="1"/>
          <w:bCs w:val="1"/>
          <w:color w:val="auto"/>
        </w:rPr>
      </w:pPr>
    </w:p>
    <w:p>
      <w:pPr>
        <w:jc w:val="both"/>
        <w:ind w:left="-642" w:firstLine="642"/>
        <w:spacing w:after="0" w:line="224" w:lineRule="auto"/>
        <w:tabs>
          <w:tab w:leader="none" w:pos="481" w:val="left"/>
        </w:tabs>
        <w:numPr>
          <w:ilvl w:val="0"/>
          <w:numId w:val="3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b w:val="1"/>
          <w:bCs w:val="1"/>
          <w:u w:val="single" w:color="auto"/>
          <w:color w:val="auto"/>
        </w:rPr>
        <w:t>PATRIOT Act, etc</w:t>
      </w:r>
      <w:r>
        <w:rPr>
          <w:rFonts w:ascii="Times New Roman" w:cs="Times New Roman" w:eastAsia="Times New Roman" w:hAnsi="Times New Roman"/>
          <w:sz w:val="21"/>
          <w:szCs w:val="21"/>
          <w:color w:val="auto"/>
        </w:rPr>
        <w:t>. The Administrative Agent shall have received, at least three (3) Business Days prior to the First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Amendment Effective Date, to the extent requested at least seven (7) Business Days prior to the First Amendment Effective Date, all other documentation and other information that the Administrative Agent or any 2025 Revolving Credit Lender reasonably determines is required by regulatory authorities under applicable “know your customer” and anti-money laundering rules and regulations, including without limitation the Act and the Beneficial Ownership Regulation.</w:t>
      </w:r>
    </w:p>
    <w:p>
      <w:pPr>
        <w:spacing w:after="0" w:line="145" w:lineRule="exact"/>
        <w:rPr>
          <w:rFonts w:ascii="Times New Roman" w:cs="Times New Roman" w:eastAsia="Times New Roman" w:hAnsi="Times New Roman"/>
          <w:sz w:val="19"/>
          <w:szCs w:val="19"/>
          <w:b w:val="1"/>
          <w:bCs w:val="1"/>
          <w:color w:val="auto"/>
        </w:rPr>
      </w:pPr>
    </w:p>
    <w:p>
      <w:pPr>
        <w:jc w:val="both"/>
        <w:ind w:left="-642" w:firstLine="642"/>
        <w:spacing w:after="0" w:line="227" w:lineRule="auto"/>
        <w:tabs>
          <w:tab w:leader="none" w:pos="485" w:val="left"/>
        </w:tabs>
        <w:numPr>
          <w:ilvl w:val="0"/>
          <w:numId w:val="3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b w:val="1"/>
          <w:bCs w:val="1"/>
          <w:u w:val="single" w:color="auto"/>
          <w:color w:val="auto"/>
        </w:rPr>
        <w:t>Repayment of the outstanding Original Revolving Credit Loans</w:t>
      </w:r>
      <w:r>
        <w:rPr>
          <w:rFonts w:ascii="Times New Roman" w:cs="Times New Roman" w:eastAsia="Times New Roman" w:hAnsi="Times New Roman"/>
          <w:sz w:val="21"/>
          <w:szCs w:val="21"/>
          <w:color w:val="auto"/>
        </w:rPr>
        <w:t>. Either (i) the Administrative Agent shall have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received evidence of the payment in full of any Original Revolving Credit Loan, together with any accrued but unpaid interest thereon and all fees or premiums, if any, with respect to the Original Revolving Credit Facility or (ii) such payment will be made on the First Amendment Effective Date.</w:t>
      </w:r>
    </w:p>
    <w:p>
      <w:pPr>
        <w:spacing w:after="0" w:line="146" w:lineRule="exact"/>
        <w:rPr>
          <w:rFonts w:ascii="Times New Roman" w:cs="Times New Roman" w:eastAsia="Times New Roman" w:hAnsi="Times New Roman"/>
          <w:sz w:val="19"/>
          <w:szCs w:val="19"/>
          <w:b w:val="1"/>
          <w:bCs w:val="1"/>
          <w:color w:val="auto"/>
        </w:rPr>
      </w:pPr>
    </w:p>
    <w:p>
      <w:pPr>
        <w:jc w:val="both"/>
        <w:ind w:left="-642" w:firstLine="642"/>
        <w:spacing w:after="0" w:line="233" w:lineRule="auto"/>
        <w:tabs>
          <w:tab w:leader="none" w:pos="506" w:val="left"/>
        </w:tabs>
        <w:numPr>
          <w:ilvl w:val="0"/>
          <w:numId w:val="3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b w:val="1"/>
          <w:bCs w:val="1"/>
          <w:u w:val="single" w:color="auto"/>
          <w:color w:val="auto"/>
        </w:rPr>
        <w:t>Solvency Certificate</w:t>
      </w:r>
      <w:r>
        <w:rPr>
          <w:rFonts w:ascii="Times New Roman" w:cs="Times New Roman" w:eastAsia="Times New Roman" w:hAnsi="Times New Roman"/>
          <w:sz w:val="21"/>
          <w:szCs w:val="21"/>
          <w:color w:val="auto"/>
        </w:rPr>
        <w:t>. The Administrative Agent shall have received a certificate executed by the Chief Financial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Officer of the Borrower as to the solvency of the Borrower and its Subsidiaries (taken as a whole) on the First Amendment Effective Date after giving effect to the transactions contemplated hereby.</w:t>
      </w:r>
    </w:p>
    <w:p>
      <w:pPr>
        <w:spacing w:after="0" w:line="144" w:lineRule="exact"/>
        <w:rPr>
          <w:rFonts w:ascii="Times New Roman" w:cs="Times New Roman" w:eastAsia="Times New Roman" w:hAnsi="Times New Roman"/>
          <w:sz w:val="19"/>
          <w:szCs w:val="19"/>
          <w:b w:val="1"/>
          <w:bCs w:val="1"/>
          <w:color w:val="auto"/>
        </w:rPr>
      </w:pPr>
    </w:p>
    <w:p>
      <w:pPr>
        <w:ind w:left="-642" w:firstLine="642"/>
        <w:spacing w:after="0" w:line="249" w:lineRule="auto"/>
        <w:tabs>
          <w:tab w:leader="none" w:pos="507" w:val="left"/>
        </w:tabs>
        <w:numPr>
          <w:ilvl w:val="0"/>
          <w:numId w:val="3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b w:val="1"/>
          <w:bCs w:val="1"/>
          <w:u w:val="single" w:color="auto"/>
          <w:color w:val="auto"/>
        </w:rPr>
        <w:t>Closing Certificate</w:t>
      </w:r>
      <w:r>
        <w:rPr>
          <w:rFonts w:ascii="Times New Roman" w:cs="Times New Roman" w:eastAsia="Times New Roman" w:hAnsi="Times New Roman"/>
          <w:sz w:val="21"/>
          <w:szCs w:val="21"/>
          <w:color w:val="auto"/>
        </w:rPr>
        <w:t>. The Administrative Agent shall have received a certificate attesting to the compliance with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clauses (C)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(D)</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(M)</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u w:val="single" w:color="auto"/>
          <w:color w:val="auto"/>
        </w:rPr>
        <w:t>Section IV</w:t>
      </w:r>
      <w:r>
        <w:rPr>
          <w:rFonts w:ascii="Times New Roman" w:cs="Times New Roman" w:eastAsia="Times New Roman" w:hAnsi="Times New Roman"/>
          <w:sz w:val="21"/>
          <w:szCs w:val="21"/>
          <w:color w:val="auto"/>
        </w:rPr>
        <w:t xml:space="preserve"> on the First Amendment Effective Date from a Responsible Officer of the Borrower.</w:t>
      </w:r>
    </w:p>
    <w:p>
      <w:pPr>
        <w:spacing w:after="0" w:line="134" w:lineRule="exact"/>
        <w:rPr>
          <w:rFonts w:ascii="Times New Roman" w:cs="Times New Roman" w:eastAsia="Times New Roman" w:hAnsi="Times New Roman"/>
          <w:sz w:val="19"/>
          <w:szCs w:val="19"/>
          <w:b w:val="1"/>
          <w:bCs w:val="1"/>
          <w:color w:val="auto"/>
        </w:rPr>
      </w:pPr>
    </w:p>
    <w:p>
      <w:pPr>
        <w:ind w:left="-642" w:firstLine="642"/>
        <w:spacing w:after="0" w:line="249" w:lineRule="auto"/>
        <w:tabs>
          <w:tab w:leader="none" w:pos="485" w:val="left"/>
        </w:tabs>
        <w:numPr>
          <w:ilvl w:val="0"/>
          <w:numId w:val="3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b w:val="1"/>
          <w:bCs w:val="1"/>
          <w:u w:val="single" w:color="auto"/>
          <w:color w:val="auto"/>
        </w:rPr>
        <w:t>Promissory Notes</w:t>
      </w:r>
      <w:r>
        <w:rPr>
          <w:rFonts w:ascii="Times New Roman" w:cs="Times New Roman" w:eastAsia="Times New Roman" w:hAnsi="Times New Roman"/>
          <w:sz w:val="21"/>
          <w:szCs w:val="21"/>
          <w:color w:val="auto"/>
        </w:rPr>
        <w:t>. The Administrative Agent shall have received a Note executed by the Borrower in favor of each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Lender that has requested a Note at least two (2) Business Days prior to the First Amendment Effective Date.</w:t>
      </w:r>
    </w:p>
    <w:p>
      <w:pPr>
        <w:spacing w:after="0" w:line="134" w:lineRule="exact"/>
        <w:rPr>
          <w:rFonts w:ascii="Times New Roman" w:cs="Times New Roman" w:eastAsia="Times New Roman" w:hAnsi="Times New Roman"/>
          <w:sz w:val="19"/>
          <w:szCs w:val="19"/>
          <w:b w:val="1"/>
          <w:bCs w:val="1"/>
          <w:color w:val="auto"/>
        </w:rPr>
      </w:pPr>
    </w:p>
    <w:p>
      <w:pPr>
        <w:jc w:val="both"/>
        <w:ind w:left="-642" w:firstLine="642"/>
        <w:spacing w:after="0" w:line="233" w:lineRule="auto"/>
        <w:tabs>
          <w:tab w:leader="none" w:pos="473" w:val="left"/>
        </w:tabs>
        <w:numPr>
          <w:ilvl w:val="0"/>
          <w:numId w:val="3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b w:val="1"/>
          <w:bCs w:val="1"/>
          <w:u w:val="single" w:color="auto"/>
          <w:color w:val="auto"/>
        </w:rPr>
        <w:t>No Material Adverse Effect</w:t>
      </w:r>
      <w:r>
        <w:rPr>
          <w:rFonts w:ascii="Times New Roman" w:cs="Times New Roman" w:eastAsia="Times New Roman" w:hAnsi="Times New Roman"/>
          <w:sz w:val="21"/>
          <w:szCs w:val="21"/>
          <w:color w:val="auto"/>
        </w:rPr>
        <w:t>. No Material Adverse Effect has occurred and is continuing since the date of delivery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most recently delivered audited financial statements required to be delivered pursuant to Section 6.01(a) of the Existing Credit Agreement.</w:t>
      </w:r>
    </w:p>
    <w:p>
      <w:pPr>
        <w:spacing w:after="0" w:line="175" w:lineRule="exact"/>
        <w:rPr>
          <w:rFonts w:ascii="Times New Roman" w:cs="Times New Roman" w:eastAsia="Times New Roman" w:hAnsi="Times New Roman"/>
          <w:sz w:val="19"/>
          <w:szCs w:val="19"/>
          <w:b w:val="1"/>
          <w:bCs w:val="1"/>
          <w:color w:val="auto"/>
        </w:rPr>
      </w:pPr>
    </w:p>
    <w:p>
      <w:pPr>
        <w:jc w:val="both"/>
        <w:ind w:left="-642" w:firstLine="642"/>
        <w:spacing w:after="0" w:line="266" w:lineRule="auto"/>
        <w:tabs>
          <w:tab w:leader="none" w:pos="465"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For purposes of determining whether the conditions specified in this </w:t>
      </w:r>
      <w:r>
        <w:rPr>
          <w:rFonts w:ascii="Times New Roman" w:cs="Times New Roman" w:eastAsia="Times New Roman" w:hAnsi="Times New Roman"/>
          <w:sz w:val="21"/>
          <w:szCs w:val="21"/>
          <w:u w:val="single" w:color="auto"/>
          <w:color w:val="auto"/>
        </w:rPr>
        <w:t>Section IV</w:t>
      </w:r>
      <w:r>
        <w:rPr>
          <w:rFonts w:ascii="Times New Roman" w:cs="Times New Roman" w:eastAsia="Times New Roman" w:hAnsi="Times New Roman"/>
          <w:sz w:val="21"/>
          <w:szCs w:val="21"/>
          <w:color w:val="auto"/>
        </w:rPr>
        <w:t xml:space="preserve"> have been satisfied on the date hereof, each 2025 Revolving Credit Lender that has executed and delivered this Amendment shall be deemed to have consented to, approved or accepted, or to be satisfied with, each document or other matter required hereunder to be consented to or approved by or acceptable or satisfactory to such 2025 Revolving Credit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178"/>
        <w:spacing w:after="0"/>
        <w:rPr>
          <w:sz w:val="20"/>
          <w:szCs w:val="20"/>
          <w:color w:val="auto"/>
        </w:rPr>
      </w:pPr>
      <w:r>
        <w:rPr>
          <w:rFonts w:ascii="Times New Roman" w:cs="Times New Roman" w:eastAsia="Times New Roman" w:hAnsi="Times New Roman"/>
          <w:sz w:val="21"/>
          <w:szCs w:val="21"/>
          <w:color w:val="auto"/>
        </w:rPr>
        <w:t>vi</w:t>
      </w:r>
    </w:p>
    <w:p>
      <w:pPr>
        <w:sectPr>
          <w:pgSz w:w="11900" w:h="16838" w:orient="portrait"/>
          <w:cols w:equalWidth="0" w:num="1">
            <w:col w:w="10598"/>
          </w:cols>
          <w:pgMar w:left="962" w:top="1367" w:right="339" w:bottom="1440" w:gutter="0" w:footer="0" w:header="0"/>
        </w:sectPr>
      </w:pPr>
    </w:p>
    <w:bookmarkStart w:id="84" w:name="page85"/>
    <w:bookmarkEnd w:id="84"/>
    <w:p>
      <w:pPr>
        <w:spacing w:after="0"/>
        <w:tabs>
          <w:tab w:leader="none" w:pos="1700" w:val="left"/>
        </w:tabs>
        <w:rPr>
          <w:sz w:val="20"/>
          <w:szCs w:val="20"/>
          <w:color w:val="auto"/>
        </w:rPr>
      </w:pPr>
      <w:r>
        <w:rPr>
          <w:rFonts w:ascii="Times New Roman" w:cs="Times New Roman" w:eastAsia="Times New Roman" w:hAnsi="Times New Roman"/>
          <w:sz w:val="21"/>
          <w:szCs w:val="21"/>
          <w:b w:val="1"/>
          <w:bCs w:val="1"/>
          <w:color w:val="auto"/>
        </w:rPr>
        <w:t>SECTION V.</w:t>
      </w:r>
      <w:r>
        <w:rPr>
          <w:sz w:val="20"/>
          <w:szCs w:val="20"/>
          <w:color w:val="auto"/>
        </w:rPr>
        <w:tab/>
      </w:r>
      <w:r>
        <w:rPr>
          <w:rFonts w:ascii="Times New Roman" w:cs="Times New Roman" w:eastAsia="Times New Roman" w:hAnsi="Times New Roman"/>
          <w:sz w:val="20"/>
          <w:szCs w:val="20"/>
          <w:b w:val="1"/>
          <w:bCs w:val="1"/>
          <w:color w:val="auto"/>
        </w:rPr>
        <w:t>REPRESENTATIONS AND WARRANTIES.</w:t>
      </w:r>
    </w:p>
    <w:p>
      <w:pPr>
        <w:spacing w:after="0" w:line="213" w:lineRule="exact"/>
        <w:rPr>
          <w:sz w:val="20"/>
          <w:szCs w:val="20"/>
          <w:color w:val="auto"/>
        </w:rPr>
      </w:pPr>
    </w:p>
    <w:p>
      <w:pPr>
        <w:jc w:val="both"/>
        <w:ind w:firstLine="636"/>
        <w:spacing w:after="0" w:line="257" w:lineRule="auto"/>
        <w:rPr>
          <w:sz w:val="20"/>
          <w:szCs w:val="20"/>
          <w:color w:val="auto"/>
        </w:rPr>
      </w:pPr>
      <w:r>
        <w:rPr>
          <w:rFonts w:ascii="Times New Roman" w:cs="Times New Roman" w:eastAsia="Times New Roman" w:hAnsi="Times New Roman"/>
          <w:sz w:val="21"/>
          <w:szCs w:val="21"/>
          <w:color w:val="auto"/>
        </w:rPr>
        <w:t xml:space="preserve">In order to induce the Administrative Agent and the Lenders to enter into this Amendment and amend the Credit Agreement in the manner provided herein, each Loan Party which is a party hereto represents and warrants to the Administrative Agent and the Lenders that the following statements are true and correct in all material respects on and as of the First Amendment Effective Date, except to the extent that such representations and warranties relate to an earlier date, in which case such representations and warranties shall be true and correct in all material respects as of such earlier date, in each case after giving effect to this Amendment (and except that the representations and warranties contained in clauses (a) and (b) of Section 5.05 of the Credit Agreement shall be deemed to refer to the most recent statements furnished pursuant to clauses (a) and (b), respectively, of Section 6.01 of the Credit Agreement);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any representation and warranty that is qualified as to “materiality”, “Material Adverse Effect” or similar language shall be true and correct (after giving effect to any qualification therein) in all respects:</w:t>
      </w:r>
    </w:p>
    <w:p>
      <w:pPr>
        <w:spacing w:after="0" w:line="146" w:lineRule="exact"/>
        <w:rPr>
          <w:sz w:val="20"/>
          <w:szCs w:val="20"/>
          <w:color w:val="auto"/>
        </w:rPr>
      </w:pPr>
    </w:p>
    <w:p>
      <w:pPr>
        <w:jc w:val="both"/>
        <w:ind w:firstLine="642"/>
        <w:spacing w:after="0" w:line="220" w:lineRule="auto"/>
        <w:tabs>
          <w:tab w:leader="none" w:pos="1152" w:val="left"/>
        </w:tabs>
        <w:numPr>
          <w:ilvl w:val="0"/>
          <w:numId w:val="3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b w:val="1"/>
          <w:bCs w:val="1"/>
          <w:u w:val="single" w:color="auto"/>
          <w:color w:val="auto"/>
        </w:rPr>
        <w:t>Existence, Qualification and Power</w:t>
      </w:r>
      <w:r>
        <w:rPr>
          <w:rFonts w:ascii="Times New Roman" w:cs="Times New Roman" w:eastAsia="Times New Roman" w:hAnsi="Times New Roman"/>
          <w:sz w:val="21"/>
          <w:szCs w:val="21"/>
          <w:color w:val="auto"/>
        </w:rPr>
        <w:t>. Each Loan Party (a) is duly organized or formed, validly existing and, 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applicable, in good standing under the Laws of the jurisdiction of its incorporation or organization; (b) has all requisite power and authority and all requisite governmental licenses, authorizations, consents and approvals to execute, deliver and perform its obligations under this Amendment and the other Loan Documents to which it is a party; and (c) is duly qualified and is licensed and, as applicable, in good standing under the Laws of each jurisdiction where its ownership, lease or operation of properties or the conduct of its business requires such qualification or license; except in each case referred to in clause (c), to the extent that failure to do so could not reasonably be expected to have a Material Adverse Effect.</w:t>
      </w:r>
    </w:p>
    <w:p>
      <w:pPr>
        <w:spacing w:after="0" w:line="146" w:lineRule="exact"/>
        <w:rPr>
          <w:rFonts w:ascii="Times New Roman" w:cs="Times New Roman" w:eastAsia="Times New Roman" w:hAnsi="Times New Roman"/>
          <w:sz w:val="19"/>
          <w:szCs w:val="19"/>
          <w:b w:val="1"/>
          <w:bCs w:val="1"/>
          <w:color w:val="auto"/>
        </w:rPr>
      </w:pPr>
    </w:p>
    <w:p>
      <w:pPr>
        <w:jc w:val="both"/>
        <w:ind w:firstLine="642"/>
        <w:spacing w:after="0" w:line="220" w:lineRule="auto"/>
        <w:tabs>
          <w:tab w:leader="none" w:pos="1114" w:val="left"/>
        </w:tabs>
        <w:numPr>
          <w:ilvl w:val="0"/>
          <w:numId w:val="3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b w:val="1"/>
          <w:bCs w:val="1"/>
          <w:u w:val="single" w:color="auto"/>
          <w:color w:val="auto"/>
        </w:rPr>
        <w:t>Authorization; No Contravention</w:t>
      </w:r>
      <w:r>
        <w:rPr>
          <w:rFonts w:ascii="Times New Roman" w:cs="Times New Roman" w:eastAsia="Times New Roman" w:hAnsi="Times New Roman"/>
          <w:sz w:val="21"/>
          <w:szCs w:val="21"/>
          <w:color w:val="auto"/>
        </w:rPr>
        <w:t>. The execution, delivery and performance by each Loan Party of the terms of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Amendment and each Loan Document, to which it is a party have been duly authorized by all necessary corporate or other organizational action, and do not and will not (a) contravene the terms of any of such Person’s Organization Documents; (b) conflict with or result in any breach or contravention of, or the creation of any Lien under, or require any payment to be made under (i) any material contract to which such Person is a party or affecting such Person or the properties of such Person or any of its Restricted Subsidiaries or (ii) any order, injunction, writ or decree of any Governmental Authority or any arbitral award to which such Person or its property is subject; or (c) violate any Law.</w:t>
      </w:r>
    </w:p>
    <w:p>
      <w:pPr>
        <w:spacing w:after="0" w:line="146" w:lineRule="exact"/>
        <w:rPr>
          <w:rFonts w:ascii="Times New Roman" w:cs="Times New Roman" w:eastAsia="Times New Roman" w:hAnsi="Times New Roman"/>
          <w:sz w:val="19"/>
          <w:szCs w:val="19"/>
          <w:b w:val="1"/>
          <w:bCs w:val="1"/>
          <w:color w:val="auto"/>
        </w:rPr>
      </w:pPr>
    </w:p>
    <w:p>
      <w:pPr>
        <w:jc w:val="both"/>
        <w:ind w:firstLine="642"/>
        <w:spacing w:after="0" w:line="224" w:lineRule="auto"/>
        <w:tabs>
          <w:tab w:leader="none" w:pos="1152" w:val="left"/>
        </w:tabs>
        <w:numPr>
          <w:ilvl w:val="0"/>
          <w:numId w:val="3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b w:val="1"/>
          <w:bCs w:val="1"/>
          <w:u w:val="single" w:color="auto"/>
          <w:color w:val="auto"/>
        </w:rPr>
        <w:t>Governmental Authorization; Other Consents</w:t>
      </w:r>
      <w:r>
        <w:rPr>
          <w:rFonts w:ascii="Times New Roman" w:cs="Times New Roman" w:eastAsia="Times New Roman" w:hAnsi="Times New Roman"/>
          <w:sz w:val="21"/>
          <w:szCs w:val="21"/>
          <w:color w:val="auto"/>
        </w:rPr>
        <w:t>. No material approval, consent, exemption, authorization or other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action by, or notice to, or filing with, any Governmental Authority or any other Person is necessary or required in connection with the execution, delivery or performance by, or enforcement against, any Loan Party of this Amendment and each Loan Document to which it is a party, except for the approvals, consents, exemptions, authorizations, actions, notices and filings which have been duly obtained, taken, given or made and are in full force and effect.</w:t>
      </w:r>
    </w:p>
    <w:p>
      <w:pPr>
        <w:spacing w:after="0" w:line="145" w:lineRule="exact"/>
        <w:rPr>
          <w:rFonts w:ascii="Times New Roman" w:cs="Times New Roman" w:eastAsia="Times New Roman" w:hAnsi="Times New Roman"/>
          <w:sz w:val="19"/>
          <w:szCs w:val="19"/>
          <w:b w:val="1"/>
          <w:bCs w:val="1"/>
          <w:color w:val="auto"/>
        </w:rPr>
      </w:pPr>
    </w:p>
    <w:p>
      <w:pPr>
        <w:jc w:val="both"/>
        <w:ind w:firstLine="642"/>
        <w:spacing w:after="0" w:line="224" w:lineRule="auto"/>
        <w:tabs>
          <w:tab w:leader="none" w:pos="1138" w:val="left"/>
        </w:tabs>
        <w:numPr>
          <w:ilvl w:val="0"/>
          <w:numId w:val="3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b w:val="1"/>
          <w:bCs w:val="1"/>
          <w:u w:val="single" w:color="auto"/>
          <w:color w:val="auto"/>
        </w:rPr>
        <w:t>Binding Effect</w:t>
      </w:r>
      <w:r>
        <w:rPr>
          <w:rFonts w:ascii="Times New Roman" w:cs="Times New Roman" w:eastAsia="Times New Roman" w:hAnsi="Times New Roman"/>
          <w:sz w:val="21"/>
          <w:szCs w:val="21"/>
          <w:color w:val="auto"/>
        </w:rPr>
        <w:t>. This Amendment has been duly executed and delivered by each Loan Party that is a party hereto.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Each of this Amendment and each Loan Document to which it is a party constitutes a legal, valid and binding obligation of each Loan Party, enforceable against such Loan Party in accordance with its terms, except to the extent that the enforceability thereof may be limited by applicable bankruptcy, insolvency, reorganization, moratorium or other similar laws generally affecting creditors’ rights and by equitable principles (regardless of whether enforcement is sought in equity or at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1"/>
          <w:szCs w:val="21"/>
          <w:color w:val="auto"/>
        </w:rPr>
        <w:t>vii</w:t>
      </w:r>
    </w:p>
    <w:p>
      <w:pPr>
        <w:sectPr>
          <w:pgSz w:w="11900" w:h="16838" w:orient="portrait"/>
          <w:cols w:equalWidth="0" w:num="1">
            <w:col w:w="11240"/>
          </w:cols>
          <w:pgMar w:left="320" w:top="1367" w:right="339" w:bottom="1440" w:gutter="0" w:footer="0" w:header="0"/>
        </w:sectPr>
      </w:pPr>
    </w:p>
    <w:bookmarkStart w:id="85" w:name="page86"/>
    <w:bookmarkEnd w:id="85"/>
    <w:p>
      <w:pPr>
        <w:jc w:val="both"/>
        <w:ind w:firstLine="642"/>
        <w:spacing w:after="0" w:line="218" w:lineRule="auto"/>
        <w:tabs>
          <w:tab w:leader="none" w:pos="1114" w:val="left"/>
        </w:tabs>
        <w:numPr>
          <w:ilvl w:val="0"/>
          <w:numId w:val="4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b w:val="1"/>
          <w:bCs w:val="1"/>
          <w:u w:val="single" w:color="auto"/>
          <w:color w:val="auto"/>
        </w:rPr>
        <w:t>Incorporation of Representations and Warranties from Credit Agreement</w:t>
      </w:r>
      <w:r>
        <w:rPr>
          <w:rFonts w:ascii="Times New Roman" w:cs="Times New Roman" w:eastAsia="Times New Roman" w:hAnsi="Times New Roman"/>
          <w:sz w:val="21"/>
          <w:szCs w:val="21"/>
          <w:color w:val="auto"/>
        </w:rPr>
        <w:t>. The representations and warranties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the Borrower and each other Loan Party contained in Article 5 of the Credit Agreement or any other Loan Document shall be true and correct in all material respects on and as of the First Amendment Effective Date, except to the extent such representations and warranties relate to an earlier date, in which case such representations and warranties shall be true and correct in all material respects as of such earlier date, in each case after giving effect to this Amendment (and except that the representations and warranties contained in clauses (a) and (b) of Section 5.05 of the Credit Agreement shall be deemed to refer to the most recent statements furnished pursuant to clauses (a) and (b), respectively, of Section 6.01 of the Credit Agreement);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any representation and warranty that is qualified as to “materiality”, “Material Adverse Effect” or similar language shall be true and correct (after giving effect to any qualification therein) in all respects.</w:t>
      </w:r>
    </w:p>
    <w:p>
      <w:pPr>
        <w:spacing w:after="0" w:line="145" w:lineRule="exact"/>
        <w:rPr>
          <w:rFonts w:ascii="Times New Roman" w:cs="Times New Roman" w:eastAsia="Times New Roman" w:hAnsi="Times New Roman"/>
          <w:sz w:val="19"/>
          <w:szCs w:val="19"/>
          <w:b w:val="1"/>
          <w:bCs w:val="1"/>
          <w:color w:val="auto"/>
        </w:rPr>
      </w:pPr>
    </w:p>
    <w:p>
      <w:pPr>
        <w:ind w:firstLine="642"/>
        <w:spacing w:after="0" w:line="249" w:lineRule="auto"/>
        <w:tabs>
          <w:tab w:leader="none" w:pos="1099" w:val="left"/>
        </w:tabs>
        <w:numPr>
          <w:ilvl w:val="0"/>
          <w:numId w:val="4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b w:val="1"/>
          <w:bCs w:val="1"/>
          <w:u w:val="single" w:color="auto"/>
          <w:color w:val="auto"/>
        </w:rPr>
        <w:t>Absence of Default</w:t>
      </w:r>
      <w:r>
        <w:rPr>
          <w:rFonts w:ascii="Times New Roman" w:cs="Times New Roman" w:eastAsia="Times New Roman" w:hAnsi="Times New Roman"/>
          <w:sz w:val="21"/>
          <w:szCs w:val="21"/>
          <w:color w:val="auto"/>
        </w:rPr>
        <w:t>. No Event of Default or Default exists, in each case after giving effect to this Amendment and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transactions contemplated hereby.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SECTION VI. MISCELLANEOUS.</w:t>
      </w:r>
    </w:p>
    <w:p>
      <w:pPr>
        <w:spacing w:after="0" w:line="183" w:lineRule="exact"/>
        <w:rPr>
          <w:sz w:val="20"/>
          <w:szCs w:val="20"/>
          <w:color w:val="auto"/>
        </w:rPr>
      </w:pPr>
    </w:p>
    <w:p>
      <w:pPr>
        <w:ind w:left="1140" w:hanging="498"/>
        <w:spacing w:after="0"/>
        <w:tabs>
          <w:tab w:leader="none" w:pos="1140" w:val="left"/>
        </w:tabs>
        <w:numPr>
          <w:ilvl w:val="0"/>
          <w:numId w:val="4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b w:val="1"/>
          <w:bCs w:val="1"/>
          <w:u w:val="single" w:color="auto"/>
          <w:color w:val="auto"/>
        </w:rPr>
        <w:t>Reference to and Effect on the Credit Agreement and the Other Loan Documents</w:t>
      </w:r>
      <w:r>
        <w:rPr>
          <w:rFonts w:ascii="Times New Roman" w:cs="Times New Roman" w:eastAsia="Times New Roman" w:hAnsi="Times New Roman"/>
          <w:sz w:val="21"/>
          <w:szCs w:val="21"/>
          <w:color w:val="auto"/>
        </w:rPr>
        <w:t>.</w:t>
      </w:r>
    </w:p>
    <w:p>
      <w:pPr>
        <w:spacing w:after="0" w:line="186" w:lineRule="exact"/>
        <w:rPr>
          <w:rFonts w:ascii="Times New Roman" w:cs="Times New Roman" w:eastAsia="Times New Roman" w:hAnsi="Times New Roman"/>
          <w:sz w:val="19"/>
          <w:szCs w:val="19"/>
          <w:b w:val="1"/>
          <w:bCs w:val="1"/>
          <w:color w:val="auto"/>
        </w:rPr>
      </w:pPr>
    </w:p>
    <w:p>
      <w:pPr>
        <w:ind w:left="460" w:right="340" w:firstLine="515"/>
        <w:spacing w:after="0" w:line="222" w:lineRule="auto"/>
        <w:tabs>
          <w:tab w:leader="none" w:pos="1455" w:val="left"/>
        </w:tabs>
        <w:numPr>
          <w:ilvl w:val="1"/>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On and after the First Amendment Effective Date, each reference in the Credit Agreement to “this Agreement,” “hereunder,” “hereof,” “herein” or words of like import referring to the Credit Agreement, and each reference in the other</w:t>
      </w:r>
    </w:p>
    <w:p>
      <w:pPr>
        <w:spacing w:after="0" w:line="1" w:lineRule="exact"/>
        <w:rPr>
          <w:rFonts w:ascii="Times New Roman" w:cs="Times New Roman" w:eastAsia="Times New Roman" w:hAnsi="Times New Roman"/>
          <w:sz w:val="19"/>
          <w:szCs w:val="19"/>
          <w:color w:val="auto"/>
        </w:rPr>
      </w:pPr>
    </w:p>
    <w:p>
      <w:pPr>
        <w:ind w:left="740"/>
        <w:spacing w:after="0" w:line="210" w:lineRule="auto"/>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Loan Documents to the “Credit Agreement,” “thereunder,” “thereof” or words of like import referring to the Credit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Agreement, shall mean and be a reference to the Credit Agreement.</w:t>
      </w:r>
    </w:p>
    <w:p>
      <w:pPr>
        <w:spacing w:after="0" w:line="159" w:lineRule="exact"/>
        <w:rPr>
          <w:sz w:val="20"/>
          <w:szCs w:val="20"/>
          <w:color w:val="auto"/>
        </w:rPr>
      </w:pPr>
    </w:p>
    <w:p>
      <w:pPr>
        <w:ind w:left="640" w:firstLine="638"/>
        <w:spacing w:after="0" w:line="245" w:lineRule="auto"/>
        <w:tabs>
          <w:tab w:leader="none" w:pos="1760" w:val="left"/>
        </w:tabs>
        <w:numPr>
          <w:ilvl w:val="1"/>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Except as specifically amended by this Amendment, the Credit Agreement and the other Loan Documents shall remain in full force and effect and are hereby ratified and confirmed.</w:t>
      </w:r>
    </w:p>
    <w:p>
      <w:pPr>
        <w:spacing w:after="0" w:line="138" w:lineRule="exact"/>
        <w:rPr>
          <w:rFonts w:ascii="Times New Roman" w:cs="Times New Roman" w:eastAsia="Times New Roman" w:hAnsi="Times New Roman"/>
          <w:sz w:val="19"/>
          <w:szCs w:val="19"/>
          <w:color w:val="auto"/>
        </w:rPr>
      </w:pPr>
    </w:p>
    <w:p>
      <w:pPr>
        <w:ind w:left="1120" w:hanging="478"/>
        <w:spacing w:after="0"/>
        <w:tabs>
          <w:tab w:leader="none" w:pos="1120" w:val="left"/>
        </w:tabs>
        <w:numPr>
          <w:ilvl w:val="0"/>
          <w:numId w:val="4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b w:val="1"/>
          <w:bCs w:val="1"/>
          <w:u w:val="single" w:color="auto"/>
          <w:color w:val="auto"/>
        </w:rPr>
        <w:t>Loan Document</w:t>
      </w:r>
      <w:r>
        <w:rPr>
          <w:rFonts w:ascii="Times New Roman" w:cs="Times New Roman" w:eastAsia="Times New Roman" w:hAnsi="Times New Roman"/>
          <w:sz w:val="21"/>
          <w:szCs w:val="21"/>
          <w:color w:val="auto"/>
        </w:rPr>
        <w:t>. This Amendment shall constitute a Loan Document under the terms of the Credit Agreement.</w:t>
      </w:r>
    </w:p>
    <w:p>
      <w:pPr>
        <w:spacing w:after="0" w:line="182" w:lineRule="exact"/>
        <w:rPr>
          <w:rFonts w:ascii="Times New Roman" w:cs="Times New Roman" w:eastAsia="Times New Roman" w:hAnsi="Times New Roman"/>
          <w:sz w:val="19"/>
          <w:szCs w:val="19"/>
          <w:b w:val="1"/>
          <w:bCs w:val="1"/>
          <w:color w:val="auto"/>
        </w:rPr>
      </w:pPr>
    </w:p>
    <w:p>
      <w:pPr>
        <w:jc w:val="both"/>
        <w:ind w:firstLine="642"/>
        <w:spacing w:after="0" w:line="233" w:lineRule="auto"/>
        <w:tabs>
          <w:tab w:leader="none" w:pos="1125" w:val="left"/>
        </w:tabs>
        <w:numPr>
          <w:ilvl w:val="0"/>
          <w:numId w:val="4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b w:val="1"/>
          <w:bCs w:val="1"/>
          <w:u w:val="single" w:color="auto"/>
          <w:color w:val="auto"/>
        </w:rPr>
        <w:t>No Novation</w:t>
      </w:r>
      <w:r>
        <w:rPr>
          <w:rFonts w:ascii="Times New Roman" w:cs="Times New Roman" w:eastAsia="Times New Roman" w:hAnsi="Times New Roman"/>
          <w:sz w:val="21"/>
          <w:szCs w:val="21"/>
          <w:color w:val="auto"/>
        </w:rPr>
        <w:t>. By its execution of this Amendment, each of the parties hereto acknowledges and agrees that the terms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this Amendment do not constitute a novation, but, rather, an amendment of the terms of a pre-existing Indebtedness and related agreement, as evidenced by the Existing Credit Agreement.</w:t>
      </w:r>
    </w:p>
    <w:p>
      <w:pPr>
        <w:spacing w:after="0" w:line="144" w:lineRule="exact"/>
        <w:rPr>
          <w:rFonts w:ascii="Times New Roman" w:cs="Times New Roman" w:eastAsia="Times New Roman" w:hAnsi="Times New Roman"/>
          <w:sz w:val="19"/>
          <w:szCs w:val="19"/>
          <w:b w:val="1"/>
          <w:bCs w:val="1"/>
          <w:color w:val="auto"/>
        </w:rPr>
      </w:pPr>
    </w:p>
    <w:p>
      <w:pPr>
        <w:ind w:firstLine="642"/>
        <w:spacing w:after="0" w:line="249" w:lineRule="auto"/>
        <w:tabs>
          <w:tab w:leader="none" w:pos="1125" w:val="left"/>
        </w:tabs>
        <w:numPr>
          <w:ilvl w:val="0"/>
          <w:numId w:val="4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b w:val="1"/>
          <w:bCs w:val="1"/>
          <w:u w:val="single" w:color="auto"/>
          <w:color w:val="auto"/>
        </w:rPr>
        <w:t>Headings</w:t>
      </w:r>
      <w:r>
        <w:rPr>
          <w:rFonts w:ascii="Times New Roman" w:cs="Times New Roman" w:eastAsia="Times New Roman" w:hAnsi="Times New Roman"/>
          <w:sz w:val="21"/>
          <w:szCs w:val="21"/>
          <w:color w:val="auto"/>
        </w:rPr>
        <w:t>. Section and subsection headings in this Amendment are included herein for convenience of reference only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shall not constitute a part of this Amendment for any other purpose or be given any substantive effect.</w:t>
      </w:r>
    </w:p>
    <w:p>
      <w:pPr>
        <w:spacing w:after="0" w:line="134" w:lineRule="exact"/>
        <w:rPr>
          <w:rFonts w:ascii="Times New Roman" w:cs="Times New Roman" w:eastAsia="Times New Roman" w:hAnsi="Times New Roman"/>
          <w:sz w:val="19"/>
          <w:szCs w:val="19"/>
          <w:b w:val="1"/>
          <w:bCs w:val="1"/>
          <w:color w:val="auto"/>
        </w:rPr>
      </w:pPr>
    </w:p>
    <w:p>
      <w:pPr>
        <w:jc w:val="both"/>
        <w:ind w:firstLine="642"/>
        <w:spacing w:after="0" w:line="224" w:lineRule="auto"/>
        <w:tabs>
          <w:tab w:leader="none" w:pos="1180" w:val="left"/>
        </w:tabs>
        <w:numPr>
          <w:ilvl w:val="0"/>
          <w:numId w:val="4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b w:val="1"/>
          <w:bCs w:val="1"/>
          <w:u w:val="single" w:color="auto"/>
          <w:color w:val="auto"/>
        </w:rPr>
        <w:t>Applicable Law</w:t>
      </w:r>
      <w:r>
        <w:rPr>
          <w:rFonts w:ascii="Times New Roman" w:cs="Times New Roman" w:eastAsia="Times New Roman" w:hAnsi="Times New Roman"/>
          <w:sz w:val="21"/>
          <w:szCs w:val="21"/>
          <w:color w:val="auto"/>
        </w:rPr>
        <w:t>. THIS AMENDMENT AND ALL CLAIMS OR CAUSES OF ACTION (WHETHER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CONTRACT, TORT OR OTHERWISE) THAT MAY BE BASED UPON, ARISE OUT OF OR RELATE IN ANY WAY HERETO OR THE NEGOTIATION, EXECUTION OR PERFORMANCE HEREOF, SHALL BE GOVERNED BY, AND CONSTRUED IN ACCORDANCE WITH, THE LAW OF THE STATE OF NEW YORK. The provisions of Sections 10.14(b), (c) and (d) and 10.15 of the Credit Agreement are incorporated by reference herein and made a part hereof.</w:t>
      </w:r>
    </w:p>
    <w:p>
      <w:pPr>
        <w:spacing w:after="0" w:line="145" w:lineRule="exact"/>
        <w:rPr>
          <w:rFonts w:ascii="Times New Roman" w:cs="Times New Roman" w:eastAsia="Times New Roman" w:hAnsi="Times New Roman"/>
          <w:sz w:val="19"/>
          <w:szCs w:val="19"/>
          <w:b w:val="1"/>
          <w:bCs w:val="1"/>
          <w:color w:val="auto"/>
        </w:rPr>
      </w:pPr>
    </w:p>
    <w:p>
      <w:pPr>
        <w:jc w:val="both"/>
        <w:ind w:firstLine="642"/>
        <w:spacing w:after="0" w:line="233" w:lineRule="auto"/>
        <w:tabs>
          <w:tab w:leader="none" w:pos="1152" w:val="left"/>
        </w:tabs>
        <w:numPr>
          <w:ilvl w:val="0"/>
          <w:numId w:val="4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b w:val="1"/>
          <w:bCs w:val="1"/>
          <w:u w:val="single" w:color="auto"/>
          <w:color w:val="auto"/>
        </w:rPr>
        <w:t>Counterparts</w:t>
      </w:r>
      <w:r>
        <w:rPr>
          <w:rFonts w:ascii="Times New Roman" w:cs="Times New Roman" w:eastAsia="Times New Roman" w:hAnsi="Times New Roman"/>
          <w:sz w:val="21"/>
          <w:szCs w:val="21"/>
          <w:color w:val="auto"/>
        </w:rPr>
        <w:t>. This Amendment may be executed in counterparts (and by different parties hereto in different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counterparts), each of which shall constitute an original, but all of which when taken together shall constitute a single agreement. Delivery of an executed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1"/>
          <w:szCs w:val="21"/>
          <w:color w:val="auto"/>
        </w:rPr>
        <w:t>viii</w:t>
      </w:r>
    </w:p>
    <w:p>
      <w:pPr>
        <w:sectPr>
          <w:pgSz w:w="11900" w:h="16838" w:orient="portrait"/>
          <w:cols w:equalWidth="0" w:num="1">
            <w:col w:w="11240"/>
          </w:cols>
          <w:pgMar w:left="320" w:top="1367" w:right="339" w:bottom="1440" w:gutter="0" w:footer="0" w:header="0"/>
        </w:sectPr>
      </w:pPr>
    </w:p>
    <w:bookmarkStart w:id="86" w:name="page87"/>
    <w:bookmarkEnd w:id="86"/>
    <w:p>
      <w:pPr>
        <w:jc w:val="both"/>
        <w:spacing w:after="0" w:line="219" w:lineRule="auto"/>
        <w:rPr>
          <w:sz w:val="20"/>
          <w:szCs w:val="20"/>
          <w:color w:val="auto"/>
        </w:rPr>
      </w:pPr>
      <w:r>
        <w:rPr>
          <w:rFonts w:ascii="Times New Roman" w:cs="Times New Roman" w:eastAsia="Times New Roman" w:hAnsi="Times New Roman"/>
          <w:sz w:val="21"/>
          <w:szCs w:val="21"/>
          <w:color w:val="auto"/>
        </w:rPr>
        <w:t>counterpart of a signature page of this Amendment by facsimile or other electronic imaging means (e.g., in “pdf” or “tif” format) shall be effective as delivery of a manually executed counterpart of this Amendment. The words “execution,” “signed,” “signature” and words of like import in this Amendment shall be deemed to include electronic signatures or electronic records,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50" w:lineRule="exact"/>
        <w:rPr>
          <w:sz w:val="20"/>
          <w:szCs w:val="20"/>
          <w:color w:val="auto"/>
        </w:rPr>
      </w:pPr>
    </w:p>
    <w:p>
      <w:pPr>
        <w:jc w:val="both"/>
        <w:ind w:firstLine="642"/>
        <w:spacing w:after="0" w:line="224" w:lineRule="auto"/>
        <w:tabs>
          <w:tab w:leader="none" w:pos="1123" w:val="left"/>
        </w:tabs>
        <w:numPr>
          <w:ilvl w:val="0"/>
          <w:numId w:val="4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b w:val="1"/>
          <w:bCs w:val="1"/>
          <w:u w:val="single" w:color="auto"/>
          <w:color w:val="auto"/>
        </w:rPr>
        <w:t>Severability</w:t>
      </w:r>
      <w:r>
        <w:rPr>
          <w:rFonts w:ascii="Times New Roman" w:cs="Times New Roman" w:eastAsia="Times New Roman" w:hAnsi="Times New Roman"/>
          <w:sz w:val="21"/>
          <w:szCs w:val="21"/>
          <w:color w:val="auto"/>
        </w:rPr>
        <w:t>. Any term or provision of this Amendment which is invalid or unenforceable in any jurisdiction shall, 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that jurisdiction, be ineffective to the extent of such invalidity or unenforceability without rendering invalid or unenforceable the remaining terms and provisions of this Amendment or affecting the validity or enforceability of any of the terms or provisions of this Amendment in any other jurisdiction. If any provision of this Amendment is so broad as to be unenforceable, the provision shall be interpreted to be only so broad as would be enforceable.</w:t>
      </w:r>
    </w:p>
    <w:p>
      <w:pPr>
        <w:spacing w:after="0" w:line="145" w:lineRule="exact"/>
        <w:rPr>
          <w:rFonts w:ascii="Times New Roman" w:cs="Times New Roman" w:eastAsia="Times New Roman" w:hAnsi="Times New Roman"/>
          <w:sz w:val="19"/>
          <w:szCs w:val="19"/>
          <w:b w:val="1"/>
          <w:bCs w:val="1"/>
          <w:color w:val="auto"/>
        </w:rPr>
      </w:pPr>
    </w:p>
    <w:p>
      <w:pPr>
        <w:jc w:val="both"/>
        <w:ind w:firstLine="642"/>
        <w:spacing w:after="0" w:line="220" w:lineRule="auto"/>
        <w:tabs>
          <w:tab w:leader="none" w:pos="1136" w:val="left"/>
        </w:tabs>
        <w:numPr>
          <w:ilvl w:val="0"/>
          <w:numId w:val="4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b w:val="1"/>
          <w:bCs w:val="1"/>
          <w:u w:val="single" w:color="auto"/>
          <w:color w:val="auto"/>
        </w:rPr>
        <w:t>Reaffirmation</w:t>
      </w:r>
      <w:r>
        <w:rPr>
          <w:rFonts w:ascii="Times New Roman" w:cs="Times New Roman" w:eastAsia="Times New Roman" w:hAnsi="Times New Roman"/>
          <w:sz w:val="21"/>
          <w:szCs w:val="21"/>
          <w:color w:val="auto"/>
        </w:rPr>
        <w:t>. Each Loan Party party hereto hereby (i) acknowledges and agrees that all of its pledges, grants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security interests and Liens and other obligations under the Collateral Agreement and the other Loan Documents to which it is a party are reaffirmed and remain in full force and effect on a continuous basis, (ii) reaffirms (x) each Lien granted by it to the Administrative Agent for the benefit of the Secured Parties and (y) the guaranties made by it pursuant to the Collateral Agreement and (iii) acknowledges and agrees that the grants of security interests and Liens by, and the guaranties of, the Guarantors contained in the Collateral Agreement and the other Loan Documents are, and shall remain, in full force and effect on and after the First Amendment Effective Date.</w:t>
      </w:r>
    </w:p>
    <w:p>
      <w:pPr>
        <w:spacing w:after="0" w:line="146" w:lineRule="exact"/>
        <w:rPr>
          <w:rFonts w:ascii="Times New Roman" w:cs="Times New Roman" w:eastAsia="Times New Roman" w:hAnsi="Times New Roman"/>
          <w:sz w:val="19"/>
          <w:szCs w:val="19"/>
          <w:b w:val="1"/>
          <w:bCs w:val="1"/>
          <w:color w:val="auto"/>
        </w:rPr>
      </w:pPr>
    </w:p>
    <w:p>
      <w:pPr>
        <w:jc w:val="both"/>
        <w:ind w:firstLine="642"/>
        <w:spacing w:after="0" w:line="233" w:lineRule="auto"/>
        <w:tabs>
          <w:tab w:leader="none" w:pos="1113" w:val="left"/>
        </w:tabs>
        <w:numPr>
          <w:ilvl w:val="0"/>
          <w:numId w:val="4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b w:val="1"/>
          <w:bCs w:val="1"/>
          <w:u w:val="single" w:color="auto"/>
          <w:color w:val="auto"/>
        </w:rPr>
        <w:t>No Waiver</w:t>
      </w:r>
      <w:r>
        <w:rPr>
          <w:rFonts w:ascii="Times New Roman" w:cs="Times New Roman" w:eastAsia="Times New Roman" w:hAnsi="Times New Roman"/>
          <w:sz w:val="21"/>
          <w:szCs w:val="21"/>
          <w:color w:val="auto"/>
        </w:rPr>
        <w:t>. The execution, delivery and effectiveness of this Amendment shall not, except as provided herein, operate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 a waiver of any right, power or remedy of any Lender, any L/C Issuer or the Administrative Agent under any of the Loan Documents, nor constitute a waiver of any provision of any of the Loan Documents.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pages follow</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1"/>
          <w:szCs w:val="21"/>
          <w:color w:val="auto"/>
        </w:rPr>
        <w:t>ix</w:t>
      </w:r>
    </w:p>
    <w:p>
      <w:pPr>
        <w:sectPr>
          <w:pgSz w:w="11900" w:h="16838" w:orient="portrait"/>
          <w:cols w:equalWidth="0" w:num="1">
            <w:col w:w="11240"/>
          </w:cols>
          <w:pgMar w:left="320" w:top="1371" w:right="339" w:bottom="1440" w:gutter="0" w:footer="0" w:header="0"/>
        </w:sectPr>
      </w:pPr>
    </w:p>
    <w:bookmarkStart w:id="87" w:name="page88"/>
    <w:bookmarkEnd w:id="87"/>
    <w:p>
      <w:pPr>
        <w:ind w:left="64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hereto have caused this Amendment to be duly executed and delivered by t</w:t>
      </w:r>
      <w:r>
        <w:rPr>
          <w:rFonts w:ascii="Times New Roman" w:cs="Times New Roman" w:eastAsia="Times New Roman" w:hAnsi="Times New Roman"/>
          <w:sz w:val="19"/>
          <w:szCs w:val="19"/>
          <w:color w:val="auto"/>
        </w:rPr>
        <w:t>heir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respective officers thereunto duly authorized as of the date first written above.</w:t>
      </w:r>
    </w:p>
    <w:p>
      <w:pPr>
        <w:spacing w:after="0" w:line="20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1"/>
          <w:szCs w:val="21"/>
          <w:b w:val="1"/>
          <w:bCs w:val="1"/>
          <w:color w:val="auto"/>
        </w:rPr>
        <w:t>Borrower:</w:t>
      </w:r>
    </w:p>
    <w:p>
      <w:pPr>
        <w:spacing w:after="0" w:line="38"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1"/>
          <w:szCs w:val="21"/>
          <w:b w:val="1"/>
          <w:bCs w:val="1"/>
          <w:color w:val="auto"/>
        </w:rPr>
        <w:t>BELLRING BRANDS, INC.</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260"/>
        <w:spacing w:after="0"/>
        <w:tabs>
          <w:tab w:leader="none" w:pos="3760" w:val="left"/>
        </w:tabs>
        <w:rPr>
          <w:sz w:val="20"/>
          <w:szCs w:val="20"/>
          <w:color w:val="auto"/>
        </w:rPr>
      </w:pPr>
      <w:r>
        <w:rPr>
          <w:rFonts w:ascii="Times New Roman" w:cs="Times New Roman" w:eastAsia="Times New Roman" w:hAnsi="Times New Roman"/>
          <w:sz w:val="21"/>
          <w:szCs w:val="21"/>
          <w:color w:val="auto"/>
        </w:rPr>
        <w:t>By:</w:t>
        <w:tab/>
        <w:t>/s/ Paul A Rode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2402840</wp:posOffset>
            </wp:positionH>
            <wp:positionV relativeFrom="paragraph">
              <wp:posOffset>-8890</wp:posOffset>
            </wp:positionV>
            <wp:extent cx="98361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8">
                      <a:extLst>
                        <a:ext uri="{28A0092B-C50C-407E-A947-70E740481C1C}"/>
                      </a:extLst>
                    </a:blip>
                    <a:srcRect/>
                    <a:stretch>
                      <a:fillRect/>
                    </a:stretch>
                  </pic:blipFill>
                  <pic:spPr bwMode="auto">
                    <a:xfrm>
                      <a:off x="0" y="0"/>
                      <a:ext cx="983615" cy="8255"/>
                    </a:xfrm>
                    <a:prstGeom prst="rect">
                      <a:avLst/>
                    </a:prstGeom>
                    <a:noFill/>
                  </pic:spPr>
                </pic:pic>
              </a:graphicData>
            </a:graphic>
          </wp:anchor>
        </w:drawing>
      </w:r>
    </w:p>
    <w:p>
      <w:pPr>
        <w:spacing w:after="0" w:line="1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1"/>
          <w:szCs w:val="21"/>
          <w:color w:val="auto"/>
        </w:rPr>
        <w:t>Name: Paul A. Rode</w:t>
      </w:r>
    </w:p>
    <w:p>
      <w:pPr>
        <w:spacing w:after="0" w:line="1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1"/>
          <w:szCs w:val="21"/>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1"/>
          <w:szCs w:val="21"/>
          <w:b w:val="1"/>
          <w:bCs w:val="1"/>
          <w:color w:val="auto"/>
        </w:rPr>
        <w:t>Guarantors:</w:t>
      </w:r>
    </w:p>
    <w:p>
      <w:pPr>
        <w:spacing w:after="0" w:line="24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1"/>
          <w:szCs w:val="21"/>
          <w:b w:val="1"/>
          <w:bCs w:val="1"/>
          <w:color w:val="auto"/>
        </w:rPr>
        <w:t>BELLRING INTERMEDIATE HOLDINGS, INC.</w:t>
      </w:r>
    </w:p>
    <w:p>
      <w:pPr>
        <w:spacing w:after="0" w:line="266" w:lineRule="exact"/>
        <w:rPr>
          <w:sz w:val="20"/>
          <w:szCs w:val="20"/>
          <w:color w:val="auto"/>
        </w:rPr>
      </w:pPr>
    </w:p>
    <w:p>
      <w:pPr>
        <w:ind w:left="3260"/>
        <w:spacing w:after="0"/>
        <w:tabs>
          <w:tab w:leader="none" w:pos="3760" w:val="left"/>
        </w:tabs>
        <w:rPr>
          <w:sz w:val="20"/>
          <w:szCs w:val="20"/>
          <w:color w:val="auto"/>
        </w:rPr>
      </w:pPr>
      <w:r>
        <w:rPr>
          <w:rFonts w:ascii="Times New Roman" w:cs="Times New Roman" w:eastAsia="Times New Roman" w:hAnsi="Times New Roman"/>
          <w:sz w:val="21"/>
          <w:szCs w:val="21"/>
          <w:color w:val="auto"/>
        </w:rPr>
        <w:t>By:</w:t>
        <w:tab/>
        <w:t>/s/ Paul A Rode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2402840</wp:posOffset>
            </wp:positionH>
            <wp:positionV relativeFrom="paragraph">
              <wp:posOffset>-8890</wp:posOffset>
            </wp:positionV>
            <wp:extent cx="98361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9">
                      <a:extLst>
                        <a:ext uri="{28A0092B-C50C-407E-A947-70E740481C1C}"/>
                      </a:extLst>
                    </a:blip>
                    <a:srcRect/>
                    <a:stretch>
                      <a:fillRect/>
                    </a:stretch>
                  </pic:blipFill>
                  <pic:spPr bwMode="auto">
                    <a:xfrm>
                      <a:off x="0" y="0"/>
                      <a:ext cx="983615" cy="8255"/>
                    </a:xfrm>
                    <a:prstGeom prst="rect">
                      <a:avLst/>
                    </a:prstGeom>
                    <a:noFill/>
                  </pic:spPr>
                </pic:pic>
              </a:graphicData>
            </a:graphic>
          </wp:anchor>
        </w:drawing>
      </w:r>
    </w:p>
    <w:p>
      <w:pPr>
        <w:spacing w:after="0" w:line="1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1"/>
          <w:szCs w:val="21"/>
          <w:color w:val="auto"/>
        </w:rPr>
        <w:t>Name: Paul A. Rode</w:t>
      </w:r>
    </w:p>
    <w:p>
      <w:pPr>
        <w:spacing w:after="0" w:line="1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1"/>
          <w:szCs w:val="21"/>
          <w:color w:val="auto"/>
        </w:rPr>
        <w:t>Title: Chief Financial Officer</w:t>
      </w:r>
    </w:p>
    <w:p>
      <w:pPr>
        <w:spacing w:after="0" w:line="200" w:lineRule="exact"/>
        <w:rPr>
          <w:sz w:val="20"/>
          <w:szCs w:val="20"/>
          <w:color w:val="auto"/>
        </w:rPr>
      </w:pPr>
    </w:p>
    <w:p>
      <w:pPr>
        <w:spacing w:after="0" w:line="206"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1"/>
          <w:szCs w:val="21"/>
          <w:b w:val="1"/>
          <w:bCs w:val="1"/>
          <w:color w:val="auto"/>
        </w:rPr>
        <w:t>BELLRING BRANDS, LLC</w:t>
      </w:r>
    </w:p>
    <w:p>
      <w:pPr>
        <w:spacing w:after="0" w:line="253" w:lineRule="exact"/>
        <w:rPr>
          <w:sz w:val="20"/>
          <w:szCs w:val="20"/>
          <w:color w:val="auto"/>
        </w:rPr>
      </w:pPr>
    </w:p>
    <w:p>
      <w:pPr>
        <w:ind w:left="3260"/>
        <w:spacing w:after="0"/>
        <w:tabs>
          <w:tab w:leader="none" w:pos="3760" w:val="left"/>
        </w:tabs>
        <w:rPr>
          <w:sz w:val="20"/>
          <w:szCs w:val="20"/>
          <w:color w:val="auto"/>
        </w:rPr>
      </w:pPr>
      <w:r>
        <w:rPr>
          <w:rFonts w:ascii="Times New Roman" w:cs="Times New Roman" w:eastAsia="Times New Roman" w:hAnsi="Times New Roman"/>
          <w:sz w:val="21"/>
          <w:szCs w:val="21"/>
          <w:color w:val="auto"/>
        </w:rPr>
        <w:t>By:</w:t>
        <w:tab/>
        <w:t>/s/ Paul A Rode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2402840</wp:posOffset>
            </wp:positionH>
            <wp:positionV relativeFrom="paragraph">
              <wp:posOffset>-8890</wp:posOffset>
            </wp:positionV>
            <wp:extent cx="98361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0">
                      <a:extLst>
                        <a:ext uri="{28A0092B-C50C-407E-A947-70E740481C1C}"/>
                      </a:extLst>
                    </a:blip>
                    <a:srcRect/>
                    <a:stretch>
                      <a:fillRect/>
                    </a:stretch>
                  </pic:blipFill>
                  <pic:spPr bwMode="auto">
                    <a:xfrm>
                      <a:off x="0" y="0"/>
                      <a:ext cx="983615" cy="8255"/>
                    </a:xfrm>
                    <a:prstGeom prst="rect">
                      <a:avLst/>
                    </a:prstGeom>
                    <a:noFill/>
                  </pic:spPr>
                </pic:pic>
              </a:graphicData>
            </a:graphic>
          </wp:anchor>
        </w:drawing>
      </w:r>
    </w:p>
    <w:p>
      <w:pPr>
        <w:spacing w:after="0" w:line="1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1"/>
          <w:szCs w:val="21"/>
          <w:color w:val="auto"/>
        </w:rPr>
        <w:t>Name: Paul A. Rode</w:t>
      </w:r>
    </w:p>
    <w:p>
      <w:pPr>
        <w:spacing w:after="0" w:line="1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1"/>
          <w:szCs w:val="21"/>
          <w:color w:val="auto"/>
        </w:rPr>
        <w:t>Title: Chief Financial Officer</w:t>
      </w:r>
    </w:p>
    <w:p>
      <w:pPr>
        <w:spacing w:after="0" w:line="200" w:lineRule="exact"/>
        <w:rPr>
          <w:sz w:val="20"/>
          <w:szCs w:val="20"/>
          <w:color w:val="auto"/>
        </w:rPr>
      </w:pPr>
    </w:p>
    <w:p>
      <w:pPr>
        <w:spacing w:after="0" w:line="218"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1"/>
          <w:szCs w:val="21"/>
          <w:b w:val="1"/>
          <w:bCs w:val="1"/>
          <w:color w:val="auto"/>
        </w:rPr>
        <w:t>TA/DEI-A ACQUISITION CORP.</w:t>
      </w:r>
    </w:p>
    <w:p>
      <w:pPr>
        <w:spacing w:after="0" w:line="253" w:lineRule="exact"/>
        <w:rPr>
          <w:sz w:val="20"/>
          <w:szCs w:val="20"/>
          <w:color w:val="auto"/>
        </w:rPr>
      </w:pPr>
    </w:p>
    <w:p>
      <w:pPr>
        <w:ind w:left="3260"/>
        <w:spacing w:after="0"/>
        <w:tabs>
          <w:tab w:leader="none" w:pos="3760" w:val="left"/>
        </w:tabs>
        <w:rPr>
          <w:sz w:val="20"/>
          <w:szCs w:val="20"/>
          <w:color w:val="auto"/>
        </w:rPr>
      </w:pPr>
      <w:r>
        <w:rPr>
          <w:rFonts w:ascii="Times New Roman" w:cs="Times New Roman" w:eastAsia="Times New Roman" w:hAnsi="Times New Roman"/>
          <w:sz w:val="21"/>
          <w:szCs w:val="21"/>
          <w:color w:val="auto"/>
        </w:rPr>
        <w:t>By:</w:t>
        <w:tab/>
        <w:t>/s/ Paul A Rode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2402840</wp:posOffset>
            </wp:positionH>
            <wp:positionV relativeFrom="paragraph">
              <wp:posOffset>-8890</wp:posOffset>
            </wp:positionV>
            <wp:extent cx="98361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1">
                      <a:extLst>
                        <a:ext uri="{28A0092B-C50C-407E-A947-70E740481C1C}"/>
                      </a:extLst>
                    </a:blip>
                    <a:srcRect/>
                    <a:stretch>
                      <a:fillRect/>
                    </a:stretch>
                  </pic:blipFill>
                  <pic:spPr bwMode="auto">
                    <a:xfrm>
                      <a:off x="0" y="0"/>
                      <a:ext cx="983615" cy="8255"/>
                    </a:xfrm>
                    <a:prstGeom prst="rect">
                      <a:avLst/>
                    </a:prstGeom>
                    <a:noFill/>
                  </pic:spPr>
                </pic:pic>
              </a:graphicData>
            </a:graphic>
          </wp:anchor>
        </w:drawing>
      </w:r>
    </w:p>
    <w:p>
      <w:pPr>
        <w:spacing w:after="0" w:line="1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1"/>
          <w:szCs w:val="21"/>
          <w:color w:val="auto"/>
        </w:rPr>
        <w:t>Name: Paul A. Rode</w:t>
      </w:r>
    </w:p>
    <w:p>
      <w:pPr>
        <w:spacing w:after="0" w:line="1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1"/>
          <w:szCs w:val="21"/>
          <w:color w:val="auto"/>
        </w:rPr>
        <w:t>Title: Chief Financial Officer</w:t>
      </w:r>
    </w:p>
    <w:p>
      <w:pPr>
        <w:spacing w:after="0" w:line="200" w:lineRule="exact"/>
        <w:rPr>
          <w:sz w:val="20"/>
          <w:szCs w:val="20"/>
          <w:color w:val="auto"/>
        </w:rPr>
      </w:pPr>
    </w:p>
    <w:p>
      <w:pPr>
        <w:spacing w:after="0" w:line="220"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1"/>
          <w:szCs w:val="21"/>
          <w:b w:val="1"/>
          <w:bCs w:val="1"/>
          <w:color w:val="auto"/>
        </w:rPr>
        <w:t>DYMATIZE ENTERPRISES, LLC</w:t>
      </w:r>
    </w:p>
    <w:p>
      <w:pPr>
        <w:spacing w:after="0" w:line="253" w:lineRule="exact"/>
        <w:rPr>
          <w:sz w:val="20"/>
          <w:szCs w:val="20"/>
          <w:color w:val="auto"/>
        </w:rPr>
      </w:pPr>
    </w:p>
    <w:p>
      <w:pPr>
        <w:ind w:left="3260"/>
        <w:spacing w:after="0"/>
        <w:tabs>
          <w:tab w:leader="none" w:pos="3760" w:val="left"/>
        </w:tabs>
        <w:rPr>
          <w:sz w:val="20"/>
          <w:szCs w:val="20"/>
          <w:color w:val="auto"/>
        </w:rPr>
      </w:pPr>
      <w:r>
        <w:rPr>
          <w:rFonts w:ascii="Times New Roman" w:cs="Times New Roman" w:eastAsia="Times New Roman" w:hAnsi="Times New Roman"/>
          <w:sz w:val="21"/>
          <w:szCs w:val="21"/>
          <w:color w:val="auto"/>
        </w:rPr>
        <w:t>By:</w:t>
        <w:tab/>
        <w:t>/s/ Paul A Rode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2402840</wp:posOffset>
            </wp:positionH>
            <wp:positionV relativeFrom="paragraph">
              <wp:posOffset>-8890</wp:posOffset>
            </wp:positionV>
            <wp:extent cx="98361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2">
                      <a:extLst>
                        <a:ext uri="{28A0092B-C50C-407E-A947-70E740481C1C}"/>
                      </a:extLst>
                    </a:blip>
                    <a:srcRect/>
                    <a:stretch>
                      <a:fillRect/>
                    </a:stretch>
                  </pic:blipFill>
                  <pic:spPr bwMode="auto">
                    <a:xfrm>
                      <a:off x="0" y="0"/>
                      <a:ext cx="983615" cy="8255"/>
                    </a:xfrm>
                    <a:prstGeom prst="rect">
                      <a:avLst/>
                    </a:prstGeom>
                    <a:noFill/>
                  </pic:spPr>
                </pic:pic>
              </a:graphicData>
            </a:graphic>
          </wp:anchor>
        </w:drawing>
      </w:r>
    </w:p>
    <w:p>
      <w:pPr>
        <w:spacing w:after="0" w:line="1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1"/>
          <w:szCs w:val="21"/>
          <w:color w:val="auto"/>
        </w:rPr>
        <w:t>Name: Paul A. Rode</w:t>
      </w:r>
    </w:p>
    <w:p>
      <w:pPr>
        <w:spacing w:after="0" w:line="1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1"/>
          <w:szCs w:val="21"/>
          <w:color w:val="auto"/>
        </w:rPr>
        <w:t>Title: Chief Financial Officer</w:t>
      </w:r>
    </w:p>
    <w:p>
      <w:pPr>
        <w:sectPr>
          <w:pgSz w:w="11900" w:h="16838" w:orient="portrait"/>
          <w:cols w:equalWidth="0" w:num="1">
            <w:col w:w="11220"/>
          </w:cols>
          <w:pgMar w:left="320" w:top="1393" w:right="359" w:bottom="1440" w:gutter="0" w:footer="0" w:header="0"/>
        </w:sectPr>
      </w:pPr>
    </w:p>
    <w:bookmarkStart w:id="88" w:name="page89"/>
    <w:bookmarkEnd w:id="88"/>
    <w:p>
      <w:pPr>
        <w:ind w:left="2700"/>
        <w:spacing w:after="0"/>
        <w:rPr>
          <w:sz w:val="20"/>
          <w:szCs w:val="20"/>
          <w:color w:val="auto"/>
        </w:rPr>
      </w:pPr>
      <w:r>
        <w:rPr>
          <w:rFonts w:ascii="Times New Roman" w:cs="Times New Roman" w:eastAsia="Times New Roman" w:hAnsi="Times New Roman"/>
          <w:sz w:val="21"/>
          <w:szCs w:val="21"/>
          <w:b w:val="1"/>
          <w:bCs w:val="1"/>
          <w:color w:val="auto"/>
        </w:rPr>
        <w:t>SUPREME PROTEIN, LLC</w:t>
      </w:r>
    </w:p>
    <w:p>
      <w:pPr>
        <w:spacing w:after="0" w:line="253" w:lineRule="exact"/>
        <w:rPr>
          <w:sz w:val="20"/>
          <w:szCs w:val="20"/>
          <w:color w:val="auto"/>
        </w:rPr>
      </w:pPr>
    </w:p>
    <w:p>
      <w:pPr>
        <w:ind w:left="2140"/>
        <w:spacing w:after="0"/>
        <w:tabs>
          <w:tab w:leader="none" w:pos="2640" w:val="left"/>
        </w:tabs>
        <w:rPr>
          <w:sz w:val="20"/>
          <w:szCs w:val="20"/>
          <w:color w:val="auto"/>
        </w:rPr>
      </w:pPr>
      <w:r>
        <w:rPr>
          <w:rFonts w:ascii="Times New Roman" w:cs="Times New Roman" w:eastAsia="Times New Roman" w:hAnsi="Times New Roman"/>
          <w:sz w:val="21"/>
          <w:szCs w:val="21"/>
          <w:color w:val="auto"/>
        </w:rPr>
        <w:t>By:</w:t>
        <w:tab/>
        <w:t>/s/ Paul A Rode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1691640</wp:posOffset>
            </wp:positionH>
            <wp:positionV relativeFrom="paragraph">
              <wp:posOffset>-8890</wp:posOffset>
            </wp:positionV>
            <wp:extent cx="98361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3">
                      <a:extLst>
                        <a:ext uri="{28A0092B-C50C-407E-A947-70E740481C1C}"/>
                      </a:extLst>
                    </a:blip>
                    <a:srcRect/>
                    <a:stretch>
                      <a:fillRect/>
                    </a:stretch>
                  </pic:blipFill>
                  <pic:spPr bwMode="auto">
                    <a:xfrm>
                      <a:off x="0" y="0"/>
                      <a:ext cx="983615" cy="8255"/>
                    </a:xfrm>
                    <a:prstGeom prst="rect">
                      <a:avLst/>
                    </a:prstGeom>
                    <a:noFill/>
                  </pic:spPr>
                </pic:pic>
              </a:graphicData>
            </a:graphic>
          </wp:anchor>
        </w:drawing>
      </w:r>
    </w:p>
    <w:p>
      <w:pPr>
        <w:spacing w:after="0" w:line="1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1"/>
          <w:szCs w:val="21"/>
          <w:color w:val="auto"/>
        </w:rPr>
        <w:t>Name: Paul A. Rode</w:t>
      </w:r>
    </w:p>
    <w:p>
      <w:pPr>
        <w:spacing w:after="0" w:line="1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1"/>
          <w:szCs w:val="21"/>
          <w:color w:val="auto"/>
        </w:rPr>
        <w:t>Title: Chief Financial Officer</w:t>
      </w:r>
    </w:p>
    <w:p>
      <w:pPr>
        <w:spacing w:after="0" w:line="200" w:lineRule="exact"/>
        <w:rPr>
          <w:sz w:val="20"/>
          <w:szCs w:val="20"/>
          <w:color w:val="auto"/>
        </w:rPr>
      </w:pPr>
    </w:p>
    <w:p>
      <w:pPr>
        <w:spacing w:after="0" w:line="21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0"/>
          <w:szCs w:val="20"/>
          <w:b w:val="1"/>
          <w:bCs w:val="1"/>
          <w:color w:val="auto"/>
        </w:rPr>
        <w:t>PREMIER NUTRITION COMPANY, LLC</w:t>
      </w:r>
    </w:p>
    <w:p>
      <w:pPr>
        <w:spacing w:after="0" w:line="264" w:lineRule="exact"/>
        <w:rPr>
          <w:sz w:val="20"/>
          <w:szCs w:val="20"/>
          <w:color w:val="auto"/>
        </w:rPr>
      </w:pPr>
    </w:p>
    <w:p>
      <w:pPr>
        <w:ind w:left="2140"/>
        <w:spacing w:after="0"/>
        <w:tabs>
          <w:tab w:leader="none" w:pos="2640" w:val="left"/>
        </w:tabs>
        <w:rPr>
          <w:sz w:val="20"/>
          <w:szCs w:val="20"/>
          <w:color w:val="auto"/>
        </w:rPr>
      </w:pPr>
      <w:r>
        <w:rPr>
          <w:rFonts w:ascii="Times New Roman" w:cs="Times New Roman" w:eastAsia="Times New Roman" w:hAnsi="Times New Roman"/>
          <w:sz w:val="21"/>
          <w:szCs w:val="21"/>
          <w:color w:val="auto"/>
        </w:rPr>
        <w:t>By:</w:t>
        <w:tab/>
        <w:t>/s/ Paul A Rode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1691640</wp:posOffset>
            </wp:positionH>
            <wp:positionV relativeFrom="paragraph">
              <wp:posOffset>-8890</wp:posOffset>
            </wp:positionV>
            <wp:extent cx="98361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4">
                      <a:extLst>
                        <a:ext uri="{28A0092B-C50C-407E-A947-70E740481C1C}"/>
                      </a:extLst>
                    </a:blip>
                    <a:srcRect/>
                    <a:stretch>
                      <a:fillRect/>
                    </a:stretch>
                  </pic:blipFill>
                  <pic:spPr bwMode="auto">
                    <a:xfrm>
                      <a:off x="0" y="0"/>
                      <a:ext cx="983615" cy="8255"/>
                    </a:xfrm>
                    <a:prstGeom prst="rect">
                      <a:avLst/>
                    </a:prstGeom>
                    <a:noFill/>
                  </pic:spPr>
                </pic:pic>
              </a:graphicData>
            </a:graphic>
          </wp:anchor>
        </w:drawing>
      </w:r>
    </w:p>
    <w:p>
      <w:pPr>
        <w:spacing w:after="0" w:line="1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1"/>
          <w:szCs w:val="21"/>
          <w:color w:val="auto"/>
        </w:rPr>
        <w:t>Name: Paul A. Rode</w:t>
      </w:r>
    </w:p>
    <w:p>
      <w:pPr>
        <w:spacing w:after="0" w:line="1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1"/>
          <w:szCs w:val="21"/>
          <w:color w:val="auto"/>
        </w:rPr>
        <w:t>Title: Chief Financial Officer</w:t>
      </w:r>
    </w:p>
    <w:p>
      <w:pPr>
        <w:sectPr>
          <w:pgSz w:w="11900" w:h="16838" w:orient="portrait"/>
          <w:cols w:equalWidth="0" w:num="1">
            <w:col w:w="9019"/>
          </w:cols>
          <w:pgMar w:left="1440" w:top="1393" w:right="1440" w:bottom="1440" w:gutter="0" w:footer="0" w:header="0"/>
        </w:sectPr>
      </w:pPr>
    </w:p>
    <w:bookmarkStart w:id="89" w:name="page90"/>
    <w:bookmarkEnd w:id="89"/>
    <w:p>
      <w:pPr>
        <w:ind w:left="2140"/>
        <w:spacing w:after="0" w:line="289" w:lineRule="auto"/>
        <w:rPr>
          <w:sz w:val="20"/>
          <w:szCs w:val="20"/>
          <w:color w:val="auto"/>
        </w:rPr>
      </w:pPr>
      <w:r>
        <w:rPr>
          <w:rFonts w:ascii="Times New Roman" w:cs="Times New Roman" w:eastAsia="Times New Roman" w:hAnsi="Times New Roman"/>
          <w:sz w:val="21"/>
          <w:szCs w:val="21"/>
          <w:b w:val="1"/>
          <w:bCs w:val="1"/>
          <w:color w:val="auto"/>
        </w:rPr>
        <w:t>JPMORGAN CHASE BANK, N.A.</w:t>
      </w:r>
      <w:r>
        <w:rPr>
          <w:rFonts w:ascii="Times New Roman" w:cs="Times New Roman" w:eastAsia="Times New Roman" w:hAnsi="Times New Roman"/>
          <w:sz w:val="21"/>
          <w:szCs w:val="21"/>
          <w:color w:val="auto"/>
        </w:rPr>
        <w:t>, as Administrative Agent, as a Lender and as an L/C</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Issuer</w:t>
      </w:r>
    </w:p>
    <w:p>
      <w:pPr>
        <w:spacing w:after="0" w:line="350" w:lineRule="exact"/>
        <w:rPr>
          <w:sz w:val="20"/>
          <w:szCs w:val="20"/>
          <w:color w:val="auto"/>
        </w:rPr>
      </w:pPr>
    </w:p>
    <w:p>
      <w:pPr>
        <w:ind w:left="2140"/>
        <w:spacing w:after="0"/>
        <w:tabs>
          <w:tab w:leader="none" w:pos="2640" w:val="left"/>
        </w:tabs>
        <w:rPr>
          <w:sz w:val="20"/>
          <w:szCs w:val="20"/>
          <w:color w:val="auto"/>
        </w:rPr>
      </w:pPr>
      <w:r>
        <w:rPr>
          <w:rFonts w:ascii="Times New Roman" w:cs="Times New Roman" w:eastAsia="Times New Roman" w:hAnsi="Times New Roman"/>
          <w:sz w:val="21"/>
          <w:szCs w:val="21"/>
          <w:color w:val="auto"/>
        </w:rPr>
        <w:t>By:</w:t>
        <w:tab/>
        <w:t>/s/ Shivam Joshi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1691640</wp:posOffset>
            </wp:positionH>
            <wp:positionV relativeFrom="paragraph">
              <wp:posOffset>-8890</wp:posOffset>
            </wp:positionV>
            <wp:extent cx="10172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5">
                      <a:extLst>
                        <a:ext uri="{28A0092B-C50C-407E-A947-70E740481C1C}"/>
                      </a:extLst>
                    </a:blip>
                    <a:srcRect/>
                    <a:stretch>
                      <a:fillRect/>
                    </a:stretch>
                  </pic:blipFill>
                  <pic:spPr bwMode="auto">
                    <a:xfrm>
                      <a:off x="0" y="0"/>
                      <a:ext cx="1017270" cy="8255"/>
                    </a:xfrm>
                    <a:prstGeom prst="rect">
                      <a:avLst/>
                    </a:prstGeom>
                    <a:noFill/>
                  </pic:spPr>
                </pic:pic>
              </a:graphicData>
            </a:graphic>
          </wp:anchor>
        </w:drawing>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1"/>
          <w:szCs w:val="21"/>
          <w:color w:val="auto"/>
        </w:rPr>
        <w:t>Name: Shivam Joshi</w:t>
      </w:r>
    </w:p>
    <w:p>
      <w:pPr>
        <w:spacing w:after="0" w:line="2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1"/>
          <w:szCs w:val="21"/>
          <w:color w:val="auto"/>
        </w:rPr>
        <w:t>Title: Vice President</w:t>
      </w:r>
    </w:p>
    <w:p>
      <w:pPr>
        <w:sectPr>
          <w:pgSz w:w="11900" w:h="16838" w:orient="portrait"/>
          <w:cols w:equalWidth="0" w:num="1">
            <w:col w:w="9820"/>
          </w:cols>
          <w:pgMar w:left="1440" w:top="1393" w:right="639" w:bottom="1440" w:gutter="0" w:footer="0" w:header="0"/>
        </w:sectPr>
      </w:pPr>
    </w:p>
    <w:bookmarkStart w:id="90" w:name="page91"/>
    <w:bookmarkEnd w:id="90"/>
    <w:p>
      <w:pPr>
        <w:ind w:left="2140"/>
        <w:spacing w:after="0"/>
        <w:rPr>
          <w:sz w:val="20"/>
          <w:szCs w:val="20"/>
          <w:color w:val="auto"/>
        </w:rPr>
      </w:pPr>
      <w:r>
        <w:rPr>
          <w:rFonts w:ascii="Times New Roman" w:cs="Times New Roman" w:eastAsia="Times New Roman" w:hAnsi="Times New Roman"/>
          <w:sz w:val="21"/>
          <w:szCs w:val="21"/>
          <w:b w:val="1"/>
          <w:bCs w:val="1"/>
          <w:color w:val="auto"/>
        </w:rPr>
        <w:t>Bank of America, N.A.</w:t>
      </w:r>
      <w:r>
        <w:rPr>
          <w:rFonts w:ascii="Times New Roman" w:cs="Times New Roman" w:eastAsia="Times New Roman" w:hAnsi="Times New Roman"/>
          <w:sz w:val="21"/>
          <w:szCs w:val="21"/>
          <w:color w:val="auto"/>
        </w:rPr>
        <w:t>, as Lender</w:t>
      </w:r>
    </w:p>
    <w:p>
      <w:pPr>
        <w:spacing w:after="0" w:line="200" w:lineRule="exact"/>
        <w:rPr>
          <w:sz w:val="20"/>
          <w:szCs w:val="20"/>
          <w:color w:val="auto"/>
        </w:rPr>
      </w:pPr>
    </w:p>
    <w:p>
      <w:pPr>
        <w:spacing w:after="0" w:line="238" w:lineRule="exact"/>
        <w:rPr>
          <w:sz w:val="20"/>
          <w:szCs w:val="20"/>
          <w:color w:val="auto"/>
        </w:rPr>
      </w:pPr>
    </w:p>
    <w:p>
      <w:pPr>
        <w:ind w:left="2140"/>
        <w:spacing w:after="0"/>
        <w:tabs>
          <w:tab w:leader="none" w:pos="2640" w:val="left"/>
        </w:tabs>
        <w:rPr>
          <w:sz w:val="20"/>
          <w:szCs w:val="20"/>
          <w:color w:val="auto"/>
        </w:rPr>
      </w:pPr>
      <w:r>
        <w:rPr>
          <w:rFonts w:ascii="Times New Roman" w:cs="Times New Roman" w:eastAsia="Times New Roman" w:hAnsi="Times New Roman"/>
          <w:sz w:val="21"/>
          <w:szCs w:val="21"/>
          <w:color w:val="auto"/>
        </w:rPr>
        <w:t>By:</w:t>
        <w:tab/>
        <w:t>/s/ J. Casey Cosgrove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1691640</wp:posOffset>
            </wp:positionH>
            <wp:positionV relativeFrom="paragraph">
              <wp:posOffset>-8890</wp:posOffset>
            </wp:positionV>
            <wp:extent cx="129349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6">
                      <a:extLst>
                        <a:ext uri="{28A0092B-C50C-407E-A947-70E740481C1C}"/>
                      </a:extLst>
                    </a:blip>
                    <a:srcRect/>
                    <a:stretch>
                      <a:fillRect/>
                    </a:stretch>
                  </pic:blipFill>
                  <pic:spPr bwMode="auto">
                    <a:xfrm>
                      <a:off x="0" y="0"/>
                      <a:ext cx="1293495" cy="8255"/>
                    </a:xfrm>
                    <a:prstGeom prst="rect">
                      <a:avLst/>
                    </a:prstGeom>
                    <a:noFill/>
                  </pic:spPr>
                </pic:pic>
              </a:graphicData>
            </a:graphic>
          </wp:anchor>
        </w:drawing>
      </w:r>
    </w:p>
    <w:p>
      <w:pPr>
        <w:spacing w:after="0" w:line="1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1"/>
          <w:szCs w:val="21"/>
          <w:color w:val="auto"/>
        </w:rPr>
        <w:t>Name: J. Casey Cosgrove</w:t>
      </w:r>
    </w:p>
    <w:p>
      <w:pPr>
        <w:spacing w:after="0" w:line="1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1"/>
          <w:szCs w:val="21"/>
          <w:color w:val="auto"/>
        </w:rPr>
        <w:t>Title: Managing Director</w:t>
      </w:r>
    </w:p>
    <w:p>
      <w:pPr>
        <w:sectPr>
          <w:pgSz w:w="11900" w:h="16838" w:orient="portrait"/>
          <w:cols w:equalWidth="0" w:num="1">
            <w:col w:w="9019"/>
          </w:cols>
          <w:pgMar w:left="1440" w:top="1393" w:right="1440" w:bottom="1440" w:gutter="0" w:footer="0" w:header="0"/>
        </w:sectPr>
      </w:pPr>
    </w:p>
    <w:bookmarkStart w:id="91" w:name="page92"/>
    <w:bookmarkEnd w:id="91"/>
    <w:p>
      <w:pPr>
        <w:ind w:left="2140"/>
        <w:spacing w:after="0"/>
        <w:rPr>
          <w:sz w:val="20"/>
          <w:szCs w:val="20"/>
          <w:color w:val="auto"/>
        </w:rPr>
      </w:pPr>
      <w:r>
        <w:rPr>
          <w:rFonts w:ascii="Times New Roman" w:cs="Times New Roman" w:eastAsia="Times New Roman" w:hAnsi="Times New Roman"/>
          <w:sz w:val="21"/>
          <w:szCs w:val="21"/>
          <w:b w:val="1"/>
          <w:bCs w:val="1"/>
          <w:color w:val="auto"/>
        </w:rPr>
        <w:t>BARCLAYS BANK PLC</w:t>
      </w:r>
      <w:r>
        <w:rPr>
          <w:rFonts w:ascii="Times New Roman" w:cs="Times New Roman" w:eastAsia="Times New Roman" w:hAnsi="Times New Roman"/>
          <w:sz w:val="21"/>
          <w:szCs w:val="21"/>
          <w:color w:val="auto"/>
        </w:rPr>
        <w:t>, as Lender</w:t>
      </w:r>
    </w:p>
    <w:p>
      <w:pPr>
        <w:spacing w:after="0" w:line="200" w:lineRule="exact"/>
        <w:rPr>
          <w:sz w:val="20"/>
          <w:szCs w:val="20"/>
          <w:color w:val="auto"/>
        </w:rPr>
      </w:pPr>
    </w:p>
    <w:p>
      <w:pPr>
        <w:spacing w:after="0" w:line="238" w:lineRule="exact"/>
        <w:rPr>
          <w:sz w:val="20"/>
          <w:szCs w:val="20"/>
          <w:color w:val="auto"/>
        </w:rPr>
      </w:pPr>
    </w:p>
    <w:p>
      <w:pPr>
        <w:ind w:left="2140"/>
        <w:spacing w:after="0"/>
        <w:tabs>
          <w:tab w:leader="none" w:pos="2640" w:val="left"/>
        </w:tabs>
        <w:rPr>
          <w:sz w:val="20"/>
          <w:szCs w:val="20"/>
          <w:color w:val="auto"/>
        </w:rPr>
      </w:pPr>
      <w:r>
        <w:rPr>
          <w:rFonts w:ascii="Times New Roman" w:cs="Times New Roman" w:eastAsia="Times New Roman" w:hAnsi="Times New Roman"/>
          <w:sz w:val="21"/>
          <w:szCs w:val="21"/>
          <w:color w:val="auto"/>
        </w:rPr>
        <w:t>By:</w:t>
        <w:tab/>
        <w:t>/s/ Ritam Bhalla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1691640</wp:posOffset>
            </wp:positionH>
            <wp:positionV relativeFrom="paragraph">
              <wp:posOffset>-8890</wp:posOffset>
            </wp:positionV>
            <wp:extent cx="100965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7">
                      <a:extLst>
                        <a:ext uri="{28A0092B-C50C-407E-A947-70E740481C1C}"/>
                      </a:extLst>
                    </a:blip>
                    <a:srcRect/>
                    <a:stretch>
                      <a:fillRect/>
                    </a:stretch>
                  </pic:blipFill>
                  <pic:spPr bwMode="auto">
                    <a:xfrm>
                      <a:off x="0" y="0"/>
                      <a:ext cx="1009650" cy="8255"/>
                    </a:xfrm>
                    <a:prstGeom prst="rect">
                      <a:avLst/>
                    </a:prstGeom>
                    <a:noFill/>
                  </pic:spPr>
                </pic:pic>
              </a:graphicData>
            </a:graphic>
          </wp:anchor>
        </w:drawing>
      </w:r>
    </w:p>
    <w:p>
      <w:pPr>
        <w:spacing w:after="0" w:line="1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1"/>
          <w:szCs w:val="21"/>
          <w:color w:val="auto"/>
        </w:rPr>
        <w:t>Name: Ritam Bhalla</w:t>
      </w:r>
    </w:p>
    <w:p>
      <w:pPr>
        <w:spacing w:after="0" w:line="1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1"/>
          <w:szCs w:val="21"/>
          <w:color w:val="auto"/>
        </w:rPr>
        <w:t>Title: Director</w:t>
      </w:r>
    </w:p>
    <w:p>
      <w:pPr>
        <w:sectPr>
          <w:pgSz w:w="11900" w:h="16838" w:orient="portrait"/>
          <w:cols w:equalWidth="0" w:num="1">
            <w:col w:w="9019"/>
          </w:cols>
          <w:pgMar w:left="1440" w:top="1393" w:right="1440" w:bottom="1440" w:gutter="0" w:footer="0" w:header="0"/>
        </w:sectPr>
      </w:pPr>
    </w:p>
    <w:bookmarkStart w:id="92" w:name="page93"/>
    <w:bookmarkEnd w:id="92"/>
    <w:p>
      <w:pPr>
        <w:ind w:left="2140"/>
        <w:spacing w:after="0"/>
        <w:rPr>
          <w:sz w:val="20"/>
          <w:szCs w:val="20"/>
          <w:color w:val="auto"/>
        </w:rPr>
      </w:pPr>
      <w:r>
        <w:rPr>
          <w:rFonts w:ascii="Times New Roman" w:cs="Times New Roman" w:eastAsia="Times New Roman" w:hAnsi="Times New Roman"/>
          <w:sz w:val="21"/>
          <w:szCs w:val="21"/>
          <w:b w:val="1"/>
          <w:bCs w:val="1"/>
          <w:color w:val="auto"/>
        </w:rPr>
        <w:t>Citibank, N.A.</w:t>
      </w:r>
      <w:r>
        <w:rPr>
          <w:rFonts w:ascii="Times New Roman" w:cs="Times New Roman" w:eastAsia="Times New Roman" w:hAnsi="Times New Roman"/>
          <w:sz w:val="21"/>
          <w:szCs w:val="21"/>
          <w:color w:val="auto"/>
        </w:rPr>
        <w:t>, as Lender</w:t>
      </w:r>
    </w:p>
    <w:p>
      <w:pPr>
        <w:spacing w:after="0" w:line="200" w:lineRule="exact"/>
        <w:rPr>
          <w:sz w:val="20"/>
          <w:szCs w:val="20"/>
          <w:color w:val="auto"/>
        </w:rPr>
      </w:pPr>
    </w:p>
    <w:p>
      <w:pPr>
        <w:spacing w:after="0" w:line="238" w:lineRule="exact"/>
        <w:rPr>
          <w:sz w:val="20"/>
          <w:szCs w:val="20"/>
          <w:color w:val="auto"/>
        </w:rPr>
      </w:pPr>
    </w:p>
    <w:p>
      <w:pPr>
        <w:ind w:left="2140"/>
        <w:spacing w:after="0"/>
        <w:tabs>
          <w:tab w:leader="none" w:pos="2640" w:val="left"/>
        </w:tabs>
        <w:rPr>
          <w:sz w:val="20"/>
          <w:szCs w:val="20"/>
          <w:color w:val="auto"/>
        </w:rPr>
      </w:pPr>
      <w:r>
        <w:rPr>
          <w:rFonts w:ascii="Times New Roman" w:cs="Times New Roman" w:eastAsia="Times New Roman" w:hAnsi="Times New Roman"/>
          <w:sz w:val="21"/>
          <w:szCs w:val="21"/>
          <w:color w:val="auto"/>
        </w:rPr>
        <w:t>By:</w:t>
        <w:tab/>
        <w:t>/s/ Albert Sutton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1691640</wp:posOffset>
            </wp:positionH>
            <wp:positionV relativeFrom="paragraph">
              <wp:posOffset>-8890</wp:posOffset>
            </wp:positionV>
            <wp:extent cx="10248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8">
                      <a:extLst>
                        <a:ext uri="{28A0092B-C50C-407E-A947-70E740481C1C}"/>
                      </a:extLst>
                    </a:blip>
                    <a:srcRect/>
                    <a:stretch>
                      <a:fillRect/>
                    </a:stretch>
                  </pic:blipFill>
                  <pic:spPr bwMode="auto">
                    <a:xfrm>
                      <a:off x="0" y="0"/>
                      <a:ext cx="1024890" cy="8255"/>
                    </a:xfrm>
                    <a:prstGeom prst="rect">
                      <a:avLst/>
                    </a:prstGeom>
                    <a:noFill/>
                  </pic:spPr>
                </pic:pic>
              </a:graphicData>
            </a:graphic>
          </wp:anchor>
        </w:drawing>
      </w:r>
    </w:p>
    <w:p>
      <w:pPr>
        <w:spacing w:after="0" w:line="1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1"/>
          <w:szCs w:val="21"/>
          <w:color w:val="auto"/>
        </w:rPr>
        <w:t>Name: Albert Sutton</w:t>
      </w:r>
    </w:p>
    <w:p>
      <w:pPr>
        <w:spacing w:after="0" w:line="1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1"/>
          <w:szCs w:val="21"/>
          <w:color w:val="auto"/>
        </w:rPr>
        <w:t>Title: Vice President</w:t>
      </w:r>
    </w:p>
    <w:p>
      <w:pPr>
        <w:sectPr>
          <w:pgSz w:w="11900" w:h="16838" w:orient="portrait"/>
          <w:cols w:equalWidth="0" w:num="1">
            <w:col w:w="9019"/>
          </w:cols>
          <w:pgMar w:left="1440" w:top="1393" w:right="1440" w:bottom="1440" w:gutter="0" w:footer="0" w:header="0"/>
        </w:sectPr>
      </w:pPr>
    </w:p>
    <w:bookmarkStart w:id="93" w:name="page94"/>
    <w:bookmarkEnd w:id="93"/>
    <w:p>
      <w:pPr>
        <w:ind w:left="2140"/>
        <w:spacing w:after="0"/>
        <w:rPr>
          <w:sz w:val="20"/>
          <w:szCs w:val="20"/>
          <w:color w:val="auto"/>
        </w:rPr>
      </w:pPr>
      <w:r>
        <w:rPr>
          <w:rFonts w:ascii="Times New Roman" w:cs="Times New Roman" w:eastAsia="Times New Roman" w:hAnsi="Times New Roman"/>
          <w:sz w:val="21"/>
          <w:szCs w:val="21"/>
          <w:b w:val="1"/>
          <w:bCs w:val="1"/>
          <w:color w:val="auto"/>
        </w:rPr>
        <w:t>COÖPERATIEVE RABOBANK U.A., NEW YORK BRANCH</w:t>
      </w:r>
      <w:r>
        <w:rPr>
          <w:rFonts w:ascii="Times New Roman" w:cs="Times New Roman" w:eastAsia="Times New Roman" w:hAnsi="Times New Roman"/>
          <w:sz w:val="21"/>
          <w:szCs w:val="21"/>
          <w:color w:val="auto"/>
        </w:rPr>
        <w:t>, as Lender</w:t>
      </w:r>
    </w:p>
    <w:p>
      <w:pPr>
        <w:spacing w:after="0" w:line="200" w:lineRule="exact"/>
        <w:rPr>
          <w:sz w:val="20"/>
          <w:szCs w:val="20"/>
          <w:color w:val="auto"/>
        </w:rPr>
      </w:pPr>
    </w:p>
    <w:p>
      <w:pPr>
        <w:spacing w:after="0" w:line="238" w:lineRule="exact"/>
        <w:rPr>
          <w:sz w:val="20"/>
          <w:szCs w:val="20"/>
          <w:color w:val="auto"/>
        </w:rPr>
      </w:pPr>
    </w:p>
    <w:p>
      <w:pPr>
        <w:ind w:left="2140"/>
        <w:spacing w:after="0"/>
        <w:tabs>
          <w:tab w:leader="none" w:pos="2640" w:val="left"/>
        </w:tabs>
        <w:rPr>
          <w:sz w:val="20"/>
          <w:szCs w:val="20"/>
          <w:color w:val="auto"/>
        </w:rPr>
      </w:pPr>
      <w:r>
        <w:rPr>
          <w:rFonts w:ascii="Times New Roman" w:cs="Times New Roman" w:eastAsia="Times New Roman" w:hAnsi="Times New Roman"/>
          <w:sz w:val="21"/>
          <w:szCs w:val="21"/>
          <w:color w:val="auto"/>
        </w:rPr>
        <w:t>By:</w:t>
        <w:tab/>
        <w:t>/s/ Michael Falter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1691640</wp:posOffset>
            </wp:positionH>
            <wp:positionV relativeFrom="paragraph">
              <wp:posOffset>-8890</wp:posOffset>
            </wp:positionV>
            <wp:extent cx="108394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9">
                      <a:extLst>
                        <a:ext uri="{28A0092B-C50C-407E-A947-70E740481C1C}"/>
                      </a:extLst>
                    </a:blip>
                    <a:srcRect/>
                    <a:stretch>
                      <a:fillRect/>
                    </a:stretch>
                  </pic:blipFill>
                  <pic:spPr bwMode="auto">
                    <a:xfrm>
                      <a:off x="0" y="0"/>
                      <a:ext cx="1083945" cy="8255"/>
                    </a:xfrm>
                    <a:prstGeom prst="rect">
                      <a:avLst/>
                    </a:prstGeom>
                    <a:noFill/>
                  </pic:spPr>
                </pic:pic>
              </a:graphicData>
            </a:graphic>
          </wp:anchor>
        </w:drawing>
      </w:r>
    </w:p>
    <w:p>
      <w:pPr>
        <w:spacing w:after="0" w:line="1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1"/>
          <w:szCs w:val="21"/>
          <w:color w:val="auto"/>
        </w:rPr>
        <w:t>Name: Michael Falter</w:t>
      </w:r>
    </w:p>
    <w:p>
      <w:pPr>
        <w:spacing w:after="0" w:line="1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1"/>
          <w:szCs w:val="21"/>
          <w:color w:val="auto"/>
        </w:rPr>
        <w:t>Title: Managing Director</w:t>
      </w:r>
    </w:p>
    <w:p>
      <w:pPr>
        <w:sectPr>
          <w:pgSz w:w="11900" w:h="16838" w:orient="portrait"/>
          <w:cols w:equalWidth="0" w:num="1">
            <w:col w:w="9019"/>
          </w:cols>
          <w:pgMar w:left="1440" w:top="1393" w:right="1440" w:bottom="1440" w:gutter="0" w:footer="0" w:header="0"/>
        </w:sectPr>
      </w:pPr>
    </w:p>
    <w:bookmarkStart w:id="94" w:name="page95"/>
    <w:bookmarkEnd w:id="94"/>
    <w:p>
      <w:pPr>
        <w:ind w:left="2140"/>
        <w:spacing w:after="0"/>
        <w:rPr>
          <w:sz w:val="20"/>
          <w:szCs w:val="20"/>
          <w:color w:val="auto"/>
        </w:rPr>
      </w:pPr>
      <w:r>
        <w:rPr>
          <w:rFonts w:ascii="Times New Roman" w:cs="Times New Roman" w:eastAsia="Times New Roman" w:hAnsi="Times New Roman"/>
          <w:sz w:val="21"/>
          <w:szCs w:val="21"/>
          <w:b w:val="1"/>
          <w:bCs w:val="1"/>
          <w:color w:val="auto"/>
        </w:rPr>
        <w:t>Morgan Stanley Senior Funding, Inc.</w:t>
      </w:r>
      <w:r>
        <w:rPr>
          <w:rFonts w:ascii="Times New Roman" w:cs="Times New Roman" w:eastAsia="Times New Roman" w:hAnsi="Times New Roman"/>
          <w:sz w:val="21"/>
          <w:szCs w:val="21"/>
          <w:color w:val="auto"/>
        </w:rPr>
        <w:t>, as Lender</w:t>
      </w:r>
    </w:p>
    <w:p>
      <w:pPr>
        <w:spacing w:after="0" w:line="200" w:lineRule="exact"/>
        <w:rPr>
          <w:sz w:val="20"/>
          <w:szCs w:val="20"/>
          <w:color w:val="auto"/>
        </w:rPr>
      </w:pPr>
    </w:p>
    <w:p>
      <w:pPr>
        <w:spacing w:after="0" w:line="238" w:lineRule="exact"/>
        <w:rPr>
          <w:sz w:val="20"/>
          <w:szCs w:val="20"/>
          <w:color w:val="auto"/>
        </w:rPr>
      </w:pPr>
    </w:p>
    <w:p>
      <w:pPr>
        <w:ind w:left="2140"/>
        <w:spacing w:after="0"/>
        <w:tabs>
          <w:tab w:leader="none" w:pos="2640" w:val="left"/>
        </w:tabs>
        <w:rPr>
          <w:sz w:val="20"/>
          <w:szCs w:val="20"/>
          <w:color w:val="auto"/>
        </w:rPr>
      </w:pPr>
      <w:r>
        <w:rPr>
          <w:rFonts w:ascii="Times New Roman" w:cs="Times New Roman" w:eastAsia="Times New Roman" w:hAnsi="Times New Roman"/>
          <w:sz w:val="21"/>
          <w:szCs w:val="21"/>
          <w:color w:val="auto"/>
        </w:rPr>
        <w:t>By:</w:t>
        <w:tab/>
        <w:t>/s/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1691640</wp:posOffset>
            </wp:positionH>
            <wp:positionV relativeFrom="paragraph">
              <wp:posOffset>-8890</wp:posOffset>
            </wp:positionV>
            <wp:extent cx="103949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0">
                      <a:extLst>
                        <a:ext uri="{28A0092B-C50C-407E-A947-70E740481C1C}"/>
                      </a:extLst>
                    </a:blip>
                    <a:srcRect/>
                    <a:stretch>
                      <a:fillRect/>
                    </a:stretch>
                  </pic:blipFill>
                  <pic:spPr bwMode="auto">
                    <a:xfrm>
                      <a:off x="0" y="0"/>
                      <a:ext cx="1039495" cy="8255"/>
                    </a:xfrm>
                    <a:prstGeom prst="rect">
                      <a:avLst/>
                    </a:prstGeom>
                    <a:noFill/>
                  </pic:spPr>
                </pic:pic>
              </a:graphicData>
            </a:graphic>
          </wp:anchor>
        </w:drawing>
      </w:r>
    </w:p>
    <w:p>
      <w:pPr>
        <w:spacing w:after="0" w:line="1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1"/>
          <w:szCs w:val="21"/>
          <w:color w:val="auto"/>
        </w:rPr>
        <w:t>Name: Michael King</w:t>
      </w:r>
    </w:p>
    <w:p>
      <w:pPr>
        <w:spacing w:after="0" w:line="1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1"/>
          <w:szCs w:val="21"/>
          <w:color w:val="auto"/>
        </w:rPr>
        <w:t>Title: Vice President</w:t>
      </w:r>
    </w:p>
    <w:p>
      <w:pPr>
        <w:sectPr>
          <w:pgSz w:w="11900" w:h="16838" w:orient="portrait"/>
          <w:cols w:equalWidth="0" w:num="1">
            <w:col w:w="9019"/>
          </w:cols>
          <w:pgMar w:left="1440" w:top="1393" w:right="1440" w:bottom="1440" w:gutter="0" w:footer="0" w:header="0"/>
        </w:sectPr>
      </w:pPr>
    </w:p>
    <w:bookmarkStart w:id="95" w:name="page96"/>
    <w:bookmarkEnd w:id="95"/>
    <w:p>
      <w:pPr>
        <w:ind w:left="2140"/>
        <w:spacing w:after="0"/>
        <w:rPr>
          <w:sz w:val="20"/>
          <w:szCs w:val="20"/>
          <w:color w:val="auto"/>
        </w:rPr>
      </w:pPr>
      <w:r>
        <w:rPr>
          <w:rFonts w:ascii="Times New Roman" w:cs="Times New Roman" w:eastAsia="Times New Roman" w:hAnsi="Times New Roman"/>
          <w:sz w:val="21"/>
          <w:szCs w:val="21"/>
          <w:b w:val="1"/>
          <w:bCs w:val="1"/>
          <w:color w:val="auto"/>
        </w:rPr>
        <w:t>PNC Bank, National Association</w:t>
      </w:r>
      <w:r>
        <w:rPr>
          <w:rFonts w:ascii="Times New Roman" w:cs="Times New Roman" w:eastAsia="Times New Roman" w:hAnsi="Times New Roman"/>
          <w:sz w:val="21"/>
          <w:szCs w:val="21"/>
          <w:color w:val="auto"/>
        </w:rPr>
        <w:t>, as Lender</w:t>
      </w:r>
    </w:p>
    <w:p>
      <w:pPr>
        <w:spacing w:after="0" w:line="200" w:lineRule="exact"/>
        <w:rPr>
          <w:sz w:val="20"/>
          <w:szCs w:val="20"/>
          <w:color w:val="auto"/>
        </w:rPr>
      </w:pPr>
    </w:p>
    <w:p>
      <w:pPr>
        <w:spacing w:after="0" w:line="238" w:lineRule="exact"/>
        <w:rPr>
          <w:sz w:val="20"/>
          <w:szCs w:val="20"/>
          <w:color w:val="auto"/>
        </w:rPr>
      </w:pPr>
    </w:p>
    <w:p>
      <w:pPr>
        <w:ind w:left="2140"/>
        <w:spacing w:after="0"/>
        <w:tabs>
          <w:tab w:leader="none" w:pos="2640" w:val="left"/>
        </w:tabs>
        <w:rPr>
          <w:sz w:val="20"/>
          <w:szCs w:val="20"/>
          <w:color w:val="auto"/>
        </w:rPr>
      </w:pPr>
      <w:r>
        <w:rPr>
          <w:rFonts w:ascii="Times New Roman" w:cs="Times New Roman" w:eastAsia="Times New Roman" w:hAnsi="Times New Roman"/>
          <w:sz w:val="21"/>
          <w:szCs w:val="21"/>
          <w:color w:val="auto"/>
        </w:rPr>
        <w:t>By:</w:t>
        <w:tab/>
        <w:t>/s/ Caleb Shapkoff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1691640</wp:posOffset>
            </wp:positionH>
            <wp:positionV relativeFrom="paragraph">
              <wp:posOffset>-8890</wp:posOffset>
            </wp:positionV>
            <wp:extent cx="113411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1">
                      <a:extLst>
                        <a:ext uri="{28A0092B-C50C-407E-A947-70E740481C1C}"/>
                      </a:extLst>
                    </a:blip>
                    <a:srcRect/>
                    <a:stretch>
                      <a:fillRect/>
                    </a:stretch>
                  </pic:blipFill>
                  <pic:spPr bwMode="auto">
                    <a:xfrm>
                      <a:off x="0" y="0"/>
                      <a:ext cx="1134110" cy="8255"/>
                    </a:xfrm>
                    <a:prstGeom prst="rect">
                      <a:avLst/>
                    </a:prstGeom>
                    <a:noFill/>
                  </pic:spPr>
                </pic:pic>
              </a:graphicData>
            </a:graphic>
          </wp:anchor>
        </w:drawing>
      </w:r>
    </w:p>
    <w:p>
      <w:pPr>
        <w:spacing w:after="0" w:line="1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1"/>
          <w:szCs w:val="21"/>
          <w:color w:val="auto"/>
        </w:rPr>
        <w:t>Name: Caleb Shapkoff</w:t>
      </w:r>
    </w:p>
    <w:p>
      <w:pPr>
        <w:spacing w:after="0" w:line="1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1"/>
          <w:szCs w:val="21"/>
          <w:color w:val="auto"/>
        </w:rPr>
        <w:t>Title: Senior Vice President</w:t>
      </w:r>
    </w:p>
    <w:p>
      <w:pPr>
        <w:sectPr>
          <w:pgSz w:w="11900" w:h="16838" w:orient="portrait"/>
          <w:cols w:equalWidth="0" w:num="1">
            <w:col w:w="9019"/>
          </w:cols>
          <w:pgMar w:left="1440" w:top="1393" w:right="1440" w:bottom="1440" w:gutter="0" w:footer="0" w:header="0"/>
        </w:sectPr>
      </w:pPr>
    </w:p>
    <w:bookmarkStart w:id="96" w:name="page97"/>
    <w:bookmarkEnd w:id="96"/>
    <w:p>
      <w:pPr>
        <w:ind w:left="2140"/>
        <w:spacing w:after="0"/>
        <w:rPr>
          <w:sz w:val="20"/>
          <w:szCs w:val="20"/>
          <w:color w:val="auto"/>
        </w:rPr>
      </w:pPr>
      <w:r>
        <w:rPr>
          <w:rFonts w:ascii="Times New Roman" w:cs="Times New Roman" w:eastAsia="Times New Roman" w:hAnsi="Times New Roman"/>
          <w:sz w:val="21"/>
          <w:szCs w:val="21"/>
          <w:b w:val="1"/>
          <w:bCs w:val="1"/>
          <w:color w:val="auto"/>
        </w:rPr>
        <w:t>TRUIST BANK</w:t>
      </w:r>
      <w:r>
        <w:rPr>
          <w:rFonts w:ascii="Times New Roman" w:cs="Times New Roman" w:eastAsia="Times New Roman" w:hAnsi="Times New Roman"/>
          <w:sz w:val="21"/>
          <w:szCs w:val="21"/>
          <w:color w:val="auto"/>
        </w:rPr>
        <w:t>, as Lender</w:t>
      </w:r>
    </w:p>
    <w:p>
      <w:pPr>
        <w:spacing w:after="0" w:line="200" w:lineRule="exact"/>
        <w:rPr>
          <w:sz w:val="20"/>
          <w:szCs w:val="20"/>
          <w:color w:val="auto"/>
        </w:rPr>
      </w:pPr>
    </w:p>
    <w:p>
      <w:pPr>
        <w:spacing w:after="0" w:line="238" w:lineRule="exact"/>
        <w:rPr>
          <w:sz w:val="20"/>
          <w:szCs w:val="20"/>
          <w:color w:val="auto"/>
        </w:rPr>
      </w:pPr>
    </w:p>
    <w:p>
      <w:pPr>
        <w:ind w:left="2140"/>
        <w:spacing w:after="0"/>
        <w:tabs>
          <w:tab w:leader="none" w:pos="2640" w:val="left"/>
        </w:tabs>
        <w:rPr>
          <w:sz w:val="20"/>
          <w:szCs w:val="20"/>
          <w:color w:val="auto"/>
        </w:rPr>
      </w:pPr>
      <w:r>
        <w:rPr>
          <w:rFonts w:ascii="Times New Roman" w:cs="Times New Roman" w:eastAsia="Times New Roman" w:hAnsi="Times New Roman"/>
          <w:sz w:val="21"/>
          <w:szCs w:val="21"/>
          <w:color w:val="auto"/>
        </w:rPr>
        <w:t>By:</w:t>
        <w:tab/>
        <w:t>/s/ J. Carols Navarrete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1691640</wp:posOffset>
            </wp:positionH>
            <wp:positionV relativeFrom="paragraph">
              <wp:posOffset>-8890</wp:posOffset>
            </wp:positionV>
            <wp:extent cx="133096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2">
                      <a:extLst>
                        <a:ext uri="{28A0092B-C50C-407E-A947-70E740481C1C}"/>
                      </a:extLst>
                    </a:blip>
                    <a:srcRect/>
                    <a:stretch>
                      <a:fillRect/>
                    </a:stretch>
                  </pic:blipFill>
                  <pic:spPr bwMode="auto">
                    <a:xfrm>
                      <a:off x="0" y="0"/>
                      <a:ext cx="1330960" cy="8255"/>
                    </a:xfrm>
                    <a:prstGeom prst="rect">
                      <a:avLst/>
                    </a:prstGeom>
                    <a:noFill/>
                  </pic:spPr>
                </pic:pic>
              </a:graphicData>
            </a:graphic>
          </wp:anchor>
        </w:drawing>
      </w:r>
    </w:p>
    <w:p>
      <w:pPr>
        <w:spacing w:after="0" w:line="1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1"/>
          <w:szCs w:val="21"/>
          <w:color w:val="auto"/>
        </w:rPr>
        <w:t>Name: J. Carols Navarrete</w:t>
      </w:r>
    </w:p>
    <w:p>
      <w:pPr>
        <w:spacing w:after="0" w:line="1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1"/>
          <w:szCs w:val="21"/>
          <w:color w:val="auto"/>
        </w:rPr>
        <w:t>Title: Director</w:t>
      </w:r>
    </w:p>
    <w:p>
      <w:pPr>
        <w:sectPr>
          <w:pgSz w:w="11900" w:h="16838" w:orient="portrait"/>
          <w:cols w:equalWidth="0" w:num="1">
            <w:col w:w="9019"/>
          </w:cols>
          <w:pgMar w:left="1440" w:top="1393" w:right="1440" w:bottom="1440" w:gutter="0" w:footer="0" w:header="0"/>
        </w:sectPr>
      </w:pPr>
    </w:p>
    <w:bookmarkStart w:id="97" w:name="page98"/>
    <w:bookmarkEnd w:id="97"/>
    <w:p>
      <w:pPr>
        <w:ind w:left="2140"/>
        <w:spacing w:after="0"/>
        <w:rPr>
          <w:sz w:val="20"/>
          <w:szCs w:val="20"/>
          <w:color w:val="auto"/>
        </w:rPr>
      </w:pPr>
      <w:r>
        <w:rPr>
          <w:rFonts w:ascii="Times New Roman" w:cs="Times New Roman" w:eastAsia="Times New Roman" w:hAnsi="Times New Roman"/>
          <w:sz w:val="21"/>
          <w:szCs w:val="21"/>
          <w:b w:val="1"/>
          <w:bCs w:val="1"/>
          <w:color w:val="auto"/>
        </w:rPr>
        <w:t>UBS AG, STAMFORD BRANCH</w:t>
      </w:r>
      <w:r>
        <w:rPr>
          <w:rFonts w:ascii="Times New Roman" w:cs="Times New Roman" w:eastAsia="Times New Roman" w:hAnsi="Times New Roman"/>
          <w:sz w:val="21"/>
          <w:szCs w:val="21"/>
          <w:color w:val="auto"/>
        </w:rPr>
        <w:t>, as Lender</w:t>
      </w:r>
    </w:p>
    <w:p>
      <w:pPr>
        <w:spacing w:after="0" w:line="200" w:lineRule="exact"/>
        <w:rPr>
          <w:sz w:val="20"/>
          <w:szCs w:val="20"/>
          <w:color w:val="auto"/>
        </w:rPr>
      </w:pPr>
    </w:p>
    <w:p>
      <w:pPr>
        <w:spacing w:after="0" w:line="238" w:lineRule="exact"/>
        <w:rPr>
          <w:sz w:val="20"/>
          <w:szCs w:val="20"/>
          <w:color w:val="auto"/>
        </w:rPr>
      </w:pPr>
    </w:p>
    <w:p>
      <w:pPr>
        <w:ind w:left="2140"/>
        <w:spacing w:after="0"/>
        <w:tabs>
          <w:tab w:leader="none" w:pos="2640" w:val="left"/>
        </w:tabs>
        <w:rPr>
          <w:sz w:val="20"/>
          <w:szCs w:val="20"/>
          <w:color w:val="auto"/>
        </w:rPr>
      </w:pPr>
      <w:r>
        <w:rPr>
          <w:rFonts w:ascii="Times New Roman" w:cs="Times New Roman" w:eastAsia="Times New Roman" w:hAnsi="Times New Roman"/>
          <w:sz w:val="21"/>
          <w:szCs w:val="21"/>
          <w:color w:val="auto"/>
        </w:rPr>
        <w:t>By:</w:t>
        <w:tab/>
        <w:t>/s/ Joselin Fernandes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1691640</wp:posOffset>
            </wp:positionH>
            <wp:positionV relativeFrom="paragraph">
              <wp:posOffset>-8890</wp:posOffset>
            </wp:positionV>
            <wp:extent cx="125603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3">
                      <a:extLst>
                        <a:ext uri="{28A0092B-C50C-407E-A947-70E740481C1C}"/>
                      </a:extLst>
                    </a:blip>
                    <a:srcRect/>
                    <a:stretch>
                      <a:fillRect/>
                    </a:stretch>
                  </pic:blipFill>
                  <pic:spPr bwMode="auto">
                    <a:xfrm>
                      <a:off x="0" y="0"/>
                      <a:ext cx="1256030" cy="8255"/>
                    </a:xfrm>
                    <a:prstGeom prst="rect">
                      <a:avLst/>
                    </a:prstGeom>
                    <a:noFill/>
                  </pic:spPr>
                </pic:pic>
              </a:graphicData>
            </a:graphic>
          </wp:anchor>
        </w:drawing>
      </w:r>
    </w:p>
    <w:p>
      <w:pPr>
        <w:spacing w:after="0" w:line="1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1"/>
          <w:szCs w:val="21"/>
          <w:color w:val="auto"/>
        </w:rPr>
        <w:t>Name: Joselin Fernandes</w:t>
      </w:r>
    </w:p>
    <w:p>
      <w:pPr>
        <w:spacing w:after="0" w:line="1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1"/>
          <w:szCs w:val="21"/>
          <w:color w:val="auto"/>
        </w:rPr>
        <w:t>Title: Director</w:t>
      </w:r>
    </w:p>
    <w:p>
      <w:pPr>
        <w:spacing w:after="0" w:line="200" w:lineRule="exact"/>
        <w:rPr>
          <w:sz w:val="20"/>
          <w:szCs w:val="20"/>
          <w:color w:val="auto"/>
        </w:rPr>
      </w:pPr>
    </w:p>
    <w:p>
      <w:pPr>
        <w:spacing w:after="0" w:line="222" w:lineRule="exact"/>
        <w:rPr>
          <w:sz w:val="20"/>
          <w:szCs w:val="20"/>
          <w:color w:val="auto"/>
        </w:rPr>
      </w:pPr>
    </w:p>
    <w:p>
      <w:pPr>
        <w:ind w:left="2140"/>
        <w:spacing w:after="0"/>
        <w:tabs>
          <w:tab w:leader="none" w:pos="2640" w:val="left"/>
        </w:tabs>
        <w:rPr>
          <w:sz w:val="20"/>
          <w:szCs w:val="20"/>
          <w:color w:val="auto"/>
        </w:rPr>
      </w:pPr>
      <w:r>
        <w:rPr>
          <w:rFonts w:ascii="Times New Roman" w:cs="Times New Roman" w:eastAsia="Times New Roman" w:hAnsi="Times New Roman"/>
          <w:sz w:val="21"/>
          <w:szCs w:val="21"/>
          <w:color w:val="auto"/>
        </w:rPr>
        <w:t>By:</w:t>
        <w:tab/>
        <w:t>/s/ Larcy Naval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1691640</wp:posOffset>
            </wp:positionH>
            <wp:positionV relativeFrom="paragraph">
              <wp:posOffset>-8890</wp:posOffset>
            </wp:positionV>
            <wp:extent cx="96456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4">
                      <a:extLst>
                        <a:ext uri="{28A0092B-C50C-407E-A947-70E740481C1C}"/>
                      </a:extLst>
                    </a:blip>
                    <a:srcRect/>
                    <a:stretch>
                      <a:fillRect/>
                    </a:stretch>
                  </pic:blipFill>
                  <pic:spPr bwMode="auto">
                    <a:xfrm>
                      <a:off x="0" y="0"/>
                      <a:ext cx="964565" cy="8255"/>
                    </a:xfrm>
                    <a:prstGeom prst="rect">
                      <a:avLst/>
                    </a:prstGeom>
                    <a:noFill/>
                  </pic:spPr>
                </pic:pic>
              </a:graphicData>
            </a:graphic>
          </wp:anchor>
        </w:drawing>
      </w:r>
    </w:p>
    <w:p>
      <w:pPr>
        <w:spacing w:after="0" w:line="1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1"/>
          <w:szCs w:val="21"/>
          <w:color w:val="auto"/>
        </w:rPr>
        <w:t>Name: Larcy Naval</w:t>
      </w:r>
    </w:p>
    <w:p>
      <w:pPr>
        <w:spacing w:after="0" w:line="1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1"/>
          <w:szCs w:val="21"/>
          <w:color w:val="auto"/>
        </w:rPr>
        <w:t>Title: Director</w:t>
      </w:r>
    </w:p>
    <w:p>
      <w:pPr>
        <w:sectPr>
          <w:pgSz w:w="11900" w:h="16838" w:orient="portrait"/>
          <w:cols w:equalWidth="0" w:num="1">
            <w:col w:w="9019"/>
          </w:cols>
          <w:pgMar w:left="1440" w:top="1393" w:right="1440" w:bottom="1440" w:gutter="0" w:footer="0" w:header="0"/>
        </w:sectPr>
      </w:pPr>
    </w:p>
    <w:bookmarkStart w:id="98" w:name="page99"/>
    <w:bookmarkEnd w:id="98"/>
    <w:p>
      <w:pPr>
        <w:jc w:val="center"/>
        <w:ind w:right="139"/>
        <w:spacing w:after="0"/>
        <w:rPr>
          <w:sz w:val="20"/>
          <w:szCs w:val="20"/>
          <w:color w:val="auto"/>
        </w:rPr>
      </w:pPr>
      <w:r>
        <w:rPr>
          <w:rFonts w:ascii="Times New Roman" w:cs="Times New Roman" w:eastAsia="Times New Roman" w:hAnsi="Times New Roman"/>
          <w:sz w:val="21"/>
          <w:szCs w:val="21"/>
          <w:b w:val="1"/>
          <w:bCs w:val="1"/>
          <w:color w:val="auto"/>
        </w:rPr>
        <w:t>Wells Fargo Bank, National Association.</w:t>
      </w:r>
      <w:r>
        <w:rPr>
          <w:rFonts w:ascii="Times New Roman" w:cs="Times New Roman" w:eastAsia="Times New Roman" w:hAnsi="Times New Roman"/>
          <w:sz w:val="21"/>
          <w:szCs w:val="21"/>
          <w:color w:val="auto"/>
        </w:rPr>
        <w:t>, as Lender</w:t>
      </w:r>
    </w:p>
    <w:p>
      <w:pPr>
        <w:spacing w:after="0" w:line="200" w:lineRule="exact"/>
        <w:rPr>
          <w:sz w:val="20"/>
          <w:szCs w:val="20"/>
          <w:color w:val="auto"/>
        </w:rPr>
      </w:pPr>
    </w:p>
    <w:p>
      <w:pPr>
        <w:spacing w:after="0" w:line="238" w:lineRule="exact"/>
        <w:rPr>
          <w:sz w:val="20"/>
          <w:szCs w:val="20"/>
          <w:color w:val="auto"/>
        </w:rPr>
      </w:pPr>
    </w:p>
    <w:p>
      <w:pPr>
        <w:ind w:left="2140"/>
        <w:spacing w:after="0"/>
        <w:tabs>
          <w:tab w:leader="none" w:pos="2640" w:val="left"/>
        </w:tabs>
        <w:rPr>
          <w:sz w:val="20"/>
          <w:szCs w:val="20"/>
          <w:color w:val="auto"/>
        </w:rPr>
      </w:pPr>
      <w:r>
        <w:rPr>
          <w:rFonts w:ascii="Times New Roman" w:cs="Times New Roman" w:eastAsia="Times New Roman" w:hAnsi="Times New Roman"/>
          <w:sz w:val="21"/>
          <w:szCs w:val="21"/>
          <w:color w:val="auto"/>
        </w:rPr>
        <w:t>By:</w:t>
        <w:tab/>
        <w:t>/s/ Michael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1691640</wp:posOffset>
            </wp:positionH>
            <wp:positionV relativeFrom="paragraph">
              <wp:posOffset>-8890</wp:posOffset>
            </wp:positionV>
            <wp:extent cx="99441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5">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1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1"/>
          <w:szCs w:val="21"/>
          <w:color w:val="auto"/>
        </w:rPr>
        <w:t>Name: Michael Day</w:t>
      </w:r>
    </w:p>
    <w:p>
      <w:pPr>
        <w:spacing w:after="0" w:line="1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1"/>
          <w:szCs w:val="21"/>
          <w:color w:val="auto"/>
        </w:rPr>
        <w:t>Title: Vice President</w:t>
      </w:r>
    </w:p>
    <w:p>
      <w:pPr>
        <w:sectPr>
          <w:pgSz w:w="11900" w:h="16838" w:orient="portrait"/>
          <w:cols w:equalWidth="0" w:num="1">
            <w:col w:w="9019"/>
          </w:cols>
          <w:pgMar w:left="1440" w:top="1393" w:right="1440" w:bottom="1440" w:gutter="0" w:footer="0" w:header="0"/>
        </w:sectPr>
      </w:pPr>
    </w:p>
    <w:bookmarkStart w:id="99" w:name="page100"/>
    <w:bookmarkEnd w:id="99"/>
    <w:p>
      <w:pPr>
        <w:jc w:val="center"/>
        <w:ind w:right="19"/>
        <w:spacing w:after="0"/>
        <w:rPr>
          <w:sz w:val="20"/>
          <w:szCs w:val="20"/>
          <w:color w:val="auto"/>
        </w:rPr>
      </w:pPr>
      <w:r>
        <w:rPr>
          <w:rFonts w:ascii="Times New Roman" w:cs="Times New Roman" w:eastAsia="Times New Roman" w:hAnsi="Times New Roman"/>
          <w:sz w:val="21"/>
          <w:szCs w:val="21"/>
          <w:b w:val="1"/>
          <w:bCs w:val="1"/>
          <w:u w:val="single" w:color="auto"/>
          <w:color w:val="auto"/>
        </w:rPr>
        <w:t>EXHIBIT A</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u w:val="single" w:color="auto"/>
          <w:color w:val="auto"/>
        </w:rPr>
        <w:t>Credit Agreement</w:t>
      </w: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[See attached]</w:t>
      </w:r>
    </w:p>
    <w:p>
      <w:pPr>
        <w:sectPr>
          <w:pgSz w:w="11900" w:h="16838" w:orient="portrait"/>
          <w:cols w:equalWidth="0" w:num="1">
            <w:col w:w="9019"/>
          </w:cols>
          <w:pgMar w:left="1440" w:top="1393" w:right="1440" w:bottom="1440" w:gutter="0" w:footer="0" w:header="0"/>
        </w:sectPr>
      </w:pPr>
    </w:p>
    <w:bookmarkStart w:id="100" w:name="page101"/>
    <w:bookmarkEnd w:id="100"/>
    <w:p>
      <w:pPr>
        <w:jc w:val="center"/>
        <w:ind w:right="-680"/>
        <w:spacing w:after="0"/>
        <w:rPr>
          <w:sz w:val="20"/>
          <w:szCs w:val="20"/>
          <w:color w:val="auto"/>
        </w:rPr>
      </w:pPr>
      <w:r>
        <w:rPr>
          <w:rFonts w:ascii="Times New Roman" w:cs="Times New Roman" w:eastAsia="Times New Roman" w:hAnsi="Times New Roman"/>
          <w:sz w:val="21"/>
          <w:szCs w:val="21"/>
          <w:b w:val="1"/>
          <w:bCs w:val="1"/>
          <w:color w:val="auto"/>
        </w:rPr>
        <w:t>CREDIT AGREEMENT</w:t>
      </w:r>
    </w:p>
    <w:p>
      <w:pPr>
        <w:spacing w:after="0" w:line="222"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21"/>
          <w:szCs w:val="21"/>
          <w:b w:val="1"/>
          <w:bCs w:val="1"/>
          <w:color w:val="auto"/>
        </w:rPr>
        <w:t>DATED AS OF MARCH 10, 2022</w:t>
      </w:r>
    </w:p>
    <w:p>
      <w:pPr>
        <w:spacing w:after="0" w:line="222"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21"/>
          <w:szCs w:val="21"/>
          <w:b w:val="1"/>
          <w:bCs w:val="1"/>
          <w:u w:val="single" w:color="auto"/>
          <w:color w:val="0000FF"/>
        </w:rPr>
        <w:t>as amended by the First Amendment to Credit Agreement, dated as of August 22, 2025</w:t>
      </w:r>
    </w:p>
    <w:p>
      <w:pPr>
        <w:spacing w:after="0" w:line="23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1"/>
          <w:szCs w:val="21"/>
          <w:b w:val="1"/>
          <w:bCs w:val="1"/>
          <w:color w:val="auto"/>
        </w:rPr>
        <w:t>AMONG</w:t>
      </w:r>
    </w:p>
    <w:p>
      <w:pPr>
        <w:spacing w:after="0" w:line="22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1"/>
          <w:szCs w:val="21"/>
          <w:b w:val="1"/>
          <w:bCs w:val="1"/>
          <w:color w:val="auto"/>
        </w:rPr>
        <w:t>BELLRING BRANDS, INC.,</w:t>
      </w:r>
    </w:p>
    <w:p>
      <w:pPr>
        <w:spacing w:after="0" w:line="3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b w:val="1"/>
          <w:bCs w:val="1"/>
          <w:color w:val="auto"/>
        </w:rPr>
        <w:t>AS BORROWER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VARIOUS LENDERS,</w:t>
      </w:r>
    </w:p>
    <w:p>
      <w:pPr>
        <w:spacing w:after="0" w:line="222"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21"/>
          <w:szCs w:val="21"/>
          <w:b w:val="1"/>
          <w:bCs w:val="1"/>
          <w:color w:val="auto"/>
        </w:rPr>
        <w:t>AND</w:t>
      </w:r>
    </w:p>
    <w:p>
      <w:pPr>
        <w:spacing w:after="0" w:line="236"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21"/>
          <w:szCs w:val="21"/>
          <w:b w:val="1"/>
          <w:bCs w:val="1"/>
          <w:color w:val="auto"/>
        </w:rPr>
        <w:t>JPMORGAN CHASE BANK, N.A.,</w:t>
      </w:r>
    </w:p>
    <w:p>
      <w:pPr>
        <w:spacing w:after="0" w:line="38"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21"/>
          <w:szCs w:val="21"/>
          <w:b w:val="1"/>
          <w:bCs w:val="1"/>
          <w:color w:val="auto"/>
        </w:rPr>
        <w:t>AS ADMINISTRATIVE AGENT</w:t>
      </w:r>
    </w:p>
    <w:p>
      <w:pPr>
        <w:spacing w:after="0" w:line="10"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1"/>
          <w:szCs w:val="21"/>
          <w:b w:val="1"/>
          <w:bCs w:val="1"/>
          <w:color w:val="auto"/>
        </w:rPr>
        <w:t>_______________________________________________________</w:t>
      </w:r>
    </w:p>
    <w:p>
      <w:pPr>
        <w:spacing w:after="0" w:line="194"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1"/>
          <w:szCs w:val="21"/>
          <w:b w:val="1"/>
          <w:bCs w:val="1"/>
          <w:color w:val="auto"/>
        </w:rPr>
        <w:t>JPMORGAN CHASE BANK, N.A.,</w:t>
      </w:r>
    </w:p>
    <w:p>
      <w:pPr>
        <w:spacing w:after="0" w:line="3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1"/>
          <w:szCs w:val="21"/>
          <w:b w:val="1"/>
          <w:bCs w:val="1"/>
          <w:color w:val="auto"/>
        </w:rPr>
        <w:t>BOFA SECURITIES, INC.,</w:t>
      </w:r>
    </w:p>
    <w:p>
      <w:pPr>
        <w:spacing w:after="0" w:line="1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1"/>
          <w:szCs w:val="21"/>
          <w:b w:val="1"/>
          <w:bCs w:val="1"/>
          <w:color w:val="auto"/>
        </w:rPr>
        <w:t>BARCLAYS BANK PLC,</w:t>
      </w:r>
    </w:p>
    <w:p>
      <w:pPr>
        <w:spacing w:after="0" w:line="1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1"/>
          <w:szCs w:val="21"/>
          <w:b w:val="1"/>
          <w:bCs w:val="1"/>
          <w:color w:val="auto"/>
        </w:rPr>
        <w:t>CITIBANK, N.A.,</w:t>
      </w:r>
    </w:p>
    <w:p>
      <w:pPr>
        <w:spacing w:after="0" w:line="22"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21"/>
          <w:szCs w:val="21"/>
          <w:b w:val="1"/>
          <w:bCs w:val="1"/>
          <w:color w:val="auto"/>
        </w:rPr>
        <w:t>CREDIT SUISSE LOAN FUNDING LLC,</w:t>
      </w:r>
    </w:p>
    <w:p>
      <w:pPr>
        <w:spacing w:after="0" w:line="10"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21"/>
          <w:szCs w:val="21"/>
          <w:b w:val="1"/>
          <w:bCs w:val="1"/>
          <w:color w:val="auto"/>
        </w:rPr>
        <w:t>GOLDMAN SACHS BANK USA,</w:t>
      </w:r>
    </w:p>
    <w:p>
      <w:pPr>
        <w:spacing w:after="0" w:line="10"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21"/>
          <w:szCs w:val="21"/>
          <w:b w:val="1"/>
          <w:bCs w:val="1"/>
          <w:color w:val="auto"/>
        </w:rPr>
        <w:t>MORGAN STANLEY SENIOR FUNDING, INC.</w:t>
      </w:r>
    </w:p>
    <w:p>
      <w:pPr>
        <w:spacing w:after="0" w:line="10"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21"/>
          <w:szCs w:val="21"/>
          <w:b w:val="1"/>
          <w:bCs w:val="1"/>
          <w:color w:val="auto"/>
        </w:rPr>
        <w:t>AND</w:t>
      </w:r>
    </w:p>
    <w:p>
      <w:pPr>
        <w:spacing w:after="0" w:line="11"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21"/>
          <w:szCs w:val="21"/>
          <w:b w:val="1"/>
          <w:bCs w:val="1"/>
          <w:color w:val="auto"/>
        </w:rPr>
        <w:t>WELLS FARGO SECURITIES, LLC</w:t>
      </w:r>
    </w:p>
    <w:p>
      <w:pPr>
        <w:spacing w:after="0" w:line="22"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21"/>
          <w:szCs w:val="21"/>
          <w:b w:val="1"/>
          <w:bCs w:val="1"/>
          <w:color w:val="auto"/>
        </w:rPr>
        <w:t>AS JOINT LEAD ARRANGERS AND JOINT BOOKRUNNERS</w:t>
      </w:r>
    </w:p>
    <w:p>
      <w:pPr>
        <w:spacing w:after="0" w:line="221"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21"/>
          <w:szCs w:val="21"/>
          <w:b w:val="1"/>
          <w:bCs w:val="1"/>
          <w:color w:val="auto"/>
        </w:rPr>
        <w:t>AND</w:t>
      </w:r>
    </w:p>
    <w:p>
      <w:pPr>
        <w:spacing w:after="0" w:line="24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1"/>
          <w:szCs w:val="21"/>
          <w:b w:val="1"/>
          <w:bCs w:val="1"/>
          <w:color w:val="auto"/>
        </w:rPr>
        <w:t>BMO CAPITAL MARKETS CORP.,</w:t>
      </w:r>
    </w:p>
    <w:p>
      <w:pPr>
        <w:ind w:left="2320"/>
        <w:spacing w:after="0" w:line="222" w:lineRule="auto"/>
        <w:rPr>
          <w:sz w:val="20"/>
          <w:szCs w:val="20"/>
          <w:color w:val="auto"/>
        </w:rPr>
      </w:pPr>
      <w:r>
        <w:rPr>
          <w:rFonts w:ascii="Times New Roman" w:cs="Times New Roman" w:eastAsia="Times New Roman" w:hAnsi="Times New Roman"/>
          <w:sz w:val="21"/>
          <w:szCs w:val="21"/>
          <w:b w:val="1"/>
          <w:bCs w:val="1"/>
          <w:color w:val="auto"/>
        </w:rPr>
        <w:t>COÖPERATIEVE RABOBANK U.A., NEW YORK BRANCH,</w:t>
      </w:r>
    </w:p>
    <w:p>
      <w:pPr>
        <w:jc w:val="center"/>
        <w:ind w:right="-680"/>
        <w:spacing w:after="0" w:line="237" w:lineRule="auto"/>
        <w:rPr>
          <w:sz w:val="20"/>
          <w:szCs w:val="20"/>
          <w:color w:val="auto"/>
        </w:rPr>
      </w:pPr>
      <w:r>
        <w:rPr>
          <w:rFonts w:ascii="Times New Roman" w:cs="Times New Roman" w:eastAsia="Times New Roman" w:hAnsi="Times New Roman"/>
          <w:sz w:val="21"/>
          <w:szCs w:val="21"/>
          <w:b w:val="1"/>
          <w:bCs w:val="1"/>
          <w:color w:val="auto"/>
        </w:rPr>
        <w:t>TRUIST SECURITIES INC.</w:t>
      </w:r>
    </w:p>
    <w:p>
      <w:pPr>
        <w:jc w:val="center"/>
        <w:ind w:right="-680"/>
        <w:spacing w:after="0"/>
        <w:rPr>
          <w:sz w:val="20"/>
          <w:szCs w:val="20"/>
          <w:color w:val="auto"/>
        </w:rPr>
      </w:pPr>
      <w:r>
        <w:rPr>
          <w:rFonts w:ascii="Times New Roman" w:cs="Times New Roman" w:eastAsia="Times New Roman" w:hAnsi="Times New Roman"/>
          <w:sz w:val="21"/>
          <w:szCs w:val="21"/>
          <w:b w:val="1"/>
          <w:bCs w:val="1"/>
          <w:color w:val="auto"/>
        </w:rPr>
        <w:t>AND</w:t>
      </w:r>
    </w:p>
    <w:p>
      <w:pPr>
        <w:spacing w:after="0" w:line="11"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21"/>
          <w:szCs w:val="21"/>
          <w:b w:val="1"/>
          <w:bCs w:val="1"/>
          <w:color w:val="auto"/>
        </w:rPr>
        <w:t>STIFEL BANK &amp; TRUST</w:t>
      </w:r>
    </w:p>
    <w:p>
      <w:pPr>
        <w:spacing w:after="0" w:line="233"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1"/>
          <w:szCs w:val="21"/>
          <w:b w:val="1"/>
          <w:bCs w:val="1"/>
          <w:color w:val="auto"/>
        </w:rPr>
        <w:t>AS CO-MANAGERS</w:t>
      </w:r>
    </w:p>
    <w:p>
      <w:pPr>
        <w:sectPr>
          <w:pgSz w:w="11900" w:h="16838" w:orient="portrait"/>
          <w:cols w:equalWidth="0" w:num="1">
            <w:col w:w="9719"/>
          </w:cols>
          <w:pgMar w:left="740" w:top="1393" w:right="1440" w:bottom="1440" w:gutter="0" w:footer="0" w:header="0"/>
        </w:sectPr>
      </w:pPr>
    </w:p>
    <w:bookmarkStart w:id="101" w:name="page102"/>
    <w:bookmarkEnd w:id="101"/>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60" w:type="dxa"/>
            <w:vAlign w:val="bottom"/>
            <w:gridSpan w:val="27"/>
          </w:tcPr>
          <w:p>
            <w:pPr>
              <w:jc w:val="center"/>
              <w:ind w:right="660"/>
              <w:spacing w:after="0"/>
              <w:rPr>
                <w:sz w:val="20"/>
                <w:szCs w:val="20"/>
                <w:color w:val="auto"/>
              </w:rPr>
            </w:pPr>
            <w:r>
              <w:rPr>
                <w:rFonts w:ascii="Times New Roman" w:cs="Times New Roman" w:eastAsia="Times New Roman" w:hAnsi="Times New Roman"/>
                <w:sz w:val="21"/>
                <w:szCs w:val="21"/>
                <w:b w:val="1"/>
                <w:bCs w:val="1"/>
                <w:color w:val="auto"/>
              </w:rPr>
              <w:t>TABLE OF CONTENTS</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8620" w:type="dxa"/>
            <w:vAlign w:val="bottom"/>
            <w:gridSpan w:val="69"/>
          </w:tcPr>
          <w:p>
            <w:pPr>
              <w:spacing w:after="0"/>
              <w:rPr>
                <w:sz w:val="20"/>
                <w:szCs w:val="20"/>
                <w:color w:val="auto"/>
              </w:rPr>
            </w:pPr>
            <w:r>
              <w:rPr>
                <w:rFonts w:ascii="Times New Roman" w:cs="Times New Roman" w:eastAsia="Times New Roman" w:hAnsi="Times New Roman"/>
                <w:sz w:val="21"/>
                <w:szCs w:val="21"/>
                <w:color w:val="auto"/>
              </w:rPr>
              <w:t>Page</w:t>
            </w:r>
          </w:p>
        </w:tc>
        <w:tc>
          <w:tcPr>
            <w:tcW w:w="0" w:type="dxa"/>
            <w:vAlign w:val="bottom"/>
          </w:tcPr>
          <w:p>
            <w:pPr>
              <w:spacing w:after="0"/>
              <w:rPr>
                <w:sz w:val="1"/>
                <w:szCs w:val="1"/>
                <w:color w:val="auto"/>
              </w:rPr>
            </w:pPr>
          </w:p>
        </w:tc>
      </w:tr>
      <w:tr>
        <w:trPr>
          <w:trHeight w:val="495"/>
        </w:trPr>
        <w:tc>
          <w:tcPr>
            <w:tcW w:w="2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60" w:type="dxa"/>
            <w:vAlign w:val="bottom"/>
            <w:gridSpan w:val="45"/>
          </w:tcPr>
          <w:p>
            <w:pPr>
              <w:jc w:val="right"/>
              <w:ind w:right="120"/>
              <w:spacing w:after="0"/>
              <w:rPr>
                <w:sz w:val="20"/>
                <w:szCs w:val="20"/>
                <w:color w:val="auto"/>
              </w:rPr>
            </w:pPr>
            <w:r>
              <w:rPr>
                <w:rFonts w:ascii="Times New Roman" w:cs="Times New Roman" w:eastAsia="Times New Roman" w:hAnsi="Times New Roman"/>
                <w:sz w:val="21"/>
                <w:szCs w:val="21"/>
                <w:color w:val="auto"/>
              </w:rPr>
              <w:t>Article 1. Definitions and Accounting Terms</w:t>
            </w:r>
          </w:p>
        </w:tc>
        <w:tc>
          <w:tcPr>
            <w:tcW w:w="2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1080" w:type="dxa"/>
            <w:vAlign w:val="bottom"/>
            <w:gridSpan w:val="4"/>
          </w:tcPr>
          <w:p>
            <w:pPr>
              <w:spacing w:after="0"/>
              <w:rPr>
                <w:sz w:val="20"/>
                <w:szCs w:val="20"/>
                <w:color w:val="auto"/>
              </w:rPr>
            </w:pPr>
            <w:r>
              <w:rPr>
                <w:rFonts w:ascii="Times New Roman" w:cs="Times New Roman" w:eastAsia="Times New Roman" w:hAnsi="Times New Roman"/>
                <w:sz w:val="21"/>
                <w:szCs w:val="21"/>
                <w:color w:val="auto"/>
                <w:w w:val="99"/>
              </w:rPr>
              <w:t>Section 1.01</w:t>
            </w:r>
          </w:p>
        </w:tc>
        <w:tc>
          <w:tcPr>
            <w:tcW w:w="220" w:type="dxa"/>
            <w:vAlign w:val="bottom"/>
          </w:tcPr>
          <w:p>
            <w:pPr>
              <w:spacing w:after="0"/>
              <w:rPr>
                <w:sz w:val="24"/>
                <w:szCs w:val="24"/>
                <w:color w:val="auto"/>
              </w:rPr>
            </w:pPr>
          </w:p>
        </w:tc>
        <w:tc>
          <w:tcPr>
            <w:tcW w:w="1360" w:type="dxa"/>
            <w:vAlign w:val="bottom"/>
            <w:gridSpan w:val="8"/>
          </w:tcPr>
          <w:p>
            <w:pPr>
              <w:spacing w:after="0"/>
              <w:rPr>
                <w:sz w:val="20"/>
                <w:szCs w:val="20"/>
                <w:color w:val="auto"/>
              </w:rPr>
            </w:pPr>
            <w:r>
              <w:rPr>
                <w:rFonts w:ascii="Times New Roman" w:cs="Times New Roman" w:eastAsia="Times New Roman" w:hAnsi="Times New Roman"/>
                <w:sz w:val="21"/>
                <w:szCs w:val="21"/>
                <w:color w:val="auto"/>
              </w:rPr>
              <w:t>Defined Terms</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21"/>
                <w:szCs w:val="21"/>
                <w:color w:val="auto"/>
              </w:rPr>
              <w:t>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1"/>
                <w:szCs w:val="21"/>
                <w:b w:val="1"/>
                <w:bCs w:val="1"/>
                <w:color w:val="FF0000"/>
                <w:strike w:val="1"/>
                <w:w w:val="95"/>
              </w:rPr>
              <w:t>64</w:t>
            </w:r>
          </w:p>
        </w:tc>
        <w:tc>
          <w:tcPr>
            <w:tcW w:w="22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21"/>
                <w:szCs w:val="21"/>
                <w:b w:val="1"/>
                <w:bCs w:val="1"/>
                <w:color w:val="0000FF"/>
                <w:w w:val="85"/>
              </w:rPr>
              <w:t>65</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080" w:type="dxa"/>
            <w:vAlign w:val="bottom"/>
            <w:gridSpan w:val="4"/>
          </w:tcPr>
          <w:p>
            <w:pPr>
              <w:spacing w:after="0" w:line="226" w:lineRule="exact"/>
              <w:rPr>
                <w:sz w:val="20"/>
                <w:szCs w:val="20"/>
                <w:color w:val="auto"/>
              </w:rPr>
            </w:pPr>
            <w:r>
              <w:rPr>
                <w:rFonts w:ascii="Times New Roman" w:cs="Times New Roman" w:eastAsia="Times New Roman" w:hAnsi="Times New Roman"/>
                <w:sz w:val="21"/>
                <w:szCs w:val="21"/>
                <w:color w:val="auto"/>
                <w:w w:val="99"/>
              </w:rPr>
              <w:t>Section 1.02</w:t>
            </w:r>
          </w:p>
        </w:tc>
        <w:tc>
          <w:tcPr>
            <w:tcW w:w="220" w:type="dxa"/>
            <w:vAlign w:val="bottom"/>
          </w:tcPr>
          <w:p>
            <w:pPr>
              <w:spacing w:after="0"/>
              <w:rPr>
                <w:sz w:val="19"/>
                <w:szCs w:val="19"/>
                <w:color w:val="auto"/>
              </w:rPr>
            </w:pPr>
          </w:p>
        </w:tc>
        <w:tc>
          <w:tcPr>
            <w:tcW w:w="2680" w:type="dxa"/>
            <w:vAlign w:val="bottom"/>
            <w:gridSpan w:val="31"/>
          </w:tcPr>
          <w:p>
            <w:pPr>
              <w:spacing w:after="0" w:line="226" w:lineRule="exact"/>
              <w:rPr>
                <w:sz w:val="20"/>
                <w:szCs w:val="20"/>
                <w:color w:val="auto"/>
              </w:rPr>
            </w:pPr>
            <w:r>
              <w:rPr>
                <w:rFonts w:ascii="Times New Roman" w:cs="Times New Roman" w:eastAsia="Times New Roman" w:hAnsi="Times New Roman"/>
                <w:sz w:val="21"/>
                <w:szCs w:val="21"/>
                <w:color w:val="auto"/>
              </w:rPr>
              <w:t>Other Interpretive Provisions</w:t>
            </w:r>
          </w:p>
        </w:tc>
        <w:tc>
          <w:tcPr>
            <w:tcW w:w="220" w:type="dxa"/>
            <w:vAlign w:val="bottom"/>
            <w:gridSpan w:val="2"/>
            <w:vMerge w:val="continue"/>
          </w:tcPr>
          <w:p>
            <w:pPr>
              <w:spacing w:after="0"/>
              <w:rPr>
                <w:sz w:val="19"/>
                <w:szCs w:val="19"/>
                <w:color w:val="auto"/>
              </w:rPr>
            </w:pPr>
          </w:p>
        </w:tc>
        <w:tc>
          <w:tcPr>
            <w:tcW w:w="220" w:type="dxa"/>
            <w:vAlign w:val="bottom"/>
            <w:gridSpan w:val="3"/>
            <w:vMerge w:val="continue"/>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1080" w:type="dxa"/>
            <w:vAlign w:val="bottom"/>
            <w:gridSpan w:val="4"/>
          </w:tcPr>
          <w:p>
            <w:pPr>
              <w:spacing w:after="0" w:line="232" w:lineRule="exact"/>
              <w:rPr>
                <w:sz w:val="20"/>
                <w:szCs w:val="20"/>
                <w:color w:val="auto"/>
              </w:rPr>
            </w:pPr>
            <w:r>
              <w:rPr>
                <w:rFonts w:ascii="Times New Roman" w:cs="Times New Roman" w:eastAsia="Times New Roman" w:hAnsi="Times New Roman"/>
                <w:sz w:val="21"/>
                <w:szCs w:val="21"/>
                <w:color w:val="auto"/>
                <w:w w:val="99"/>
              </w:rPr>
              <w:t>Section 1.03</w:t>
            </w:r>
          </w:p>
        </w:tc>
        <w:tc>
          <w:tcPr>
            <w:tcW w:w="220" w:type="dxa"/>
            <w:vAlign w:val="bottom"/>
          </w:tcPr>
          <w:p>
            <w:pPr>
              <w:spacing w:after="0"/>
              <w:rPr>
                <w:sz w:val="20"/>
                <w:szCs w:val="20"/>
                <w:color w:val="auto"/>
              </w:rPr>
            </w:pPr>
          </w:p>
        </w:tc>
        <w:tc>
          <w:tcPr>
            <w:tcW w:w="1720" w:type="dxa"/>
            <w:vAlign w:val="bottom"/>
            <w:gridSpan w:val="12"/>
          </w:tcPr>
          <w:p>
            <w:pPr>
              <w:spacing w:after="0" w:line="232" w:lineRule="exact"/>
              <w:rPr>
                <w:sz w:val="20"/>
                <w:szCs w:val="20"/>
                <w:color w:val="auto"/>
              </w:rPr>
            </w:pPr>
            <w:r>
              <w:rPr>
                <w:rFonts w:ascii="Times New Roman" w:cs="Times New Roman" w:eastAsia="Times New Roman" w:hAnsi="Times New Roman"/>
                <w:sz w:val="21"/>
                <w:szCs w:val="21"/>
                <w:color w:val="auto"/>
              </w:rPr>
              <w:t>Accounting Terms</w:t>
            </w:r>
          </w:p>
        </w:tc>
        <w:tc>
          <w:tcPr>
            <w:tcW w:w="20" w:type="dxa"/>
            <w:vAlign w:val="bottom"/>
          </w:tcPr>
          <w:p>
            <w:pPr>
              <w:spacing w:after="0"/>
              <w:rPr>
                <w:sz w:val="20"/>
                <w:szCs w:val="20"/>
                <w:color w:val="auto"/>
              </w:rPr>
            </w:pPr>
          </w:p>
        </w:tc>
        <w:tc>
          <w:tcPr>
            <w:tcW w:w="260" w:type="dxa"/>
            <w:vAlign w:val="bottom"/>
            <w:gridSpan w:val="6"/>
          </w:tcPr>
          <w:p>
            <w:pPr>
              <w:jc w:val="right"/>
              <w:spacing w:after="0" w:line="232" w:lineRule="exact"/>
              <w:rPr>
                <w:sz w:val="20"/>
                <w:szCs w:val="20"/>
                <w:color w:val="auto"/>
              </w:rPr>
            </w:pPr>
            <w:r>
              <w:rPr>
                <w:rFonts w:ascii="Times New Roman" w:cs="Times New Roman" w:eastAsia="Times New Roman" w:hAnsi="Times New Roman"/>
                <w:sz w:val="21"/>
                <w:szCs w:val="21"/>
                <w:b w:val="1"/>
                <w:bCs w:val="1"/>
                <w:color w:val="FF0000"/>
                <w:strike w:val="1"/>
              </w:rPr>
              <w:t>64</w:t>
            </w:r>
          </w:p>
        </w:tc>
        <w:tc>
          <w:tcPr>
            <w:tcW w:w="200" w:type="dxa"/>
            <w:vAlign w:val="bottom"/>
            <w:tcBorders>
              <w:bottom w:val="single" w:sz="8" w:color="0000FF"/>
            </w:tcBorders>
            <w:gridSpan w:val="5"/>
          </w:tcPr>
          <w:p>
            <w:pPr>
              <w:jc w:val="right"/>
              <w:spacing w:after="0" w:line="232" w:lineRule="exact"/>
              <w:rPr>
                <w:sz w:val="20"/>
                <w:szCs w:val="20"/>
                <w:color w:val="auto"/>
              </w:rPr>
            </w:pPr>
            <w:r>
              <w:rPr>
                <w:rFonts w:ascii="Times New Roman" w:cs="Times New Roman" w:eastAsia="Times New Roman" w:hAnsi="Times New Roman"/>
                <w:sz w:val="21"/>
                <w:szCs w:val="21"/>
                <w:b w:val="1"/>
                <w:bCs w:val="1"/>
                <w:color w:val="0000FF"/>
                <w:w w:val="85"/>
              </w:rPr>
              <w:t>66</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300" w:type="dxa"/>
            <w:vAlign w:val="bottom"/>
            <w:gridSpan w:val="5"/>
          </w:tcPr>
          <w:p>
            <w:pPr>
              <w:spacing w:after="0" w:line="232" w:lineRule="exact"/>
              <w:rPr>
                <w:sz w:val="20"/>
                <w:szCs w:val="20"/>
                <w:color w:val="auto"/>
              </w:rPr>
            </w:pPr>
            <w:r>
              <w:rPr>
                <w:rFonts w:ascii="Times New Roman" w:cs="Times New Roman" w:eastAsia="Times New Roman" w:hAnsi="Times New Roman"/>
                <w:sz w:val="21"/>
                <w:szCs w:val="21"/>
                <w:color w:val="auto"/>
                <w:w w:val="99"/>
              </w:rPr>
              <w:t>Section 1.04</w:t>
            </w:r>
          </w:p>
        </w:tc>
        <w:tc>
          <w:tcPr>
            <w:tcW w:w="1020" w:type="dxa"/>
            <w:vAlign w:val="bottom"/>
            <w:gridSpan w:val="6"/>
          </w:tcPr>
          <w:p>
            <w:pPr>
              <w:spacing w:after="0" w:line="232" w:lineRule="exact"/>
              <w:rPr>
                <w:sz w:val="20"/>
                <w:szCs w:val="20"/>
                <w:color w:val="auto"/>
              </w:rPr>
            </w:pPr>
            <w:r>
              <w:rPr>
                <w:rFonts w:ascii="Times New Roman" w:cs="Times New Roman" w:eastAsia="Times New Roman" w:hAnsi="Times New Roman"/>
                <w:sz w:val="21"/>
                <w:szCs w:val="21"/>
                <w:color w:val="auto"/>
              </w:rPr>
              <w:t>Rounding</w:t>
            </w:r>
          </w:p>
        </w:tc>
        <w:tc>
          <w:tcPr>
            <w:tcW w:w="340" w:type="dxa"/>
            <w:vAlign w:val="bottom"/>
            <w:gridSpan w:val="2"/>
          </w:tcPr>
          <w:p>
            <w:pPr>
              <w:jc w:val="right"/>
              <w:spacing w:after="0" w:line="232" w:lineRule="exact"/>
              <w:rPr>
                <w:sz w:val="20"/>
                <w:szCs w:val="20"/>
                <w:color w:val="auto"/>
              </w:rPr>
            </w:pPr>
            <w:r>
              <w:rPr>
                <w:rFonts w:ascii="Times New Roman" w:cs="Times New Roman" w:eastAsia="Times New Roman" w:hAnsi="Times New Roman"/>
                <w:sz w:val="21"/>
                <w:szCs w:val="21"/>
                <w:b w:val="1"/>
                <w:bCs w:val="1"/>
                <w:color w:val="FF0000"/>
                <w:strike w:val="1"/>
              </w:rPr>
              <w:t>65</w:t>
            </w:r>
          </w:p>
        </w:tc>
        <w:tc>
          <w:tcPr>
            <w:tcW w:w="5960" w:type="dxa"/>
            <w:vAlign w:val="bottom"/>
            <w:gridSpan w:val="56"/>
          </w:tcPr>
          <w:p>
            <w:pPr>
              <w:jc w:val="right"/>
              <w:ind w:right="5754"/>
              <w:spacing w:after="0"/>
              <w:rPr>
                <w:sz w:val="20"/>
                <w:szCs w:val="20"/>
                <w:color w:val="auto"/>
              </w:rPr>
            </w:pPr>
            <w:r>
              <w:rPr>
                <w:rFonts w:ascii="Times New Roman" w:cs="Times New Roman" w:eastAsia="Times New Roman" w:hAnsi="Times New Roman"/>
                <w:sz w:val="11"/>
                <w:szCs w:val="11"/>
                <w:b w:val="1"/>
                <w:bCs w:val="1"/>
                <w:color w:val="0000FF"/>
                <w:w w:val="72"/>
              </w:rPr>
              <w:t>67</w:t>
            </w:r>
          </w:p>
        </w:tc>
        <w:tc>
          <w:tcPr>
            <w:tcW w:w="0" w:type="dxa"/>
            <w:vAlign w:val="bottom"/>
          </w:tcPr>
          <w:p>
            <w:pPr>
              <w:spacing w:after="0"/>
              <w:rPr>
                <w:sz w:val="1"/>
                <w:szCs w:val="1"/>
                <w:color w:val="auto"/>
              </w:rPr>
            </w:pPr>
          </w:p>
        </w:tc>
      </w:tr>
      <w:tr>
        <w:trPr>
          <w:trHeight w:val="20"/>
        </w:trPr>
        <w:tc>
          <w:tcPr>
            <w:tcW w:w="2660" w:type="dxa"/>
            <w:vAlign w:val="bottom"/>
            <w:tcBorders>
              <w:right w:val="single" w:sz="8" w:color="0000FF"/>
            </w:tcBorders>
            <w:gridSpan w:val="13"/>
          </w:tcPr>
          <w:p>
            <w:pPr>
              <w:spacing w:after="0" w:line="20" w:lineRule="exact"/>
              <w:rPr>
                <w:sz w:val="1"/>
                <w:szCs w:val="1"/>
                <w:color w:val="auto"/>
              </w:rPr>
            </w:pPr>
          </w:p>
        </w:tc>
        <w:tc>
          <w:tcPr>
            <w:tcW w:w="5960" w:type="dxa"/>
            <w:vAlign w:val="bottom"/>
            <w:gridSpan w:val="56"/>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080" w:type="dxa"/>
            <w:vAlign w:val="bottom"/>
            <w:gridSpan w:val="4"/>
          </w:tcPr>
          <w:p>
            <w:pPr>
              <w:spacing w:after="0" w:line="232" w:lineRule="exact"/>
              <w:rPr>
                <w:sz w:val="20"/>
                <w:szCs w:val="20"/>
                <w:color w:val="auto"/>
              </w:rPr>
            </w:pPr>
            <w:r>
              <w:rPr>
                <w:rFonts w:ascii="Times New Roman" w:cs="Times New Roman" w:eastAsia="Times New Roman" w:hAnsi="Times New Roman"/>
                <w:sz w:val="21"/>
                <w:szCs w:val="21"/>
                <w:color w:val="auto"/>
                <w:w w:val="99"/>
              </w:rPr>
              <w:t>Section 1.05</w:t>
            </w:r>
          </w:p>
        </w:tc>
        <w:tc>
          <w:tcPr>
            <w:tcW w:w="220" w:type="dxa"/>
            <w:vAlign w:val="bottom"/>
          </w:tcPr>
          <w:p>
            <w:pPr>
              <w:spacing w:after="0"/>
              <w:rPr>
                <w:sz w:val="20"/>
                <w:szCs w:val="20"/>
                <w:color w:val="auto"/>
              </w:rPr>
            </w:pPr>
          </w:p>
        </w:tc>
        <w:tc>
          <w:tcPr>
            <w:tcW w:w="1360" w:type="dxa"/>
            <w:vAlign w:val="bottom"/>
            <w:gridSpan w:val="8"/>
          </w:tcPr>
          <w:p>
            <w:pPr>
              <w:spacing w:after="0" w:line="232" w:lineRule="exact"/>
              <w:rPr>
                <w:sz w:val="20"/>
                <w:szCs w:val="20"/>
                <w:color w:val="auto"/>
              </w:rPr>
            </w:pPr>
            <w:r>
              <w:rPr>
                <w:rFonts w:ascii="Times New Roman" w:cs="Times New Roman" w:eastAsia="Times New Roman" w:hAnsi="Times New Roman"/>
                <w:sz w:val="21"/>
                <w:szCs w:val="21"/>
                <w:color w:val="auto"/>
              </w:rPr>
              <w:t>Times of Day</w:t>
            </w:r>
          </w:p>
        </w:tc>
        <w:tc>
          <w:tcPr>
            <w:tcW w:w="220" w:type="dxa"/>
            <w:vAlign w:val="bottom"/>
            <w:gridSpan w:val="3"/>
          </w:tcPr>
          <w:p>
            <w:pPr>
              <w:jc w:val="right"/>
              <w:spacing w:after="0" w:line="232" w:lineRule="exact"/>
              <w:rPr>
                <w:sz w:val="20"/>
                <w:szCs w:val="20"/>
                <w:color w:val="auto"/>
              </w:rPr>
            </w:pPr>
            <w:r>
              <w:rPr>
                <w:rFonts w:ascii="Times New Roman" w:cs="Times New Roman" w:eastAsia="Times New Roman" w:hAnsi="Times New Roman"/>
                <w:sz w:val="21"/>
                <w:szCs w:val="21"/>
                <w:b w:val="1"/>
                <w:bCs w:val="1"/>
                <w:color w:val="FF0000"/>
                <w:strike w:val="1"/>
                <w:w w:val="95"/>
              </w:rPr>
              <w:t>65</w:t>
            </w:r>
          </w:p>
        </w:tc>
        <w:tc>
          <w:tcPr>
            <w:tcW w:w="220" w:type="dxa"/>
            <w:vAlign w:val="bottom"/>
            <w:tcBorders>
              <w:bottom w:val="single" w:sz="8" w:color="0000FF"/>
            </w:tcBorders>
            <w:gridSpan w:val="3"/>
          </w:tcPr>
          <w:p>
            <w:pPr>
              <w:jc w:val="center"/>
              <w:spacing w:after="0" w:line="232" w:lineRule="exact"/>
              <w:rPr>
                <w:sz w:val="20"/>
                <w:szCs w:val="20"/>
                <w:color w:val="auto"/>
              </w:rPr>
            </w:pPr>
            <w:r>
              <w:rPr>
                <w:rFonts w:ascii="Times New Roman" w:cs="Times New Roman" w:eastAsia="Times New Roman" w:hAnsi="Times New Roman"/>
                <w:sz w:val="21"/>
                <w:szCs w:val="21"/>
                <w:b w:val="1"/>
                <w:bCs w:val="1"/>
                <w:color w:val="0000FF"/>
              </w:rPr>
              <w:t>67</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gridSpan w:val="4"/>
            <w:vMerge w:val="restart"/>
          </w:tcPr>
          <w:p>
            <w:pPr>
              <w:jc w:val="right"/>
              <w:spacing w:after="0"/>
              <w:rPr>
                <w:sz w:val="20"/>
                <w:szCs w:val="20"/>
                <w:color w:val="auto"/>
              </w:rPr>
            </w:pPr>
            <w:r>
              <w:rPr>
                <w:rFonts w:ascii="Times New Roman" w:cs="Times New Roman" w:eastAsia="Times New Roman" w:hAnsi="Times New Roman"/>
                <w:sz w:val="21"/>
                <w:szCs w:val="21"/>
                <w:b w:val="1"/>
                <w:bCs w:val="1"/>
                <w:color w:val="FF0000"/>
                <w:strike w:val="1"/>
                <w:w w:val="95"/>
              </w:rPr>
              <w:t>65</w:t>
            </w:r>
          </w:p>
        </w:tc>
        <w:tc>
          <w:tcPr>
            <w:tcW w:w="380" w:type="dxa"/>
            <w:vAlign w:val="bottom"/>
            <w:gridSpan w:val="4"/>
            <w:vMerge w:val="restart"/>
          </w:tcPr>
          <w:p>
            <w:pPr>
              <w:jc w:val="right"/>
              <w:ind w:right="94"/>
              <w:spacing w:after="0"/>
              <w:rPr>
                <w:sz w:val="20"/>
                <w:szCs w:val="20"/>
                <w:color w:val="auto"/>
              </w:rPr>
            </w:pPr>
            <w:r>
              <w:rPr>
                <w:rFonts w:ascii="Times New Roman" w:cs="Times New Roman" w:eastAsia="Times New Roman" w:hAnsi="Times New Roman"/>
                <w:sz w:val="21"/>
                <w:szCs w:val="21"/>
                <w:b w:val="1"/>
                <w:bCs w:val="1"/>
                <w:color w:val="0000FF"/>
                <w:w w:val="75"/>
              </w:rPr>
              <w:t>67</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1080" w:type="dxa"/>
            <w:vAlign w:val="bottom"/>
            <w:gridSpan w:val="4"/>
          </w:tcPr>
          <w:p>
            <w:pPr>
              <w:spacing w:after="0"/>
              <w:rPr>
                <w:sz w:val="20"/>
                <w:szCs w:val="20"/>
                <w:color w:val="auto"/>
              </w:rPr>
            </w:pPr>
            <w:r>
              <w:rPr>
                <w:rFonts w:ascii="Times New Roman" w:cs="Times New Roman" w:eastAsia="Times New Roman" w:hAnsi="Times New Roman"/>
                <w:sz w:val="21"/>
                <w:szCs w:val="21"/>
                <w:color w:val="auto"/>
                <w:w w:val="99"/>
              </w:rPr>
              <w:t>Section 1.06</w:t>
            </w:r>
          </w:p>
        </w:tc>
        <w:tc>
          <w:tcPr>
            <w:tcW w:w="220" w:type="dxa"/>
            <w:vAlign w:val="bottom"/>
          </w:tcPr>
          <w:p>
            <w:pPr>
              <w:spacing w:after="0"/>
              <w:rPr>
                <w:sz w:val="21"/>
                <w:szCs w:val="21"/>
                <w:color w:val="auto"/>
              </w:rPr>
            </w:pPr>
          </w:p>
        </w:tc>
        <w:tc>
          <w:tcPr>
            <w:tcW w:w="2360" w:type="dxa"/>
            <w:vAlign w:val="bottom"/>
            <w:gridSpan w:val="26"/>
          </w:tcPr>
          <w:p>
            <w:pPr>
              <w:spacing w:after="0"/>
              <w:rPr>
                <w:sz w:val="20"/>
                <w:szCs w:val="20"/>
                <w:color w:val="auto"/>
              </w:rPr>
            </w:pPr>
            <w:r>
              <w:rPr>
                <w:rFonts w:ascii="Times New Roman" w:cs="Times New Roman" w:eastAsia="Times New Roman" w:hAnsi="Times New Roman"/>
                <w:sz w:val="21"/>
                <w:szCs w:val="21"/>
                <w:color w:val="auto"/>
              </w:rPr>
              <w:t>Letter of Credit Amounts</w:t>
            </w:r>
          </w:p>
        </w:tc>
        <w:tc>
          <w:tcPr>
            <w:tcW w:w="240" w:type="dxa"/>
            <w:vAlign w:val="bottom"/>
            <w:gridSpan w:val="4"/>
            <w:vMerge w:val="continue"/>
          </w:tcPr>
          <w:p>
            <w:pPr>
              <w:spacing w:after="0"/>
              <w:rPr>
                <w:sz w:val="21"/>
                <w:szCs w:val="21"/>
                <w:color w:val="auto"/>
              </w:rPr>
            </w:pPr>
          </w:p>
        </w:tc>
        <w:tc>
          <w:tcPr>
            <w:tcW w:w="380" w:type="dxa"/>
            <w:vAlign w:val="bottom"/>
            <w:gridSpan w:val="4"/>
            <w:vMerge w:val="continue"/>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gridSpan w:val="2"/>
            <w:vMerge w:val="restart"/>
          </w:tcPr>
          <w:p>
            <w:pPr>
              <w:spacing w:after="0"/>
              <w:rPr>
                <w:sz w:val="20"/>
                <w:szCs w:val="20"/>
                <w:color w:val="auto"/>
              </w:rPr>
            </w:pPr>
            <w:r>
              <w:rPr>
                <w:rFonts w:ascii="Times New Roman" w:cs="Times New Roman" w:eastAsia="Times New Roman" w:hAnsi="Times New Roman"/>
                <w:sz w:val="21"/>
                <w:szCs w:val="21"/>
                <w:b w:val="1"/>
                <w:bCs w:val="1"/>
                <w:color w:val="FF0000"/>
                <w:strike w:val="1"/>
                <w:w w:val="85"/>
              </w:rPr>
              <w:t>66</w:t>
            </w:r>
          </w:p>
        </w:tc>
        <w:tc>
          <w:tcPr>
            <w:tcW w:w="220" w:type="dxa"/>
            <w:vAlign w:val="bottom"/>
            <w:gridSpan w:val="3"/>
            <w:vMerge w:val="restart"/>
          </w:tcPr>
          <w:p>
            <w:pPr>
              <w:jc w:val="right"/>
              <w:spacing w:after="0"/>
              <w:rPr>
                <w:sz w:val="20"/>
                <w:szCs w:val="20"/>
                <w:color w:val="auto"/>
              </w:rPr>
            </w:pPr>
            <w:r>
              <w:rPr>
                <w:rFonts w:ascii="Times New Roman" w:cs="Times New Roman" w:eastAsia="Times New Roman" w:hAnsi="Times New Roman"/>
                <w:sz w:val="21"/>
                <w:szCs w:val="21"/>
                <w:b w:val="1"/>
                <w:bCs w:val="1"/>
                <w:color w:val="0000FF"/>
                <w:w w:val="95"/>
              </w:rPr>
              <w:t>67</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gridSpan w:val="2"/>
            <w:vMerge w:val="continue"/>
          </w:tcPr>
          <w:p>
            <w:pPr>
              <w:spacing w:after="0" w:line="20" w:lineRule="exact"/>
              <w:rPr>
                <w:sz w:val="1"/>
                <w:szCs w:val="1"/>
                <w:color w:val="auto"/>
              </w:rPr>
            </w:pPr>
          </w:p>
        </w:tc>
        <w:tc>
          <w:tcPr>
            <w:tcW w:w="220" w:type="dxa"/>
            <w:vAlign w:val="bottom"/>
            <w:gridSpan w:val="3"/>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80" w:type="dxa"/>
            <w:vAlign w:val="bottom"/>
            <w:gridSpan w:val="4"/>
          </w:tcPr>
          <w:p>
            <w:pPr>
              <w:spacing w:after="0" w:line="232" w:lineRule="exact"/>
              <w:rPr>
                <w:sz w:val="20"/>
                <w:szCs w:val="20"/>
                <w:color w:val="auto"/>
              </w:rPr>
            </w:pPr>
            <w:r>
              <w:rPr>
                <w:rFonts w:ascii="Times New Roman" w:cs="Times New Roman" w:eastAsia="Times New Roman" w:hAnsi="Times New Roman"/>
                <w:sz w:val="21"/>
                <w:szCs w:val="21"/>
                <w:color w:val="auto"/>
                <w:w w:val="99"/>
              </w:rPr>
              <w:t>Section 1.07</w:t>
            </w:r>
          </w:p>
        </w:tc>
        <w:tc>
          <w:tcPr>
            <w:tcW w:w="220" w:type="dxa"/>
            <w:vAlign w:val="bottom"/>
          </w:tcPr>
          <w:p>
            <w:pPr>
              <w:spacing w:after="0"/>
              <w:rPr>
                <w:sz w:val="20"/>
                <w:szCs w:val="20"/>
                <w:color w:val="auto"/>
              </w:rPr>
            </w:pPr>
          </w:p>
        </w:tc>
        <w:tc>
          <w:tcPr>
            <w:tcW w:w="4780" w:type="dxa"/>
            <w:vAlign w:val="bottom"/>
            <w:gridSpan w:val="49"/>
          </w:tcPr>
          <w:p>
            <w:pPr>
              <w:spacing w:after="0" w:line="232" w:lineRule="exact"/>
              <w:rPr>
                <w:sz w:val="20"/>
                <w:szCs w:val="20"/>
                <w:color w:val="auto"/>
              </w:rPr>
            </w:pPr>
            <w:r>
              <w:rPr>
                <w:rFonts w:ascii="Times New Roman" w:cs="Times New Roman" w:eastAsia="Times New Roman" w:hAnsi="Times New Roman"/>
                <w:sz w:val="21"/>
                <w:szCs w:val="21"/>
                <w:color w:val="auto"/>
              </w:rPr>
              <w:t>Currency Equivalents Generally; Change of Currency</w:t>
            </w:r>
          </w:p>
        </w:tc>
        <w:tc>
          <w:tcPr>
            <w:tcW w:w="200" w:type="dxa"/>
            <w:vAlign w:val="bottom"/>
            <w:gridSpan w:val="2"/>
            <w:vMerge w:val="continue"/>
          </w:tcPr>
          <w:p>
            <w:pPr>
              <w:spacing w:after="0"/>
              <w:rPr>
                <w:sz w:val="20"/>
                <w:szCs w:val="20"/>
                <w:color w:val="auto"/>
              </w:rPr>
            </w:pPr>
          </w:p>
        </w:tc>
        <w:tc>
          <w:tcPr>
            <w:tcW w:w="220" w:type="dxa"/>
            <w:vAlign w:val="bottom"/>
            <w:tcBorders>
              <w:bottom w:val="single" w:sz="8" w:color="0000FF"/>
            </w:tcBorders>
            <w:gridSpan w:val="3"/>
            <w:vMerge w:val="continue"/>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080" w:type="dxa"/>
            <w:vAlign w:val="bottom"/>
            <w:gridSpan w:val="4"/>
          </w:tcPr>
          <w:p>
            <w:pPr>
              <w:spacing w:after="0" w:line="232" w:lineRule="exact"/>
              <w:rPr>
                <w:sz w:val="20"/>
                <w:szCs w:val="20"/>
                <w:color w:val="auto"/>
              </w:rPr>
            </w:pPr>
            <w:r>
              <w:rPr>
                <w:rFonts w:ascii="Times New Roman" w:cs="Times New Roman" w:eastAsia="Times New Roman" w:hAnsi="Times New Roman"/>
                <w:sz w:val="21"/>
                <w:szCs w:val="21"/>
                <w:color w:val="auto"/>
                <w:w w:val="99"/>
              </w:rPr>
              <w:t>Section 1.08</w:t>
            </w:r>
          </w:p>
        </w:tc>
        <w:tc>
          <w:tcPr>
            <w:tcW w:w="220" w:type="dxa"/>
            <w:vAlign w:val="bottom"/>
          </w:tcPr>
          <w:p>
            <w:pPr>
              <w:spacing w:after="0"/>
              <w:rPr>
                <w:sz w:val="20"/>
                <w:szCs w:val="20"/>
                <w:color w:val="auto"/>
              </w:rPr>
            </w:pPr>
          </w:p>
        </w:tc>
        <w:tc>
          <w:tcPr>
            <w:tcW w:w="3340" w:type="dxa"/>
            <w:vAlign w:val="bottom"/>
            <w:gridSpan w:val="39"/>
          </w:tcPr>
          <w:p>
            <w:pPr>
              <w:spacing w:after="0" w:line="232" w:lineRule="exact"/>
              <w:rPr>
                <w:sz w:val="20"/>
                <w:szCs w:val="20"/>
                <w:color w:val="auto"/>
              </w:rPr>
            </w:pPr>
            <w:r>
              <w:rPr>
                <w:rFonts w:ascii="Times New Roman" w:cs="Times New Roman" w:eastAsia="Times New Roman" w:hAnsi="Times New Roman"/>
                <w:sz w:val="21"/>
                <w:szCs w:val="21"/>
                <w:color w:val="auto"/>
              </w:rPr>
              <w:t>Timing of Payment and Performance</w:t>
            </w:r>
          </w:p>
        </w:tc>
        <w:tc>
          <w:tcPr>
            <w:tcW w:w="220" w:type="dxa"/>
            <w:vAlign w:val="bottom"/>
            <w:gridSpan w:val="3"/>
          </w:tcPr>
          <w:p>
            <w:pPr>
              <w:jc w:val="right"/>
              <w:spacing w:after="0" w:line="232" w:lineRule="exact"/>
              <w:rPr>
                <w:sz w:val="20"/>
                <w:szCs w:val="20"/>
                <w:color w:val="auto"/>
              </w:rPr>
            </w:pPr>
            <w:r>
              <w:rPr>
                <w:rFonts w:ascii="Times New Roman" w:cs="Times New Roman" w:eastAsia="Times New Roman" w:hAnsi="Times New Roman"/>
                <w:sz w:val="21"/>
                <w:szCs w:val="21"/>
                <w:b w:val="1"/>
                <w:bCs w:val="1"/>
                <w:color w:val="FF0000"/>
                <w:strike w:val="1"/>
                <w:w w:val="95"/>
              </w:rPr>
              <w:t>66</w:t>
            </w:r>
          </w:p>
        </w:tc>
        <w:tc>
          <w:tcPr>
            <w:tcW w:w="220" w:type="dxa"/>
            <w:vAlign w:val="bottom"/>
            <w:gridSpan w:val="2"/>
          </w:tcPr>
          <w:p>
            <w:pPr>
              <w:jc w:val="center"/>
              <w:ind w:right="20"/>
              <w:spacing w:after="0" w:line="232" w:lineRule="exact"/>
              <w:rPr>
                <w:sz w:val="20"/>
                <w:szCs w:val="20"/>
                <w:color w:val="auto"/>
              </w:rPr>
            </w:pPr>
            <w:r>
              <w:rPr>
                <w:rFonts w:ascii="Times New Roman" w:cs="Times New Roman" w:eastAsia="Times New Roman" w:hAnsi="Times New Roman"/>
                <w:sz w:val="21"/>
                <w:szCs w:val="21"/>
                <w:b w:val="1"/>
                <w:bCs w:val="1"/>
                <w:color w:val="0000FF"/>
                <w:w w:val="95"/>
              </w:rPr>
              <w:t>67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080" w:type="dxa"/>
            <w:vAlign w:val="bottom"/>
            <w:gridSpan w:val="4"/>
          </w:tcPr>
          <w:p>
            <w:pPr>
              <w:spacing w:after="0" w:line="232" w:lineRule="exact"/>
              <w:rPr>
                <w:sz w:val="20"/>
                <w:szCs w:val="20"/>
                <w:color w:val="auto"/>
              </w:rPr>
            </w:pPr>
            <w:r>
              <w:rPr>
                <w:rFonts w:ascii="Times New Roman" w:cs="Times New Roman" w:eastAsia="Times New Roman" w:hAnsi="Times New Roman"/>
                <w:sz w:val="21"/>
                <w:szCs w:val="21"/>
                <w:color w:val="auto"/>
                <w:w w:val="99"/>
              </w:rPr>
              <w:t>Section 1.09</w:t>
            </w:r>
          </w:p>
        </w:tc>
        <w:tc>
          <w:tcPr>
            <w:tcW w:w="220" w:type="dxa"/>
            <w:vAlign w:val="bottom"/>
          </w:tcPr>
          <w:p>
            <w:pPr>
              <w:spacing w:after="0"/>
              <w:rPr>
                <w:sz w:val="20"/>
                <w:szCs w:val="20"/>
                <w:color w:val="auto"/>
              </w:rPr>
            </w:pPr>
          </w:p>
        </w:tc>
        <w:tc>
          <w:tcPr>
            <w:tcW w:w="1940" w:type="dxa"/>
            <w:vAlign w:val="bottom"/>
            <w:gridSpan w:val="18"/>
          </w:tcPr>
          <w:p>
            <w:pPr>
              <w:spacing w:after="0" w:line="232" w:lineRule="exact"/>
              <w:rPr>
                <w:sz w:val="20"/>
                <w:szCs w:val="20"/>
                <w:color w:val="auto"/>
              </w:rPr>
            </w:pPr>
            <w:r>
              <w:rPr>
                <w:rFonts w:ascii="Times New Roman" w:cs="Times New Roman" w:eastAsia="Times New Roman" w:hAnsi="Times New Roman"/>
                <w:sz w:val="21"/>
                <w:szCs w:val="21"/>
                <w:color w:val="auto"/>
              </w:rPr>
              <w:t>Certain Calculations</w:t>
            </w:r>
          </w:p>
        </w:tc>
        <w:tc>
          <w:tcPr>
            <w:tcW w:w="220" w:type="dxa"/>
            <w:vAlign w:val="bottom"/>
            <w:gridSpan w:val="4"/>
          </w:tcPr>
          <w:p>
            <w:pPr>
              <w:jc w:val="right"/>
              <w:spacing w:after="0" w:line="232" w:lineRule="exact"/>
              <w:rPr>
                <w:sz w:val="20"/>
                <w:szCs w:val="20"/>
                <w:color w:val="auto"/>
              </w:rPr>
            </w:pPr>
            <w:r>
              <w:rPr>
                <w:rFonts w:ascii="Times New Roman" w:cs="Times New Roman" w:eastAsia="Times New Roman" w:hAnsi="Times New Roman"/>
                <w:sz w:val="21"/>
                <w:szCs w:val="21"/>
                <w:b w:val="1"/>
                <w:bCs w:val="1"/>
                <w:color w:val="FF0000"/>
                <w:strike w:val="1"/>
                <w:w w:val="95"/>
              </w:rPr>
              <w:t>66</w:t>
            </w:r>
          </w:p>
        </w:tc>
        <w:tc>
          <w:tcPr>
            <w:tcW w:w="220" w:type="dxa"/>
            <w:vAlign w:val="bottom"/>
            <w:tcBorders>
              <w:bottom w:val="single" w:sz="8" w:color="0000FF"/>
            </w:tcBorders>
            <w:gridSpan w:val="5"/>
          </w:tcPr>
          <w:p>
            <w:pPr>
              <w:jc w:val="right"/>
              <w:spacing w:after="0" w:line="232" w:lineRule="exact"/>
              <w:rPr>
                <w:sz w:val="20"/>
                <w:szCs w:val="20"/>
                <w:color w:val="auto"/>
              </w:rPr>
            </w:pPr>
            <w:r>
              <w:rPr>
                <w:rFonts w:ascii="Times New Roman" w:cs="Times New Roman" w:eastAsia="Times New Roman" w:hAnsi="Times New Roman"/>
                <w:sz w:val="21"/>
                <w:szCs w:val="21"/>
                <w:b w:val="1"/>
                <w:bCs w:val="1"/>
                <w:color w:val="0000FF"/>
                <w:w w:val="95"/>
              </w:rPr>
              <w:t>68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080" w:type="dxa"/>
            <w:vAlign w:val="bottom"/>
            <w:gridSpan w:val="4"/>
          </w:tcPr>
          <w:p>
            <w:pPr>
              <w:spacing w:after="0" w:line="232" w:lineRule="exact"/>
              <w:rPr>
                <w:sz w:val="20"/>
                <w:szCs w:val="20"/>
                <w:color w:val="auto"/>
              </w:rPr>
            </w:pPr>
            <w:r>
              <w:rPr>
                <w:rFonts w:ascii="Times New Roman" w:cs="Times New Roman" w:eastAsia="Times New Roman" w:hAnsi="Times New Roman"/>
                <w:sz w:val="21"/>
                <w:szCs w:val="21"/>
                <w:color w:val="auto"/>
                <w:w w:val="99"/>
              </w:rPr>
              <w:t>Section 1.10</w:t>
            </w:r>
          </w:p>
        </w:tc>
        <w:tc>
          <w:tcPr>
            <w:tcW w:w="220" w:type="dxa"/>
            <w:vAlign w:val="bottom"/>
          </w:tcPr>
          <w:p>
            <w:pPr>
              <w:spacing w:after="0"/>
              <w:rPr>
                <w:sz w:val="20"/>
                <w:szCs w:val="20"/>
                <w:color w:val="auto"/>
              </w:rPr>
            </w:pPr>
          </w:p>
        </w:tc>
        <w:tc>
          <w:tcPr>
            <w:tcW w:w="1020" w:type="dxa"/>
            <w:vAlign w:val="bottom"/>
            <w:gridSpan w:val="6"/>
          </w:tcPr>
          <w:p>
            <w:pPr>
              <w:spacing w:after="0" w:line="232" w:lineRule="exact"/>
              <w:rPr>
                <w:sz w:val="20"/>
                <w:szCs w:val="20"/>
                <w:color w:val="auto"/>
              </w:rPr>
            </w:pPr>
            <w:r>
              <w:rPr>
                <w:rFonts w:ascii="Times New Roman" w:cs="Times New Roman" w:eastAsia="Times New Roman" w:hAnsi="Times New Roman"/>
                <w:sz w:val="21"/>
                <w:szCs w:val="21"/>
                <w:b w:val="1"/>
                <w:bCs w:val="1"/>
                <w:color w:val="FF0000"/>
                <w:strike w:val="1"/>
              </w:rPr>
              <w:t>Divisions</w:t>
            </w:r>
          </w:p>
        </w:tc>
        <w:tc>
          <w:tcPr>
            <w:tcW w:w="340" w:type="dxa"/>
            <w:vAlign w:val="bottom"/>
            <w:gridSpan w:val="2"/>
          </w:tcPr>
          <w:p>
            <w:pPr>
              <w:jc w:val="right"/>
              <w:ind w:right="14"/>
              <w:spacing w:after="0" w:line="232" w:lineRule="exact"/>
              <w:rPr>
                <w:sz w:val="20"/>
                <w:szCs w:val="20"/>
                <w:color w:val="auto"/>
              </w:rPr>
            </w:pPr>
            <w:r>
              <w:rPr>
                <w:rFonts w:ascii="Times New Roman" w:cs="Times New Roman" w:eastAsia="Times New Roman" w:hAnsi="Times New Roman"/>
                <w:sz w:val="21"/>
                <w:szCs w:val="21"/>
                <w:b w:val="1"/>
                <w:bCs w:val="1"/>
                <w:color w:val="FF0000"/>
                <w:strike w:val="1"/>
                <w:w w:val="95"/>
              </w:rPr>
              <w:t>69</w:t>
            </w:r>
          </w:p>
        </w:tc>
        <w:tc>
          <w:tcPr>
            <w:tcW w:w="1620" w:type="dxa"/>
            <w:vAlign w:val="bottom"/>
            <w:gridSpan w:val="26"/>
          </w:tcPr>
          <w:p>
            <w:pPr>
              <w:jc w:val="center"/>
              <w:ind w:right="794"/>
              <w:spacing w:after="0" w:line="232" w:lineRule="exact"/>
              <w:rPr>
                <w:sz w:val="20"/>
                <w:szCs w:val="20"/>
                <w:color w:val="auto"/>
              </w:rPr>
            </w:pPr>
            <w:r>
              <w:rPr>
                <w:rFonts w:ascii="Times New Roman" w:cs="Times New Roman" w:eastAsia="Times New Roman" w:hAnsi="Times New Roman"/>
                <w:sz w:val="21"/>
                <w:szCs w:val="21"/>
                <w:b w:val="1"/>
                <w:bCs w:val="1"/>
                <w:color w:val="0000FF"/>
                <w:w w:val="88"/>
              </w:rPr>
              <w:t>Rates. 70</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080" w:type="dxa"/>
            <w:vAlign w:val="bottom"/>
            <w:gridSpan w:val="4"/>
          </w:tcPr>
          <w:p>
            <w:pPr>
              <w:spacing w:after="0" w:line="232" w:lineRule="exact"/>
              <w:rPr>
                <w:sz w:val="20"/>
                <w:szCs w:val="20"/>
                <w:color w:val="auto"/>
              </w:rPr>
            </w:pPr>
            <w:r>
              <w:rPr>
                <w:rFonts w:ascii="Times New Roman" w:cs="Times New Roman" w:eastAsia="Times New Roman" w:hAnsi="Times New Roman"/>
                <w:sz w:val="21"/>
                <w:szCs w:val="21"/>
                <w:color w:val="auto"/>
                <w:w w:val="99"/>
              </w:rPr>
              <w:t>Section 1.11</w:t>
            </w:r>
          </w:p>
        </w:tc>
        <w:tc>
          <w:tcPr>
            <w:tcW w:w="1240" w:type="dxa"/>
            <w:vAlign w:val="bottom"/>
            <w:tcBorders>
              <w:bottom w:val="single" w:sz="8" w:color="0000FF"/>
            </w:tcBorders>
            <w:gridSpan w:val="7"/>
          </w:tcPr>
          <w:p>
            <w:pPr>
              <w:ind w:left="200"/>
              <w:spacing w:after="0" w:line="232" w:lineRule="exact"/>
              <w:rPr>
                <w:sz w:val="20"/>
                <w:szCs w:val="20"/>
                <w:color w:val="auto"/>
              </w:rPr>
            </w:pPr>
            <w:r>
              <w:rPr>
                <w:rFonts w:ascii="Times New Roman" w:cs="Times New Roman" w:eastAsia="Times New Roman" w:hAnsi="Times New Roman"/>
                <w:sz w:val="21"/>
                <w:szCs w:val="21"/>
                <w:b w:val="1"/>
                <w:bCs w:val="1"/>
                <w:color w:val="0000FF"/>
              </w:rPr>
              <w:t>Divisions</w:t>
            </w:r>
          </w:p>
        </w:tc>
        <w:tc>
          <w:tcPr>
            <w:tcW w:w="340" w:type="dxa"/>
            <w:vAlign w:val="bottom"/>
            <w:tcBorders>
              <w:bottom w:val="single" w:sz="8" w:color="0000FF"/>
            </w:tcBorders>
            <w:gridSpan w:val="2"/>
          </w:tcPr>
          <w:p>
            <w:pPr>
              <w:jc w:val="right"/>
              <w:ind w:right="14"/>
              <w:spacing w:after="0" w:line="232" w:lineRule="exact"/>
              <w:rPr>
                <w:sz w:val="20"/>
                <w:szCs w:val="20"/>
                <w:color w:val="auto"/>
              </w:rPr>
            </w:pPr>
            <w:r>
              <w:rPr>
                <w:rFonts w:ascii="Times New Roman" w:cs="Times New Roman" w:eastAsia="Times New Roman" w:hAnsi="Times New Roman"/>
                <w:sz w:val="21"/>
                <w:szCs w:val="21"/>
                <w:b w:val="1"/>
                <w:bCs w:val="1"/>
                <w:color w:val="0000FF"/>
                <w:w w:val="95"/>
              </w:rPr>
              <w:t>70</w:t>
            </w:r>
          </w:p>
        </w:tc>
        <w:tc>
          <w:tcPr>
            <w:tcW w:w="740" w:type="dxa"/>
            <w:vAlign w:val="bottom"/>
            <w:tcBorders>
              <w:top w:val="single" w:sz="8" w:color="0000FF"/>
            </w:tcBorders>
            <w:gridSpan w:val="13"/>
          </w:tcPr>
          <w:p>
            <w:pPr>
              <w:spacing w:after="0"/>
              <w:rPr>
                <w:sz w:val="20"/>
                <w:szCs w:val="20"/>
                <w:color w:val="auto"/>
              </w:rPr>
            </w:pPr>
          </w:p>
        </w:tc>
        <w:tc>
          <w:tcPr>
            <w:tcW w:w="5220" w:type="dxa"/>
            <w:vAlign w:val="bottom"/>
            <w:gridSpan w:val="43"/>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1080" w:type="dxa"/>
            <w:vAlign w:val="bottom"/>
            <w:gridSpan w:val="4"/>
          </w:tcPr>
          <w:p>
            <w:pPr>
              <w:spacing w:after="0"/>
              <w:rPr>
                <w:sz w:val="20"/>
                <w:szCs w:val="20"/>
                <w:color w:val="auto"/>
              </w:rPr>
            </w:pPr>
            <w:r>
              <w:rPr>
                <w:rFonts w:ascii="Times New Roman" w:cs="Times New Roman" w:eastAsia="Times New Roman" w:hAnsi="Times New Roman"/>
                <w:sz w:val="21"/>
                <w:szCs w:val="21"/>
                <w:b w:val="1"/>
                <w:bCs w:val="1"/>
                <w:color w:val="0000FF"/>
                <w:w w:val="96"/>
              </w:rPr>
              <w:t>Section 1.12</w:t>
            </w:r>
          </w:p>
        </w:tc>
        <w:tc>
          <w:tcPr>
            <w:tcW w:w="220" w:type="dxa"/>
            <w:vAlign w:val="bottom"/>
          </w:tcPr>
          <w:p>
            <w:pPr>
              <w:spacing w:after="0"/>
              <w:rPr>
                <w:sz w:val="21"/>
                <w:szCs w:val="21"/>
                <w:color w:val="auto"/>
              </w:rPr>
            </w:pPr>
          </w:p>
        </w:tc>
        <w:tc>
          <w:tcPr>
            <w:tcW w:w="3340" w:type="dxa"/>
            <w:vAlign w:val="bottom"/>
            <w:gridSpan w:val="39"/>
          </w:tcPr>
          <w:p>
            <w:pPr>
              <w:jc w:val="center"/>
              <w:spacing w:after="0"/>
              <w:rPr>
                <w:sz w:val="20"/>
                <w:szCs w:val="20"/>
                <w:color w:val="auto"/>
              </w:rPr>
            </w:pPr>
            <w:r>
              <w:rPr>
                <w:rFonts w:ascii="Times New Roman" w:cs="Times New Roman" w:eastAsia="Times New Roman" w:hAnsi="Times New Roman"/>
                <w:sz w:val="21"/>
                <w:szCs w:val="21"/>
                <w:color w:val="auto"/>
              </w:rPr>
              <w:t>Interest Rates; Benchmark Notification</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gridSpan w:val="2"/>
          </w:tcPr>
          <w:p>
            <w:pPr>
              <w:jc w:val="center"/>
              <w:spacing w:after="0"/>
              <w:rPr>
                <w:sz w:val="20"/>
                <w:szCs w:val="20"/>
                <w:color w:val="auto"/>
              </w:rPr>
            </w:pPr>
            <w:r>
              <w:rPr>
                <w:rFonts w:ascii="Times New Roman" w:cs="Times New Roman" w:eastAsia="Times New Roman" w:hAnsi="Times New Roman"/>
                <w:sz w:val="21"/>
                <w:szCs w:val="21"/>
                <w:b w:val="1"/>
                <w:bCs w:val="1"/>
                <w:color w:val="FF0000"/>
                <w:strike w:val="1"/>
              </w:rPr>
              <w:t>69</w:t>
            </w:r>
          </w:p>
        </w:tc>
        <w:tc>
          <w:tcPr>
            <w:tcW w:w="320" w:type="dxa"/>
            <w:vAlign w:val="bottom"/>
            <w:gridSpan w:val="3"/>
          </w:tcPr>
          <w:p>
            <w:pPr>
              <w:jc w:val="right"/>
              <w:ind w:right="120"/>
              <w:spacing w:after="0"/>
              <w:rPr>
                <w:sz w:val="20"/>
                <w:szCs w:val="20"/>
                <w:color w:val="auto"/>
              </w:rPr>
            </w:pPr>
            <w:r>
              <w:rPr>
                <w:rFonts w:ascii="Times New Roman" w:cs="Times New Roman" w:eastAsia="Times New Roman" w:hAnsi="Times New Roman"/>
                <w:sz w:val="21"/>
                <w:szCs w:val="21"/>
                <w:b w:val="1"/>
                <w:bCs w:val="1"/>
                <w:color w:val="0000FF"/>
                <w:w w:val="85"/>
              </w:rPr>
              <w:t>71</w:t>
            </w: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80" w:type="dxa"/>
            <w:vAlign w:val="bottom"/>
            <w:tcBorders>
              <w:right w:val="single" w:sz="8" w:color="0000FF"/>
            </w:tcBorders>
            <w:gridSpan w:val="4"/>
            <w:shd w:val="clear" w:color="auto" w:fill="0000FF"/>
          </w:tcPr>
          <w:p>
            <w:pPr>
              <w:spacing w:after="0" w:line="20" w:lineRule="exact"/>
              <w:rPr>
                <w:sz w:val="1"/>
                <w:szCs w:val="1"/>
                <w:color w:val="auto"/>
              </w:rPr>
            </w:pPr>
          </w:p>
        </w:tc>
        <w:tc>
          <w:tcPr>
            <w:tcW w:w="7540" w:type="dxa"/>
            <w:vAlign w:val="bottom"/>
            <w:gridSpan w:val="6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700" w:type="dxa"/>
            <w:vAlign w:val="bottom"/>
            <w:gridSpan w:val="3"/>
          </w:tcPr>
          <w:p>
            <w:pPr>
              <w:spacing w:after="0" w:line="232" w:lineRule="exact"/>
              <w:rPr>
                <w:sz w:val="20"/>
                <w:szCs w:val="20"/>
                <w:color w:val="auto"/>
              </w:rPr>
            </w:pPr>
            <w:r>
              <w:rPr>
                <w:rFonts w:ascii="Times New Roman" w:cs="Times New Roman" w:eastAsia="Times New Roman" w:hAnsi="Times New Roman"/>
                <w:sz w:val="21"/>
                <w:szCs w:val="21"/>
                <w:color w:val="auto"/>
              </w:rPr>
              <w:t>Section</w:t>
            </w:r>
          </w:p>
        </w:tc>
        <w:tc>
          <w:tcPr>
            <w:tcW w:w="380" w:type="dxa"/>
            <w:vAlign w:val="bottom"/>
          </w:tcPr>
          <w:p>
            <w:pPr>
              <w:jc w:val="right"/>
              <w:spacing w:after="0" w:line="232" w:lineRule="exact"/>
              <w:rPr>
                <w:sz w:val="20"/>
                <w:szCs w:val="20"/>
                <w:color w:val="auto"/>
              </w:rPr>
            </w:pPr>
            <w:r>
              <w:rPr>
                <w:rFonts w:ascii="Times New Roman" w:cs="Times New Roman" w:eastAsia="Times New Roman" w:hAnsi="Times New Roman"/>
                <w:sz w:val="21"/>
                <w:szCs w:val="21"/>
                <w:b w:val="1"/>
                <w:bCs w:val="1"/>
                <w:color w:val="FF0000"/>
                <w:strike w:val="1"/>
                <w:w w:val="92"/>
              </w:rPr>
              <w:t>1.12</w:t>
            </w:r>
          </w:p>
        </w:tc>
        <w:tc>
          <w:tcPr>
            <w:tcW w:w="2160" w:type="dxa"/>
            <w:vAlign w:val="bottom"/>
            <w:gridSpan w:val="19"/>
          </w:tcPr>
          <w:p>
            <w:pPr>
              <w:jc w:val="center"/>
              <w:ind w:right="14"/>
              <w:spacing w:after="0" w:line="232" w:lineRule="exact"/>
              <w:rPr>
                <w:sz w:val="20"/>
                <w:szCs w:val="20"/>
                <w:color w:val="auto"/>
              </w:rPr>
            </w:pPr>
            <w:r>
              <w:rPr>
                <w:rFonts w:ascii="Times New Roman" w:cs="Times New Roman" w:eastAsia="Times New Roman" w:hAnsi="Times New Roman"/>
                <w:sz w:val="21"/>
                <w:szCs w:val="21"/>
                <w:b w:val="1"/>
                <w:bCs w:val="1"/>
                <w:color w:val="0000FF"/>
              </w:rPr>
              <w:t xml:space="preserve">1.13  </w:t>
            </w:r>
            <w:r>
              <w:rPr>
                <w:rFonts w:ascii="Times New Roman" w:cs="Times New Roman" w:eastAsia="Times New Roman" w:hAnsi="Times New Roman"/>
                <w:sz w:val="21"/>
                <w:szCs w:val="21"/>
                <w:color w:val="000000"/>
              </w:rPr>
              <w:t>The Transactions</w:t>
            </w:r>
          </w:p>
        </w:tc>
        <w:tc>
          <w:tcPr>
            <w:tcW w:w="60" w:type="dxa"/>
            <w:vAlign w:val="bottom"/>
          </w:tcPr>
          <w:p>
            <w:pPr>
              <w:spacing w:after="0"/>
              <w:rPr>
                <w:sz w:val="20"/>
                <w:szCs w:val="20"/>
                <w:color w:val="auto"/>
              </w:rPr>
            </w:pPr>
          </w:p>
        </w:tc>
        <w:tc>
          <w:tcPr>
            <w:tcW w:w="280" w:type="dxa"/>
            <w:vAlign w:val="bottom"/>
            <w:gridSpan w:val="6"/>
          </w:tcPr>
          <w:p>
            <w:pPr>
              <w:jc w:val="right"/>
              <w:ind w:right="20"/>
              <w:spacing w:after="0" w:line="232" w:lineRule="exact"/>
              <w:rPr>
                <w:sz w:val="20"/>
                <w:szCs w:val="20"/>
                <w:color w:val="auto"/>
              </w:rPr>
            </w:pPr>
            <w:r>
              <w:rPr>
                <w:rFonts w:ascii="Times New Roman" w:cs="Times New Roman" w:eastAsia="Times New Roman" w:hAnsi="Times New Roman"/>
                <w:sz w:val="21"/>
                <w:szCs w:val="21"/>
                <w:b w:val="1"/>
                <w:bCs w:val="1"/>
                <w:color w:val="FF0000"/>
                <w:strike w:val="1"/>
              </w:rPr>
              <w:t>70</w:t>
            </w:r>
          </w:p>
        </w:tc>
        <w:tc>
          <w:tcPr>
            <w:tcW w:w="200" w:type="dxa"/>
            <w:vAlign w:val="bottom"/>
            <w:gridSpan w:val="4"/>
          </w:tcPr>
          <w:p>
            <w:pPr>
              <w:spacing w:after="0" w:line="232" w:lineRule="exact"/>
              <w:rPr>
                <w:sz w:val="20"/>
                <w:szCs w:val="20"/>
                <w:color w:val="auto"/>
              </w:rPr>
            </w:pPr>
            <w:r>
              <w:rPr>
                <w:rFonts w:ascii="Times New Roman" w:cs="Times New Roman" w:eastAsia="Times New Roman" w:hAnsi="Times New Roman"/>
                <w:sz w:val="21"/>
                <w:szCs w:val="21"/>
                <w:b w:val="1"/>
                <w:bCs w:val="1"/>
                <w:color w:val="0000FF"/>
                <w:w w:val="85"/>
              </w:rPr>
              <w:t>71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vMerge w:val="restart"/>
          </w:tcPr>
          <w:p>
            <w:pPr>
              <w:spacing w:after="0"/>
              <w:rPr>
                <w:sz w:val="20"/>
                <w:szCs w:val="20"/>
                <w:color w:val="auto"/>
              </w:rPr>
            </w:pPr>
            <w:r>
              <w:rPr>
                <w:rFonts w:ascii="Times New Roman" w:cs="Times New Roman" w:eastAsia="Times New Roman" w:hAnsi="Times New Roman"/>
                <w:sz w:val="21"/>
                <w:szCs w:val="21"/>
                <w:b w:val="1"/>
                <w:bCs w:val="1"/>
                <w:color w:val="FF0000"/>
                <w:strike w:val="1"/>
                <w:w w:val="95"/>
              </w:rPr>
              <w:t>70</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1"/>
                <w:szCs w:val="21"/>
                <w:b w:val="1"/>
                <w:bCs w:val="1"/>
                <w:color w:val="0000FF"/>
                <w:w w:val="85"/>
              </w:rPr>
              <w:t>71</w:t>
            </w: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Borders>
              <w:right w:val="single" w:sz="8" w:color="0000FF"/>
            </w:tcBorders>
            <w:gridSpan w:val="2"/>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200" w:type="dxa"/>
            <w:vAlign w:val="bottom"/>
            <w:gridSpan w:val="2"/>
            <w:vMerge w:val="continu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9"/>
        </w:trPr>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700" w:type="dxa"/>
            <w:vAlign w:val="bottom"/>
            <w:gridSpan w:val="51"/>
          </w:tcPr>
          <w:p>
            <w:pPr>
              <w:ind w:left="120"/>
              <w:spacing w:after="0"/>
              <w:rPr>
                <w:sz w:val="20"/>
                <w:szCs w:val="20"/>
                <w:color w:val="auto"/>
              </w:rPr>
            </w:pPr>
            <w:r>
              <w:rPr>
                <w:rFonts w:ascii="Times New Roman" w:cs="Times New Roman" w:eastAsia="Times New Roman" w:hAnsi="Times New Roman"/>
                <w:sz w:val="21"/>
                <w:szCs w:val="21"/>
                <w:color w:val="auto"/>
              </w:rPr>
              <w:t>Article 2. The Commitments and Credit Extensions</w:t>
            </w:r>
          </w:p>
        </w:tc>
        <w:tc>
          <w:tcPr>
            <w:tcW w:w="220" w:type="dxa"/>
            <w:vAlign w:val="bottom"/>
            <w:vMerge w:val="continue"/>
          </w:tcPr>
          <w:p>
            <w:pPr>
              <w:spacing w:after="0"/>
              <w:rPr>
                <w:sz w:val="24"/>
                <w:szCs w:val="24"/>
                <w:color w:val="auto"/>
              </w:rPr>
            </w:pPr>
          </w:p>
        </w:tc>
        <w:tc>
          <w:tcPr>
            <w:tcW w:w="200" w:type="dxa"/>
            <w:vAlign w:val="bottom"/>
            <w:tcBorders>
              <w:bottom w:val="single" w:sz="8" w:color="0000FF"/>
            </w:tcBorders>
            <w:gridSpan w:val="2"/>
            <w:vMerge w:val="continue"/>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4"/>
        </w:trPr>
        <w:tc>
          <w:tcPr>
            <w:tcW w:w="1080" w:type="dxa"/>
            <w:vAlign w:val="bottom"/>
            <w:gridSpan w:val="4"/>
          </w:tcPr>
          <w:p>
            <w:pPr>
              <w:spacing w:after="0"/>
              <w:rPr>
                <w:sz w:val="20"/>
                <w:szCs w:val="20"/>
                <w:color w:val="auto"/>
              </w:rPr>
            </w:pPr>
            <w:r>
              <w:rPr>
                <w:rFonts w:ascii="Times New Roman" w:cs="Times New Roman" w:eastAsia="Times New Roman" w:hAnsi="Times New Roman"/>
                <w:sz w:val="21"/>
                <w:szCs w:val="21"/>
                <w:color w:val="auto"/>
                <w:w w:val="99"/>
              </w:rPr>
              <w:t>Section 2.01</w:t>
            </w:r>
          </w:p>
        </w:tc>
        <w:tc>
          <w:tcPr>
            <w:tcW w:w="220" w:type="dxa"/>
            <w:vAlign w:val="bottom"/>
          </w:tcPr>
          <w:p>
            <w:pPr>
              <w:spacing w:after="0"/>
              <w:rPr>
                <w:sz w:val="24"/>
                <w:szCs w:val="24"/>
                <w:color w:val="auto"/>
              </w:rPr>
            </w:pPr>
          </w:p>
        </w:tc>
        <w:tc>
          <w:tcPr>
            <w:tcW w:w="2980" w:type="dxa"/>
            <w:vAlign w:val="bottom"/>
            <w:gridSpan w:val="34"/>
          </w:tcPr>
          <w:p>
            <w:pPr>
              <w:spacing w:after="0"/>
              <w:rPr>
                <w:sz w:val="20"/>
                <w:szCs w:val="20"/>
                <w:color w:val="auto"/>
              </w:rPr>
            </w:pPr>
            <w:r>
              <w:rPr>
                <w:rFonts w:ascii="Times New Roman" w:cs="Times New Roman" w:eastAsia="Times New Roman" w:hAnsi="Times New Roman"/>
                <w:sz w:val="21"/>
                <w:szCs w:val="21"/>
                <w:color w:val="auto"/>
              </w:rPr>
              <w:t>The Revolving Credit Borrowings</w:t>
            </w:r>
          </w:p>
        </w:tc>
        <w:tc>
          <w:tcPr>
            <w:tcW w:w="140" w:type="dxa"/>
            <w:vAlign w:val="bottom"/>
            <w:gridSpan w:val="2"/>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1"/>
                <w:szCs w:val="21"/>
                <w:b w:val="1"/>
                <w:bCs w:val="1"/>
                <w:color w:val="FF0000"/>
                <w:strike w:val="1"/>
                <w:w w:val="85"/>
              </w:rPr>
              <w:t>70</w:t>
            </w:r>
          </w:p>
        </w:tc>
        <w:tc>
          <w:tcPr>
            <w:tcW w:w="22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21"/>
                <w:szCs w:val="21"/>
                <w:b w:val="1"/>
                <w:bCs w:val="1"/>
                <w:color w:val="0000FF"/>
                <w:w w:val="95"/>
              </w:rPr>
              <w:t>71</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gridSpan w:val="3"/>
            <w:vMerge w:val="restart"/>
          </w:tcPr>
          <w:p>
            <w:pPr>
              <w:spacing w:after="0"/>
              <w:rPr>
                <w:sz w:val="20"/>
                <w:szCs w:val="20"/>
                <w:color w:val="auto"/>
              </w:rPr>
            </w:pPr>
            <w:r>
              <w:rPr>
                <w:rFonts w:ascii="Times New Roman" w:cs="Times New Roman" w:eastAsia="Times New Roman" w:hAnsi="Times New Roman"/>
                <w:sz w:val="21"/>
                <w:szCs w:val="21"/>
                <w:b w:val="1"/>
                <w:bCs w:val="1"/>
                <w:color w:val="FF0000"/>
                <w:strike w:val="1"/>
                <w:w w:val="95"/>
              </w:rPr>
              <w:t>70</w:t>
            </w:r>
          </w:p>
        </w:tc>
        <w:tc>
          <w:tcPr>
            <w:tcW w:w="3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21"/>
                <w:szCs w:val="21"/>
                <w:b w:val="1"/>
                <w:bCs w:val="1"/>
                <w:color w:val="0000FF"/>
                <w:w w:val="85"/>
              </w:rPr>
              <w:t>72</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080" w:type="dxa"/>
            <w:vAlign w:val="bottom"/>
            <w:gridSpan w:val="4"/>
          </w:tcPr>
          <w:p>
            <w:pPr>
              <w:spacing w:after="0" w:line="232" w:lineRule="exact"/>
              <w:rPr>
                <w:sz w:val="20"/>
                <w:szCs w:val="20"/>
                <w:color w:val="auto"/>
              </w:rPr>
            </w:pPr>
            <w:r>
              <w:rPr>
                <w:rFonts w:ascii="Times New Roman" w:cs="Times New Roman" w:eastAsia="Times New Roman" w:hAnsi="Times New Roman"/>
                <w:sz w:val="21"/>
                <w:szCs w:val="21"/>
                <w:color w:val="auto"/>
                <w:w w:val="99"/>
              </w:rPr>
              <w:t>Section 2.02</w:t>
            </w:r>
          </w:p>
        </w:tc>
        <w:tc>
          <w:tcPr>
            <w:tcW w:w="220" w:type="dxa"/>
            <w:vAlign w:val="bottom"/>
          </w:tcPr>
          <w:p>
            <w:pPr>
              <w:spacing w:after="0"/>
              <w:rPr>
                <w:sz w:val="20"/>
                <w:szCs w:val="20"/>
                <w:color w:val="auto"/>
              </w:rPr>
            </w:pPr>
          </w:p>
        </w:tc>
        <w:tc>
          <w:tcPr>
            <w:tcW w:w="4780" w:type="dxa"/>
            <w:vAlign w:val="bottom"/>
            <w:gridSpan w:val="49"/>
          </w:tcPr>
          <w:p>
            <w:pPr>
              <w:spacing w:after="0" w:line="232" w:lineRule="exact"/>
              <w:rPr>
                <w:sz w:val="20"/>
                <w:szCs w:val="20"/>
                <w:color w:val="auto"/>
              </w:rPr>
            </w:pPr>
            <w:r>
              <w:rPr>
                <w:rFonts w:ascii="Times New Roman" w:cs="Times New Roman" w:eastAsia="Times New Roman" w:hAnsi="Times New Roman"/>
                <w:sz w:val="21"/>
                <w:szCs w:val="21"/>
                <w:color w:val="auto"/>
              </w:rPr>
              <w:t>Borrowings, Conversions and Continuations of Loans</w:t>
            </w:r>
          </w:p>
        </w:tc>
        <w:tc>
          <w:tcPr>
            <w:tcW w:w="220" w:type="dxa"/>
            <w:vAlign w:val="bottom"/>
            <w:gridSpan w:val="3"/>
            <w:vMerge w:val="continue"/>
          </w:tcPr>
          <w:p>
            <w:pPr>
              <w:spacing w:after="0"/>
              <w:rPr>
                <w:sz w:val="20"/>
                <w:szCs w:val="20"/>
                <w:color w:val="auto"/>
              </w:rPr>
            </w:pPr>
          </w:p>
        </w:tc>
        <w:tc>
          <w:tcPr>
            <w:tcW w:w="340" w:type="dxa"/>
            <w:vAlign w:val="bottom"/>
            <w:gridSpan w:val="3"/>
            <w:vMerge w:val="continue"/>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3020" w:type="dxa"/>
            <w:vAlign w:val="bottom"/>
            <w:gridSpan w:val="17"/>
          </w:tcPr>
          <w:p>
            <w:pPr>
              <w:spacing w:after="0"/>
              <w:rPr>
                <w:sz w:val="20"/>
                <w:szCs w:val="20"/>
                <w:color w:val="auto"/>
              </w:rPr>
            </w:pPr>
            <w:r>
              <w:rPr>
                <w:rFonts w:ascii="Times New Roman" w:cs="Times New Roman" w:eastAsia="Times New Roman" w:hAnsi="Times New Roman"/>
                <w:sz w:val="21"/>
                <w:szCs w:val="21"/>
                <w:color w:val="auto"/>
              </w:rPr>
              <w:t>Section 2.03  Letters of Credit.</w:t>
            </w:r>
          </w:p>
        </w:tc>
        <w:tc>
          <w:tcPr>
            <w:tcW w:w="160" w:type="dxa"/>
            <w:vAlign w:val="bottom"/>
            <w:gridSpan w:val="4"/>
          </w:tcPr>
          <w:p>
            <w:pPr>
              <w:jc w:val="right"/>
              <w:spacing w:after="0"/>
              <w:rPr>
                <w:sz w:val="20"/>
                <w:szCs w:val="20"/>
                <w:color w:val="auto"/>
              </w:rPr>
            </w:pPr>
            <w:r>
              <w:rPr>
                <w:rFonts w:ascii="Times New Roman" w:cs="Times New Roman" w:eastAsia="Times New Roman" w:hAnsi="Times New Roman"/>
                <w:sz w:val="19"/>
                <w:szCs w:val="19"/>
                <w:b w:val="1"/>
                <w:bCs w:val="1"/>
                <w:color w:val="FF0000"/>
                <w:strike w:val="1"/>
                <w:w w:val="73"/>
              </w:rPr>
              <w:t>72</w:t>
            </w:r>
          </w:p>
        </w:tc>
        <w:tc>
          <w:tcPr>
            <w:tcW w:w="220" w:type="dxa"/>
            <w:vAlign w:val="bottom"/>
            <w:gridSpan w:val="5"/>
          </w:tcPr>
          <w:p>
            <w:pPr>
              <w:jc w:val="right"/>
              <w:spacing w:after="0"/>
              <w:rPr>
                <w:sz w:val="20"/>
                <w:szCs w:val="20"/>
                <w:color w:val="auto"/>
              </w:rPr>
            </w:pPr>
            <w:r>
              <w:rPr>
                <w:rFonts w:ascii="Times New Roman" w:cs="Times New Roman" w:eastAsia="Times New Roman" w:hAnsi="Times New Roman"/>
                <w:sz w:val="21"/>
                <w:szCs w:val="21"/>
                <w:b w:val="1"/>
                <w:bCs w:val="1"/>
                <w:color w:val="0000FF"/>
                <w:w w:val="85"/>
              </w:rPr>
              <w:t>74</w:t>
            </w:r>
          </w:p>
        </w:tc>
        <w:tc>
          <w:tcPr>
            <w:tcW w:w="80" w:type="dxa"/>
            <w:vAlign w:val="bottom"/>
            <w:gridSpan w:val="2"/>
          </w:tcPr>
          <w:p>
            <w:pPr>
              <w:spacing w:after="0"/>
              <w:rPr>
                <w:sz w:val="21"/>
                <w:szCs w:val="21"/>
                <w:color w:val="auto"/>
              </w:rPr>
            </w:pPr>
          </w:p>
        </w:tc>
        <w:tc>
          <w:tcPr>
            <w:tcW w:w="100" w:type="dxa"/>
            <w:vAlign w:val="bottom"/>
            <w:gridSpan w:val="2"/>
          </w:tcPr>
          <w:p>
            <w:pPr>
              <w:spacing w:after="0"/>
              <w:rPr>
                <w:sz w:val="21"/>
                <w:szCs w:val="21"/>
                <w:color w:val="auto"/>
              </w:rPr>
            </w:pPr>
          </w:p>
        </w:tc>
        <w:tc>
          <w:tcPr>
            <w:tcW w:w="180" w:type="dxa"/>
            <w:vAlign w:val="bottom"/>
            <w:gridSpan w:val="3"/>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gridSpan w:val="4"/>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1300" w:type="dxa"/>
            <w:vAlign w:val="bottom"/>
            <w:gridSpan w:val="5"/>
          </w:tcPr>
          <w:p>
            <w:pPr>
              <w:spacing w:after="0" w:line="232" w:lineRule="exact"/>
              <w:rPr>
                <w:sz w:val="20"/>
                <w:szCs w:val="20"/>
                <w:color w:val="auto"/>
              </w:rPr>
            </w:pPr>
            <w:r>
              <w:rPr>
                <w:rFonts w:ascii="Times New Roman" w:cs="Times New Roman" w:eastAsia="Times New Roman" w:hAnsi="Times New Roman"/>
                <w:sz w:val="21"/>
                <w:szCs w:val="21"/>
                <w:color w:val="auto"/>
                <w:w w:val="99"/>
              </w:rPr>
              <w:t>Section 2.04</w:t>
            </w:r>
          </w:p>
        </w:tc>
        <w:tc>
          <w:tcPr>
            <w:tcW w:w="1060" w:type="dxa"/>
            <w:vAlign w:val="bottom"/>
            <w:gridSpan w:val="7"/>
          </w:tcPr>
          <w:p>
            <w:pPr>
              <w:spacing w:after="0" w:line="232" w:lineRule="exact"/>
              <w:rPr>
                <w:sz w:val="20"/>
                <w:szCs w:val="20"/>
                <w:color w:val="auto"/>
              </w:rPr>
            </w:pPr>
            <w:r>
              <w:rPr>
                <w:rFonts w:ascii="Times New Roman" w:cs="Times New Roman" w:eastAsia="Times New Roman" w:hAnsi="Times New Roman"/>
                <w:sz w:val="21"/>
                <w:szCs w:val="21"/>
                <w:color w:val="auto"/>
              </w:rPr>
              <w:t>[Reserved]</w:t>
            </w:r>
          </w:p>
        </w:tc>
        <w:tc>
          <w:tcPr>
            <w:tcW w:w="300" w:type="dxa"/>
            <w:vAlign w:val="bottom"/>
          </w:tcPr>
          <w:p>
            <w:pPr>
              <w:jc w:val="right"/>
              <w:spacing w:after="0" w:line="232" w:lineRule="exact"/>
              <w:rPr>
                <w:sz w:val="20"/>
                <w:szCs w:val="20"/>
                <w:color w:val="auto"/>
              </w:rPr>
            </w:pPr>
            <w:r>
              <w:rPr>
                <w:rFonts w:ascii="Times New Roman" w:cs="Times New Roman" w:eastAsia="Times New Roman" w:hAnsi="Times New Roman"/>
                <w:sz w:val="21"/>
                <w:szCs w:val="21"/>
                <w:b w:val="1"/>
                <w:bCs w:val="1"/>
                <w:color w:val="FF0000"/>
                <w:strike w:val="1"/>
              </w:rPr>
              <w:t>82</w:t>
            </w:r>
          </w:p>
        </w:tc>
        <w:tc>
          <w:tcPr>
            <w:tcW w:w="520" w:type="dxa"/>
            <w:vAlign w:val="bottom"/>
            <w:gridSpan w:val="8"/>
          </w:tcPr>
          <w:p>
            <w:pPr>
              <w:jc w:val="right"/>
              <w:ind w:right="214"/>
              <w:spacing w:after="0" w:line="232" w:lineRule="exact"/>
              <w:rPr>
                <w:sz w:val="20"/>
                <w:szCs w:val="20"/>
                <w:color w:val="auto"/>
              </w:rPr>
            </w:pPr>
            <w:r>
              <w:rPr>
                <w:rFonts w:ascii="Times New Roman" w:cs="Times New Roman" w:eastAsia="Times New Roman" w:hAnsi="Times New Roman"/>
                <w:sz w:val="21"/>
                <w:szCs w:val="21"/>
                <w:b w:val="1"/>
                <w:bCs w:val="1"/>
                <w:color w:val="0000FF"/>
                <w:w w:val="85"/>
              </w:rPr>
              <w:t>84</w:t>
            </w:r>
          </w:p>
        </w:tc>
        <w:tc>
          <w:tcPr>
            <w:tcW w:w="220" w:type="dxa"/>
            <w:vAlign w:val="bottom"/>
            <w:tcBorders>
              <w:top w:val="single" w:sz="8" w:color="0000FF"/>
            </w:tcBorders>
            <w:gridSpan w:val="5"/>
          </w:tcPr>
          <w:p>
            <w:pPr>
              <w:spacing w:after="0"/>
              <w:rPr>
                <w:sz w:val="20"/>
                <w:szCs w:val="20"/>
                <w:color w:val="auto"/>
              </w:rPr>
            </w:pPr>
          </w:p>
        </w:tc>
        <w:tc>
          <w:tcPr>
            <w:tcW w:w="5220" w:type="dxa"/>
            <w:vAlign w:val="bottom"/>
            <w:gridSpan w:val="43"/>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60" w:type="dxa"/>
            <w:vAlign w:val="bottom"/>
            <w:tcBorders>
              <w:right w:val="single" w:sz="8" w:color="0000FF"/>
            </w:tcBorders>
            <w:gridSpan w:val="15"/>
          </w:tcPr>
          <w:p>
            <w:pPr>
              <w:spacing w:after="0" w:line="20" w:lineRule="exact"/>
              <w:rPr>
                <w:sz w:val="1"/>
                <w:szCs w:val="1"/>
                <w:color w:val="auto"/>
              </w:rPr>
            </w:pPr>
          </w:p>
        </w:tc>
        <w:tc>
          <w:tcPr>
            <w:tcW w:w="5760" w:type="dxa"/>
            <w:vAlign w:val="bottom"/>
            <w:gridSpan w:val="5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080" w:type="dxa"/>
            <w:vAlign w:val="bottom"/>
            <w:gridSpan w:val="4"/>
          </w:tcPr>
          <w:p>
            <w:pPr>
              <w:spacing w:after="0" w:line="232" w:lineRule="exact"/>
              <w:rPr>
                <w:sz w:val="20"/>
                <w:szCs w:val="20"/>
                <w:color w:val="auto"/>
              </w:rPr>
            </w:pPr>
            <w:r>
              <w:rPr>
                <w:rFonts w:ascii="Times New Roman" w:cs="Times New Roman" w:eastAsia="Times New Roman" w:hAnsi="Times New Roman"/>
                <w:sz w:val="21"/>
                <w:szCs w:val="21"/>
                <w:color w:val="auto"/>
                <w:w w:val="99"/>
              </w:rPr>
              <w:t>Section 2.05</w:t>
            </w:r>
          </w:p>
        </w:tc>
        <w:tc>
          <w:tcPr>
            <w:tcW w:w="220" w:type="dxa"/>
            <w:vAlign w:val="bottom"/>
          </w:tcPr>
          <w:p>
            <w:pPr>
              <w:spacing w:after="0"/>
              <w:rPr>
                <w:sz w:val="20"/>
                <w:szCs w:val="20"/>
                <w:color w:val="auto"/>
              </w:rPr>
            </w:pPr>
          </w:p>
        </w:tc>
        <w:tc>
          <w:tcPr>
            <w:tcW w:w="1360" w:type="dxa"/>
            <w:vAlign w:val="bottom"/>
            <w:gridSpan w:val="8"/>
          </w:tcPr>
          <w:p>
            <w:pPr>
              <w:spacing w:after="0" w:line="232" w:lineRule="exact"/>
              <w:rPr>
                <w:sz w:val="20"/>
                <w:szCs w:val="20"/>
                <w:color w:val="auto"/>
              </w:rPr>
            </w:pPr>
            <w:r>
              <w:rPr>
                <w:rFonts w:ascii="Times New Roman" w:cs="Times New Roman" w:eastAsia="Times New Roman" w:hAnsi="Times New Roman"/>
                <w:sz w:val="21"/>
                <w:szCs w:val="21"/>
                <w:color w:val="auto"/>
              </w:rPr>
              <w:t>Prepayments</w:t>
            </w:r>
          </w:p>
        </w:tc>
        <w:tc>
          <w:tcPr>
            <w:tcW w:w="200" w:type="dxa"/>
            <w:vAlign w:val="bottom"/>
            <w:gridSpan w:val="2"/>
          </w:tcPr>
          <w:p>
            <w:pPr>
              <w:spacing w:after="0" w:line="232" w:lineRule="exact"/>
              <w:rPr>
                <w:sz w:val="20"/>
                <w:szCs w:val="20"/>
                <w:color w:val="auto"/>
              </w:rPr>
            </w:pPr>
            <w:r>
              <w:rPr>
                <w:rFonts w:ascii="Times New Roman" w:cs="Times New Roman" w:eastAsia="Times New Roman" w:hAnsi="Times New Roman"/>
                <w:sz w:val="21"/>
                <w:szCs w:val="21"/>
                <w:b w:val="1"/>
                <w:bCs w:val="1"/>
                <w:color w:val="FF0000"/>
                <w:strike w:val="1"/>
                <w:w w:val="75"/>
              </w:rPr>
              <w:t>82</w:t>
            </w: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9"/>
                <w:szCs w:val="19"/>
                <w:b w:val="1"/>
                <w:bCs w:val="1"/>
                <w:color w:val="0000FF"/>
                <w:w w:val="73"/>
              </w:rPr>
              <w:t>84</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1"/>
                <w:szCs w:val="21"/>
                <w:b w:val="1"/>
                <w:bCs w:val="1"/>
                <w:color w:val="FF0000"/>
                <w:strike w:val="1"/>
                <w:w w:val="95"/>
              </w:rPr>
              <w:t>85</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21"/>
                <w:szCs w:val="21"/>
                <w:b w:val="1"/>
                <w:bCs w:val="1"/>
                <w:color w:val="0000FF"/>
                <w:w w:val="85"/>
              </w:rPr>
              <w:t>87</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8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right w:val="single" w:sz="8" w:color="0000FF"/>
            </w:tcBorders>
            <w:gridSpan w:val="2"/>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7"/>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220" w:type="dxa"/>
            <w:vAlign w:val="bottom"/>
            <w:gridSpan w:val="2"/>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80" w:type="dxa"/>
            <w:vAlign w:val="bottom"/>
            <w:gridSpan w:val="4"/>
          </w:tcPr>
          <w:p>
            <w:pPr>
              <w:spacing w:after="0" w:line="232" w:lineRule="exact"/>
              <w:rPr>
                <w:sz w:val="20"/>
                <w:szCs w:val="20"/>
                <w:color w:val="auto"/>
              </w:rPr>
            </w:pPr>
            <w:r>
              <w:rPr>
                <w:rFonts w:ascii="Times New Roman" w:cs="Times New Roman" w:eastAsia="Times New Roman" w:hAnsi="Times New Roman"/>
                <w:sz w:val="21"/>
                <w:szCs w:val="21"/>
                <w:color w:val="auto"/>
                <w:w w:val="99"/>
              </w:rPr>
              <w:t>Section 2.06</w:t>
            </w:r>
          </w:p>
        </w:tc>
        <w:tc>
          <w:tcPr>
            <w:tcW w:w="220" w:type="dxa"/>
            <w:vAlign w:val="bottom"/>
          </w:tcPr>
          <w:p>
            <w:pPr>
              <w:spacing w:after="0"/>
              <w:rPr>
                <w:sz w:val="20"/>
                <w:szCs w:val="20"/>
                <w:color w:val="auto"/>
              </w:rPr>
            </w:pPr>
          </w:p>
        </w:tc>
        <w:tc>
          <w:tcPr>
            <w:tcW w:w="3880" w:type="dxa"/>
            <w:vAlign w:val="bottom"/>
            <w:gridSpan w:val="45"/>
          </w:tcPr>
          <w:p>
            <w:pPr>
              <w:spacing w:after="0" w:line="232" w:lineRule="exact"/>
              <w:rPr>
                <w:sz w:val="20"/>
                <w:szCs w:val="20"/>
                <w:color w:val="auto"/>
              </w:rPr>
            </w:pPr>
            <w:r>
              <w:rPr>
                <w:rFonts w:ascii="Times New Roman" w:cs="Times New Roman" w:eastAsia="Times New Roman" w:hAnsi="Times New Roman"/>
                <w:sz w:val="21"/>
                <w:szCs w:val="21"/>
                <w:color w:val="auto"/>
              </w:rPr>
              <w:t>Termination or Reduction of Commitments</w:t>
            </w:r>
          </w:p>
        </w:tc>
        <w:tc>
          <w:tcPr>
            <w:tcW w:w="220" w:type="dxa"/>
            <w:vAlign w:val="bottom"/>
            <w:gridSpan w:val="2"/>
            <w:vMerge w:val="continue"/>
          </w:tcPr>
          <w:p>
            <w:pPr>
              <w:spacing w:after="0"/>
              <w:rPr>
                <w:sz w:val="20"/>
                <w:szCs w:val="20"/>
                <w:color w:val="auto"/>
              </w:rPr>
            </w:pPr>
          </w:p>
        </w:tc>
        <w:tc>
          <w:tcPr>
            <w:tcW w:w="200" w:type="dxa"/>
            <w:vAlign w:val="bottom"/>
            <w:tcBorders>
              <w:bottom w:val="single" w:sz="8" w:color="0000FF"/>
            </w:tcBorders>
            <w:vMerge w:val="continue"/>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080" w:type="dxa"/>
            <w:vAlign w:val="bottom"/>
            <w:gridSpan w:val="4"/>
          </w:tcPr>
          <w:p>
            <w:pPr>
              <w:spacing w:after="0" w:line="232" w:lineRule="exact"/>
              <w:rPr>
                <w:sz w:val="20"/>
                <w:szCs w:val="20"/>
                <w:color w:val="auto"/>
              </w:rPr>
            </w:pPr>
            <w:r>
              <w:rPr>
                <w:rFonts w:ascii="Times New Roman" w:cs="Times New Roman" w:eastAsia="Times New Roman" w:hAnsi="Times New Roman"/>
                <w:sz w:val="21"/>
                <w:szCs w:val="21"/>
                <w:color w:val="auto"/>
                <w:w w:val="99"/>
              </w:rPr>
              <w:t>Section 2.07</w:t>
            </w:r>
          </w:p>
        </w:tc>
        <w:tc>
          <w:tcPr>
            <w:tcW w:w="220" w:type="dxa"/>
            <w:vAlign w:val="bottom"/>
          </w:tcPr>
          <w:p>
            <w:pPr>
              <w:spacing w:after="0"/>
              <w:rPr>
                <w:sz w:val="20"/>
                <w:szCs w:val="20"/>
                <w:color w:val="auto"/>
              </w:rPr>
            </w:pPr>
          </w:p>
        </w:tc>
        <w:tc>
          <w:tcPr>
            <w:tcW w:w="1940" w:type="dxa"/>
            <w:vAlign w:val="bottom"/>
            <w:gridSpan w:val="18"/>
          </w:tcPr>
          <w:p>
            <w:pPr>
              <w:spacing w:after="0" w:line="232" w:lineRule="exact"/>
              <w:rPr>
                <w:sz w:val="20"/>
                <w:szCs w:val="20"/>
                <w:color w:val="auto"/>
              </w:rPr>
            </w:pPr>
            <w:r>
              <w:rPr>
                <w:rFonts w:ascii="Times New Roman" w:cs="Times New Roman" w:eastAsia="Times New Roman" w:hAnsi="Times New Roman"/>
                <w:sz w:val="21"/>
                <w:szCs w:val="21"/>
                <w:color w:val="auto"/>
              </w:rPr>
              <w:t>Repayment of Loans</w:t>
            </w:r>
          </w:p>
        </w:tc>
        <w:tc>
          <w:tcPr>
            <w:tcW w:w="240" w:type="dxa"/>
            <w:vAlign w:val="bottom"/>
            <w:gridSpan w:val="5"/>
          </w:tcPr>
          <w:p>
            <w:pPr>
              <w:jc w:val="right"/>
              <w:spacing w:after="0" w:line="232" w:lineRule="exact"/>
              <w:rPr>
                <w:sz w:val="20"/>
                <w:szCs w:val="20"/>
                <w:color w:val="auto"/>
              </w:rPr>
            </w:pPr>
            <w:r>
              <w:rPr>
                <w:rFonts w:ascii="Times New Roman" w:cs="Times New Roman" w:eastAsia="Times New Roman" w:hAnsi="Times New Roman"/>
                <w:sz w:val="21"/>
                <w:szCs w:val="21"/>
                <w:b w:val="1"/>
                <w:bCs w:val="1"/>
                <w:color w:val="FF0000"/>
                <w:strike w:val="1"/>
              </w:rPr>
              <w:t>85</w:t>
            </w:r>
          </w:p>
        </w:tc>
        <w:tc>
          <w:tcPr>
            <w:tcW w:w="280" w:type="dxa"/>
            <w:vAlign w:val="bottom"/>
            <w:gridSpan w:val="5"/>
          </w:tcPr>
          <w:p>
            <w:pPr>
              <w:jc w:val="right"/>
              <w:ind w:right="60"/>
              <w:spacing w:after="0" w:line="232" w:lineRule="exact"/>
              <w:rPr>
                <w:sz w:val="20"/>
                <w:szCs w:val="20"/>
                <w:color w:val="auto"/>
              </w:rPr>
            </w:pPr>
            <w:r>
              <w:rPr>
                <w:rFonts w:ascii="Times New Roman" w:cs="Times New Roman" w:eastAsia="Times New Roman" w:hAnsi="Times New Roman"/>
                <w:sz w:val="21"/>
                <w:szCs w:val="21"/>
                <w:b w:val="1"/>
                <w:bCs w:val="1"/>
                <w:color w:val="0000FF"/>
                <w:w w:val="95"/>
              </w:rPr>
              <w:t>87</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1300" w:type="dxa"/>
            <w:vAlign w:val="bottom"/>
            <w:gridSpan w:val="5"/>
          </w:tcPr>
          <w:p>
            <w:pPr>
              <w:spacing w:after="0"/>
              <w:rPr>
                <w:sz w:val="20"/>
                <w:szCs w:val="20"/>
                <w:color w:val="auto"/>
              </w:rPr>
            </w:pPr>
            <w:r>
              <w:rPr>
                <w:rFonts w:ascii="Times New Roman" w:cs="Times New Roman" w:eastAsia="Times New Roman" w:hAnsi="Times New Roman"/>
                <w:sz w:val="21"/>
                <w:szCs w:val="21"/>
                <w:color w:val="auto"/>
                <w:w w:val="99"/>
              </w:rPr>
              <w:t>Section 2.08</w:t>
            </w:r>
          </w:p>
        </w:tc>
        <w:tc>
          <w:tcPr>
            <w:tcW w:w="800" w:type="dxa"/>
            <w:vAlign w:val="bottom"/>
            <w:gridSpan w:val="4"/>
          </w:tcPr>
          <w:p>
            <w:pPr>
              <w:spacing w:after="0"/>
              <w:rPr>
                <w:sz w:val="20"/>
                <w:szCs w:val="20"/>
                <w:color w:val="auto"/>
              </w:rPr>
            </w:pPr>
            <w:r>
              <w:rPr>
                <w:rFonts w:ascii="Times New Roman" w:cs="Times New Roman" w:eastAsia="Times New Roman" w:hAnsi="Times New Roman"/>
                <w:sz w:val="21"/>
                <w:szCs w:val="21"/>
                <w:color w:val="auto"/>
              </w:rPr>
              <w:t>Interest</w:t>
            </w:r>
          </w:p>
        </w:tc>
        <w:tc>
          <w:tcPr>
            <w:tcW w:w="260" w:type="dxa"/>
            <w:vAlign w:val="bottom"/>
            <w:gridSpan w:val="3"/>
          </w:tcPr>
          <w:p>
            <w:pPr>
              <w:ind w:left="40"/>
              <w:spacing w:after="0"/>
              <w:rPr>
                <w:sz w:val="20"/>
                <w:szCs w:val="20"/>
                <w:color w:val="auto"/>
              </w:rPr>
            </w:pPr>
            <w:r>
              <w:rPr>
                <w:rFonts w:ascii="Times New Roman" w:cs="Times New Roman" w:eastAsia="Times New Roman" w:hAnsi="Times New Roman"/>
                <w:sz w:val="21"/>
                <w:szCs w:val="21"/>
                <w:b w:val="1"/>
                <w:bCs w:val="1"/>
                <w:color w:val="FF0000"/>
                <w:strike w:val="1"/>
                <w:w w:val="95"/>
              </w:rPr>
              <w:t>86</w:t>
            </w:r>
          </w:p>
        </w:tc>
        <w:tc>
          <w:tcPr>
            <w:tcW w:w="1120" w:type="dxa"/>
            <w:vAlign w:val="bottom"/>
            <w:gridSpan w:val="16"/>
          </w:tcPr>
          <w:p>
            <w:pPr>
              <w:jc w:val="right"/>
              <w:ind w:right="814"/>
              <w:spacing w:after="0"/>
              <w:rPr>
                <w:sz w:val="20"/>
                <w:szCs w:val="20"/>
                <w:color w:val="auto"/>
              </w:rPr>
            </w:pPr>
            <w:r>
              <w:rPr>
                <w:rFonts w:ascii="Times New Roman" w:cs="Times New Roman" w:eastAsia="Times New Roman" w:hAnsi="Times New Roman"/>
                <w:sz w:val="21"/>
                <w:szCs w:val="21"/>
                <w:b w:val="1"/>
                <w:bCs w:val="1"/>
                <w:color w:val="0000FF"/>
                <w:w w:val="85"/>
              </w:rPr>
              <w:t>88</w:t>
            </w:r>
          </w:p>
        </w:tc>
        <w:tc>
          <w:tcPr>
            <w:tcW w:w="280" w:type="dxa"/>
            <w:vAlign w:val="bottom"/>
            <w:tcBorders>
              <w:top w:val="single" w:sz="8" w:color="0000FF"/>
            </w:tcBorders>
            <w:gridSpan w:val="5"/>
          </w:tcPr>
          <w:p>
            <w:pPr>
              <w:spacing w:after="0"/>
              <w:rPr>
                <w:sz w:val="21"/>
                <w:szCs w:val="21"/>
                <w:color w:val="auto"/>
              </w:rPr>
            </w:pPr>
          </w:p>
        </w:tc>
        <w:tc>
          <w:tcPr>
            <w:tcW w:w="4860" w:type="dxa"/>
            <w:vAlign w:val="bottom"/>
            <w:gridSpan w:val="36"/>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1300" w:type="dxa"/>
            <w:vAlign w:val="bottom"/>
            <w:gridSpan w:val="5"/>
          </w:tcPr>
          <w:p>
            <w:pPr>
              <w:spacing w:after="0" w:line="232" w:lineRule="exact"/>
              <w:rPr>
                <w:sz w:val="20"/>
                <w:szCs w:val="20"/>
                <w:color w:val="auto"/>
              </w:rPr>
            </w:pPr>
            <w:r>
              <w:rPr>
                <w:rFonts w:ascii="Times New Roman" w:cs="Times New Roman" w:eastAsia="Times New Roman" w:hAnsi="Times New Roman"/>
                <w:sz w:val="21"/>
                <w:szCs w:val="21"/>
                <w:color w:val="auto"/>
                <w:w w:val="99"/>
              </w:rPr>
              <w:t>Section 2.09</w:t>
            </w:r>
          </w:p>
        </w:tc>
        <w:tc>
          <w:tcPr>
            <w:tcW w:w="600" w:type="dxa"/>
            <w:vAlign w:val="bottom"/>
            <w:gridSpan w:val="2"/>
          </w:tcPr>
          <w:p>
            <w:pPr>
              <w:spacing w:after="0" w:line="232" w:lineRule="exact"/>
              <w:rPr>
                <w:sz w:val="20"/>
                <w:szCs w:val="20"/>
                <w:color w:val="auto"/>
              </w:rPr>
            </w:pPr>
            <w:r>
              <w:rPr>
                <w:rFonts w:ascii="Times New Roman" w:cs="Times New Roman" w:eastAsia="Times New Roman" w:hAnsi="Times New Roman"/>
                <w:sz w:val="21"/>
                <w:szCs w:val="21"/>
                <w:color w:val="auto"/>
              </w:rPr>
              <w:t>Fees</w:t>
            </w:r>
          </w:p>
        </w:tc>
        <w:tc>
          <w:tcPr>
            <w:tcW w:w="200" w:type="dxa"/>
            <w:vAlign w:val="bottom"/>
            <w:gridSpan w:val="2"/>
          </w:tcPr>
          <w:p>
            <w:pPr>
              <w:jc w:val="right"/>
              <w:spacing w:after="0" w:line="232" w:lineRule="exact"/>
              <w:rPr>
                <w:sz w:val="20"/>
                <w:szCs w:val="20"/>
                <w:color w:val="auto"/>
              </w:rPr>
            </w:pPr>
            <w:r>
              <w:rPr>
                <w:rFonts w:ascii="Times New Roman" w:cs="Times New Roman" w:eastAsia="Times New Roman" w:hAnsi="Times New Roman"/>
                <w:sz w:val="21"/>
                <w:szCs w:val="21"/>
                <w:b w:val="1"/>
                <w:bCs w:val="1"/>
                <w:color w:val="FF0000"/>
                <w:strike w:val="1"/>
                <w:w w:val="85"/>
              </w:rPr>
              <w:t>86</w:t>
            </w:r>
          </w:p>
        </w:tc>
        <w:tc>
          <w:tcPr>
            <w:tcW w:w="220" w:type="dxa"/>
            <w:vAlign w:val="bottom"/>
            <w:tcBorders>
              <w:bottom w:val="single" w:sz="8" w:color="0000FF"/>
            </w:tcBorders>
            <w:gridSpan w:val="2"/>
          </w:tcPr>
          <w:p>
            <w:pPr>
              <w:ind w:left="20"/>
              <w:spacing w:after="0" w:line="232" w:lineRule="exact"/>
              <w:rPr>
                <w:sz w:val="20"/>
                <w:szCs w:val="20"/>
                <w:color w:val="auto"/>
              </w:rPr>
            </w:pPr>
            <w:r>
              <w:rPr>
                <w:rFonts w:ascii="Times New Roman" w:cs="Times New Roman" w:eastAsia="Times New Roman" w:hAnsi="Times New Roman"/>
                <w:sz w:val="21"/>
                <w:szCs w:val="21"/>
                <w:b w:val="1"/>
                <w:bCs w:val="1"/>
                <w:color w:val="0000FF"/>
                <w:w w:val="85"/>
              </w:rPr>
              <w:t>88</w:t>
            </w:r>
          </w:p>
        </w:tc>
        <w:tc>
          <w:tcPr>
            <w:tcW w:w="40" w:type="dxa"/>
            <w:vAlign w:val="bottom"/>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5540" w:type="dxa"/>
            <w:vAlign w:val="bottom"/>
            <w:gridSpan w:val="54"/>
          </w:tcPr>
          <w:p>
            <w:pPr>
              <w:spacing w:after="0"/>
              <w:rPr>
                <w:sz w:val="20"/>
                <w:szCs w:val="20"/>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1"/>
                <w:szCs w:val="21"/>
                <w:b w:val="1"/>
                <w:bCs w:val="1"/>
                <w:color w:val="FF0000"/>
                <w:strike w:val="1"/>
                <w:w w:val="95"/>
              </w:rPr>
              <w:t>87</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21"/>
                <w:szCs w:val="21"/>
                <w:b w:val="1"/>
                <w:bCs w:val="1"/>
                <w:color w:val="0000FF"/>
                <w:w w:val="85"/>
              </w:rPr>
              <w:t>89</w:t>
            </w:r>
          </w:p>
        </w:tc>
        <w:tc>
          <w:tcPr>
            <w:tcW w:w="0" w:type="dxa"/>
            <w:vAlign w:val="bottom"/>
          </w:tcPr>
          <w:p>
            <w:pPr>
              <w:spacing w:after="0"/>
              <w:rPr>
                <w:sz w:val="1"/>
                <w:szCs w:val="1"/>
                <w:color w:val="auto"/>
              </w:rPr>
            </w:pPr>
          </w:p>
        </w:tc>
      </w:tr>
      <w:tr>
        <w:trPr>
          <w:trHeight w:val="237"/>
        </w:trPr>
        <w:tc>
          <w:tcPr>
            <w:tcW w:w="1080" w:type="dxa"/>
            <w:vAlign w:val="bottom"/>
            <w:gridSpan w:val="4"/>
          </w:tcPr>
          <w:p>
            <w:pPr>
              <w:spacing w:after="0" w:line="232" w:lineRule="exact"/>
              <w:rPr>
                <w:sz w:val="20"/>
                <w:szCs w:val="20"/>
                <w:color w:val="auto"/>
              </w:rPr>
            </w:pPr>
            <w:r>
              <w:rPr>
                <w:rFonts w:ascii="Times New Roman" w:cs="Times New Roman" w:eastAsia="Times New Roman" w:hAnsi="Times New Roman"/>
                <w:sz w:val="21"/>
                <w:szCs w:val="21"/>
                <w:color w:val="auto"/>
                <w:w w:val="99"/>
              </w:rPr>
              <w:t>Section 2.10</w:t>
            </w:r>
          </w:p>
        </w:tc>
        <w:tc>
          <w:tcPr>
            <w:tcW w:w="220" w:type="dxa"/>
            <w:vAlign w:val="bottom"/>
          </w:tcPr>
          <w:p>
            <w:pPr>
              <w:spacing w:after="0"/>
              <w:rPr>
                <w:sz w:val="20"/>
                <w:szCs w:val="20"/>
                <w:color w:val="auto"/>
              </w:rPr>
            </w:pPr>
          </w:p>
        </w:tc>
        <w:tc>
          <w:tcPr>
            <w:tcW w:w="6900" w:type="dxa"/>
            <w:vAlign w:val="bottom"/>
            <w:gridSpan w:val="62"/>
          </w:tcPr>
          <w:p>
            <w:pPr>
              <w:spacing w:after="0" w:line="232" w:lineRule="exact"/>
              <w:rPr>
                <w:sz w:val="20"/>
                <w:szCs w:val="20"/>
                <w:color w:val="auto"/>
              </w:rPr>
            </w:pPr>
            <w:r>
              <w:rPr>
                <w:rFonts w:ascii="Times New Roman" w:cs="Times New Roman" w:eastAsia="Times New Roman" w:hAnsi="Times New Roman"/>
                <w:sz w:val="21"/>
                <w:szCs w:val="21"/>
                <w:color w:val="auto"/>
              </w:rPr>
              <w:t>Computation of Interest and Fees; Retroactive Adjustments of Applicable Rate</w:t>
            </w:r>
          </w:p>
        </w:tc>
        <w:tc>
          <w:tcPr>
            <w:tcW w:w="220" w:type="dxa"/>
            <w:vAlign w:val="bottom"/>
            <w:vMerge w:val="continue"/>
          </w:tcPr>
          <w:p>
            <w:pPr>
              <w:spacing w:after="0"/>
              <w:rPr>
                <w:sz w:val="20"/>
                <w:szCs w:val="20"/>
                <w:color w:val="auto"/>
              </w:rPr>
            </w:pPr>
          </w:p>
        </w:tc>
        <w:tc>
          <w:tcPr>
            <w:tcW w:w="200" w:type="dxa"/>
            <w:vAlign w:val="bottom"/>
            <w:tcBorders>
              <w:bottom w:val="single" w:sz="8" w:color="0000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080" w:type="dxa"/>
            <w:vAlign w:val="bottom"/>
            <w:gridSpan w:val="4"/>
          </w:tcPr>
          <w:p>
            <w:pPr>
              <w:spacing w:after="0" w:line="232" w:lineRule="exact"/>
              <w:rPr>
                <w:sz w:val="20"/>
                <w:szCs w:val="20"/>
                <w:color w:val="auto"/>
              </w:rPr>
            </w:pPr>
            <w:r>
              <w:rPr>
                <w:rFonts w:ascii="Times New Roman" w:cs="Times New Roman" w:eastAsia="Times New Roman" w:hAnsi="Times New Roman"/>
                <w:sz w:val="21"/>
                <w:szCs w:val="21"/>
                <w:color w:val="auto"/>
                <w:w w:val="99"/>
              </w:rPr>
              <w:t>Section 2.11</w:t>
            </w:r>
          </w:p>
        </w:tc>
        <w:tc>
          <w:tcPr>
            <w:tcW w:w="1940" w:type="dxa"/>
            <w:vAlign w:val="bottom"/>
            <w:gridSpan w:val="13"/>
          </w:tcPr>
          <w:p>
            <w:pPr>
              <w:ind w:left="200"/>
              <w:spacing w:after="0" w:line="232" w:lineRule="exact"/>
              <w:rPr>
                <w:sz w:val="20"/>
                <w:szCs w:val="20"/>
                <w:color w:val="auto"/>
              </w:rPr>
            </w:pPr>
            <w:r>
              <w:rPr>
                <w:rFonts w:ascii="Times New Roman" w:cs="Times New Roman" w:eastAsia="Times New Roman" w:hAnsi="Times New Roman"/>
                <w:sz w:val="21"/>
                <w:szCs w:val="21"/>
                <w:color w:val="auto"/>
              </w:rPr>
              <w:t>Evidence of Debt</w:t>
            </w:r>
          </w:p>
        </w:tc>
        <w:tc>
          <w:tcPr>
            <w:tcW w:w="180" w:type="dxa"/>
            <w:vAlign w:val="bottom"/>
            <w:gridSpan w:val="5"/>
          </w:tcPr>
          <w:p>
            <w:pPr>
              <w:jc w:val="right"/>
              <w:spacing w:after="0" w:line="232" w:lineRule="exact"/>
              <w:rPr>
                <w:sz w:val="20"/>
                <w:szCs w:val="20"/>
                <w:color w:val="auto"/>
              </w:rPr>
            </w:pPr>
            <w:r>
              <w:rPr>
                <w:rFonts w:ascii="Times New Roman" w:cs="Times New Roman" w:eastAsia="Times New Roman" w:hAnsi="Times New Roman"/>
                <w:sz w:val="21"/>
                <w:szCs w:val="21"/>
                <w:b w:val="1"/>
                <w:bCs w:val="1"/>
                <w:color w:val="FF0000"/>
                <w:strike w:val="1"/>
                <w:w w:val="75"/>
              </w:rPr>
              <w:t>88</w:t>
            </w:r>
          </w:p>
        </w:tc>
        <w:tc>
          <w:tcPr>
            <w:tcW w:w="260" w:type="dxa"/>
            <w:vAlign w:val="bottom"/>
            <w:gridSpan w:val="5"/>
          </w:tcPr>
          <w:p>
            <w:pPr>
              <w:jc w:val="right"/>
              <w:spacing w:after="0" w:line="232" w:lineRule="exact"/>
              <w:rPr>
                <w:sz w:val="20"/>
                <w:szCs w:val="20"/>
                <w:color w:val="auto"/>
              </w:rPr>
            </w:pPr>
            <w:r>
              <w:rPr>
                <w:rFonts w:ascii="Times New Roman" w:cs="Times New Roman" w:eastAsia="Times New Roman" w:hAnsi="Times New Roman"/>
                <w:sz w:val="21"/>
                <w:szCs w:val="21"/>
                <w:b w:val="1"/>
                <w:bCs w:val="1"/>
                <w:color w:val="0000FF"/>
                <w:w w:val="85"/>
              </w:rPr>
              <w:t>90</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gridSpan w:val="3"/>
            <w:vMerge w:val="restart"/>
          </w:tcPr>
          <w:p>
            <w:pPr>
              <w:jc w:val="right"/>
              <w:spacing w:after="0"/>
              <w:rPr>
                <w:sz w:val="20"/>
                <w:szCs w:val="20"/>
                <w:color w:val="auto"/>
              </w:rPr>
            </w:pPr>
            <w:r>
              <w:rPr>
                <w:rFonts w:ascii="Times New Roman" w:cs="Times New Roman" w:eastAsia="Times New Roman" w:hAnsi="Times New Roman"/>
                <w:sz w:val="21"/>
                <w:szCs w:val="21"/>
                <w:b w:val="1"/>
                <w:bCs w:val="1"/>
                <w:color w:val="FF0000"/>
                <w:strike w:val="1"/>
                <w:w w:val="95"/>
              </w:rPr>
              <w:t>88</w:t>
            </w:r>
          </w:p>
        </w:tc>
        <w:tc>
          <w:tcPr>
            <w:tcW w:w="40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21"/>
                <w:szCs w:val="21"/>
                <w:b w:val="1"/>
                <w:bCs w:val="1"/>
                <w:color w:val="0000FF"/>
                <w:w w:val="85"/>
              </w:rPr>
              <w:t>90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8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7"/>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380" w:type="dxa"/>
            <w:vAlign w:val="bottom"/>
            <w:gridSpan w:val="9"/>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3"/>
            <w:vMerge w:val="continue"/>
          </w:tcPr>
          <w:p>
            <w:pPr>
              <w:spacing w:after="0" w:line="20" w:lineRule="exact"/>
              <w:rPr>
                <w:sz w:val="1"/>
                <w:szCs w:val="1"/>
                <w:color w:val="auto"/>
              </w:rPr>
            </w:pPr>
          </w:p>
        </w:tc>
        <w:tc>
          <w:tcPr>
            <w:tcW w:w="400" w:type="dxa"/>
            <w:vAlign w:val="bottom"/>
            <w:gridSpan w:val="3"/>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080" w:type="dxa"/>
            <w:vAlign w:val="bottom"/>
            <w:gridSpan w:val="4"/>
          </w:tcPr>
          <w:p>
            <w:pPr>
              <w:spacing w:after="0" w:line="232" w:lineRule="exact"/>
              <w:rPr>
                <w:sz w:val="20"/>
                <w:szCs w:val="20"/>
                <w:color w:val="auto"/>
              </w:rPr>
            </w:pPr>
            <w:r>
              <w:rPr>
                <w:rFonts w:ascii="Times New Roman" w:cs="Times New Roman" w:eastAsia="Times New Roman" w:hAnsi="Times New Roman"/>
                <w:sz w:val="21"/>
                <w:szCs w:val="21"/>
                <w:color w:val="auto"/>
                <w:w w:val="99"/>
              </w:rPr>
              <w:t>Section 2.12</w:t>
            </w:r>
          </w:p>
        </w:tc>
        <w:tc>
          <w:tcPr>
            <w:tcW w:w="220" w:type="dxa"/>
            <w:vAlign w:val="bottom"/>
          </w:tcPr>
          <w:p>
            <w:pPr>
              <w:spacing w:after="0"/>
              <w:rPr>
                <w:sz w:val="20"/>
                <w:szCs w:val="20"/>
                <w:color w:val="auto"/>
              </w:rPr>
            </w:pPr>
          </w:p>
        </w:tc>
        <w:tc>
          <w:tcPr>
            <w:tcW w:w="4780" w:type="dxa"/>
            <w:vAlign w:val="bottom"/>
            <w:gridSpan w:val="49"/>
          </w:tcPr>
          <w:p>
            <w:pPr>
              <w:spacing w:after="0" w:line="232" w:lineRule="exact"/>
              <w:rPr>
                <w:sz w:val="20"/>
                <w:szCs w:val="20"/>
                <w:color w:val="auto"/>
              </w:rPr>
            </w:pPr>
            <w:r>
              <w:rPr>
                <w:rFonts w:ascii="Times New Roman" w:cs="Times New Roman" w:eastAsia="Times New Roman" w:hAnsi="Times New Roman"/>
                <w:sz w:val="21"/>
                <w:szCs w:val="21"/>
                <w:color w:val="auto"/>
              </w:rPr>
              <w:t>Payments Generally; Administrative Agent’s Clawback</w:t>
            </w:r>
          </w:p>
        </w:tc>
        <w:tc>
          <w:tcPr>
            <w:tcW w:w="140" w:type="dxa"/>
            <w:vAlign w:val="bottom"/>
          </w:tcPr>
          <w:p>
            <w:pPr>
              <w:spacing w:after="0"/>
              <w:rPr>
                <w:sz w:val="20"/>
                <w:szCs w:val="20"/>
                <w:color w:val="auto"/>
              </w:rPr>
            </w:pPr>
          </w:p>
        </w:tc>
        <w:tc>
          <w:tcPr>
            <w:tcW w:w="220" w:type="dxa"/>
            <w:vAlign w:val="bottom"/>
            <w:gridSpan w:val="3"/>
            <w:vMerge w:val="continue"/>
          </w:tcPr>
          <w:p>
            <w:pPr>
              <w:spacing w:after="0"/>
              <w:rPr>
                <w:sz w:val="20"/>
                <w:szCs w:val="20"/>
                <w:color w:val="auto"/>
              </w:rPr>
            </w:pPr>
          </w:p>
        </w:tc>
        <w:tc>
          <w:tcPr>
            <w:tcW w:w="400" w:type="dxa"/>
            <w:vAlign w:val="bottom"/>
            <w:gridSpan w:val="3"/>
            <w:vMerge w:val="continue"/>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080" w:type="dxa"/>
            <w:vAlign w:val="bottom"/>
            <w:gridSpan w:val="4"/>
          </w:tcPr>
          <w:p>
            <w:pPr>
              <w:spacing w:after="0" w:line="232" w:lineRule="exact"/>
              <w:rPr>
                <w:sz w:val="20"/>
                <w:szCs w:val="20"/>
                <w:color w:val="auto"/>
              </w:rPr>
            </w:pPr>
            <w:r>
              <w:rPr>
                <w:rFonts w:ascii="Times New Roman" w:cs="Times New Roman" w:eastAsia="Times New Roman" w:hAnsi="Times New Roman"/>
                <w:sz w:val="21"/>
                <w:szCs w:val="21"/>
                <w:color w:val="auto"/>
                <w:w w:val="99"/>
              </w:rPr>
              <w:t>Section 2.13</w:t>
            </w:r>
          </w:p>
        </w:tc>
        <w:tc>
          <w:tcPr>
            <w:tcW w:w="220" w:type="dxa"/>
            <w:vAlign w:val="bottom"/>
          </w:tcPr>
          <w:p>
            <w:pPr>
              <w:spacing w:after="0"/>
              <w:rPr>
                <w:sz w:val="20"/>
                <w:szCs w:val="20"/>
                <w:color w:val="auto"/>
              </w:rPr>
            </w:pPr>
          </w:p>
        </w:tc>
        <w:tc>
          <w:tcPr>
            <w:tcW w:w="2980" w:type="dxa"/>
            <w:vAlign w:val="bottom"/>
            <w:gridSpan w:val="34"/>
          </w:tcPr>
          <w:p>
            <w:pPr>
              <w:spacing w:after="0" w:line="232" w:lineRule="exact"/>
              <w:rPr>
                <w:sz w:val="20"/>
                <w:szCs w:val="20"/>
                <w:color w:val="auto"/>
              </w:rPr>
            </w:pPr>
            <w:r>
              <w:rPr>
                <w:rFonts w:ascii="Times New Roman" w:cs="Times New Roman" w:eastAsia="Times New Roman" w:hAnsi="Times New Roman"/>
                <w:sz w:val="21"/>
                <w:szCs w:val="21"/>
                <w:color w:val="auto"/>
              </w:rPr>
              <w:t>Sharing of Payments by Lenders</w:t>
            </w:r>
          </w:p>
        </w:tc>
        <w:tc>
          <w:tcPr>
            <w:tcW w:w="200" w:type="dxa"/>
            <w:vAlign w:val="bottom"/>
            <w:gridSpan w:val="3"/>
          </w:tcPr>
          <w:p>
            <w:pPr>
              <w:jc w:val="right"/>
              <w:spacing w:after="0" w:line="232" w:lineRule="exact"/>
              <w:rPr>
                <w:sz w:val="20"/>
                <w:szCs w:val="20"/>
                <w:color w:val="auto"/>
              </w:rPr>
            </w:pPr>
            <w:r>
              <w:rPr>
                <w:rFonts w:ascii="Times New Roman" w:cs="Times New Roman" w:eastAsia="Times New Roman" w:hAnsi="Times New Roman"/>
                <w:sz w:val="21"/>
                <w:szCs w:val="21"/>
                <w:b w:val="1"/>
                <w:bCs w:val="1"/>
                <w:color w:val="FF0000"/>
                <w:strike w:val="1"/>
                <w:w w:val="85"/>
              </w:rPr>
              <w:t>90</w:t>
            </w:r>
          </w:p>
        </w:tc>
        <w:tc>
          <w:tcPr>
            <w:tcW w:w="360" w:type="dxa"/>
            <w:vAlign w:val="bottom"/>
            <w:gridSpan w:val="4"/>
          </w:tcPr>
          <w:p>
            <w:pPr>
              <w:jc w:val="right"/>
              <w:ind w:right="140"/>
              <w:spacing w:after="0" w:line="232" w:lineRule="exact"/>
              <w:rPr>
                <w:sz w:val="20"/>
                <w:szCs w:val="20"/>
                <w:color w:val="auto"/>
              </w:rPr>
            </w:pPr>
            <w:r>
              <w:rPr>
                <w:rFonts w:ascii="Times New Roman" w:cs="Times New Roman" w:eastAsia="Times New Roman" w:hAnsi="Times New Roman"/>
                <w:sz w:val="21"/>
                <w:szCs w:val="21"/>
                <w:b w:val="1"/>
                <w:bCs w:val="1"/>
                <w:color w:val="0000FF"/>
                <w:w w:val="95"/>
              </w:rPr>
              <w:t>92</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1080" w:type="dxa"/>
            <w:vAlign w:val="bottom"/>
            <w:gridSpan w:val="4"/>
          </w:tcPr>
          <w:p>
            <w:pPr>
              <w:spacing w:after="0"/>
              <w:rPr>
                <w:sz w:val="20"/>
                <w:szCs w:val="20"/>
                <w:color w:val="auto"/>
              </w:rPr>
            </w:pPr>
            <w:r>
              <w:rPr>
                <w:rFonts w:ascii="Times New Roman" w:cs="Times New Roman" w:eastAsia="Times New Roman" w:hAnsi="Times New Roman"/>
                <w:sz w:val="21"/>
                <w:szCs w:val="21"/>
                <w:color w:val="auto"/>
                <w:w w:val="99"/>
              </w:rPr>
              <w:t>Section 2.14</w:t>
            </w:r>
          </w:p>
        </w:tc>
        <w:tc>
          <w:tcPr>
            <w:tcW w:w="220" w:type="dxa"/>
            <w:vAlign w:val="bottom"/>
          </w:tcPr>
          <w:p>
            <w:pPr>
              <w:spacing w:after="0"/>
              <w:rPr>
                <w:sz w:val="21"/>
                <w:szCs w:val="21"/>
                <w:color w:val="auto"/>
              </w:rPr>
            </w:pPr>
          </w:p>
        </w:tc>
        <w:tc>
          <w:tcPr>
            <w:tcW w:w="1940" w:type="dxa"/>
            <w:vAlign w:val="bottom"/>
            <w:gridSpan w:val="18"/>
          </w:tcPr>
          <w:p>
            <w:pPr>
              <w:spacing w:after="0"/>
              <w:rPr>
                <w:sz w:val="20"/>
                <w:szCs w:val="20"/>
                <w:color w:val="auto"/>
              </w:rPr>
            </w:pPr>
            <w:r>
              <w:rPr>
                <w:rFonts w:ascii="Times New Roman" w:cs="Times New Roman" w:eastAsia="Times New Roman" w:hAnsi="Times New Roman"/>
                <w:sz w:val="21"/>
                <w:szCs w:val="21"/>
                <w:color w:val="auto"/>
              </w:rPr>
              <w:t>Incremental Facilities</w:t>
            </w:r>
          </w:p>
        </w:tc>
        <w:tc>
          <w:tcPr>
            <w:tcW w:w="60" w:type="dxa"/>
            <w:vAlign w:val="bottom"/>
          </w:tcPr>
          <w:p>
            <w:pPr>
              <w:spacing w:after="0"/>
              <w:rPr>
                <w:sz w:val="21"/>
                <w:szCs w:val="21"/>
                <w:color w:val="auto"/>
              </w:rPr>
            </w:pPr>
          </w:p>
        </w:tc>
        <w:tc>
          <w:tcPr>
            <w:tcW w:w="280" w:type="dxa"/>
            <w:vAlign w:val="bottom"/>
            <w:gridSpan w:val="6"/>
          </w:tcPr>
          <w:p>
            <w:pPr>
              <w:jc w:val="right"/>
              <w:ind w:right="20"/>
              <w:spacing w:after="0"/>
              <w:rPr>
                <w:sz w:val="20"/>
                <w:szCs w:val="20"/>
                <w:color w:val="auto"/>
              </w:rPr>
            </w:pPr>
            <w:r>
              <w:rPr>
                <w:rFonts w:ascii="Times New Roman" w:cs="Times New Roman" w:eastAsia="Times New Roman" w:hAnsi="Times New Roman"/>
                <w:sz w:val="21"/>
                <w:szCs w:val="21"/>
                <w:b w:val="1"/>
                <w:bCs w:val="1"/>
                <w:color w:val="FF0000"/>
                <w:strike w:val="1"/>
              </w:rPr>
              <w:t>91</w:t>
            </w:r>
          </w:p>
        </w:tc>
        <w:tc>
          <w:tcPr>
            <w:tcW w:w="320" w:type="dxa"/>
            <w:vAlign w:val="bottom"/>
            <w:gridSpan w:val="5"/>
          </w:tcPr>
          <w:p>
            <w:pPr>
              <w:spacing w:after="0"/>
              <w:rPr>
                <w:sz w:val="20"/>
                <w:szCs w:val="20"/>
                <w:color w:val="auto"/>
              </w:rPr>
            </w:pPr>
            <w:r>
              <w:rPr>
                <w:rFonts w:ascii="Times New Roman" w:cs="Times New Roman" w:eastAsia="Times New Roman" w:hAnsi="Times New Roman"/>
                <w:sz w:val="21"/>
                <w:szCs w:val="21"/>
                <w:b w:val="1"/>
                <w:bCs w:val="1"/>
                <w:color w:val="0000FF"/>
              </w:rPr>
              <w:t>93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1080" w:type="dxa"/>
            <w:vAlign w:val="bottom"/>
            <w:gridSpan w:val="4"/>
          </w:tcPr>
          <w:p>
            <w:pPr>
              <w:spacing w:after="0" w:line="232" w:lineRule="exact"/>
              <w:rPr>
                <w:sz w:val="20"/>
                <w:szCs w:val="20"/>
                <w:color w:val="auto"/>
              </w:rPr>
            </w:pPr>
            <w:r>
              <w:rPr>
                <w:rFonts w:ascii="Times New Roman" w:cs="Times New Roman" w:eastAsia="Times New Roman" w:hAnsi="Times New Roman"/>
                <w:sz w:val="21"/>
                <w:szCs w:val="21"/>
                <w:color w:val="auto"/>
                <w:w w:val="99"/>
              </w:rPr>
              <w:t>Section 2.15</w:t>
            </w:r>
          </w:p>
        </w:tc>
        <w:tc>
          <w:tcPr>
            <w:tcW w:w="220" w:type="dxa"/>
            <w:vAlign w:val="bottom"/>
          </w:tcPr>
          <w:p>
            <w:pPr>
              <w:spacing w:after="0"/>
              <w:rPr>
                <w:sz w:val="20"/>
                <w:szCs w:val="20"/>
                <w:color w:val="auto"/>
              </w:rPr>
            </w:pPr>
          </w:p>
        </w:tc>
        <w:tc>
          <w:tcPr>
            <w:tcW w:w="1560" w:type="dxa"/>
            <w:vAlign w:val="bottom"/>
            <w:gridSpan w:val="10"/>
          </w:tcPr>
          <w:p>
            <w:pPr>
              <w:spacing w:after="0" w:line="232" w:lineRule="exact"/>
              <w:rPr>
                <w:sz w:val="20"/>
                <w:szCs w:val="20"/>
                <w:color w:val="auto"/>
              </w:rPr>
            </w:pPr>
            <w:r>
              <w:rPr>
                <w:rFonts w:ascii="Times New Roman" w:cs="Times New Roman" w:eastAsia="Times New Roman" w:hAnsi="Times New Roman"/>
                <w:sz w:val="21"/>
                <w:szCs w:val="21"/>
                <w:color w:val="auto"/>
              </w:rPr>
              <w:t>Cash Collateral</w:t>
            </w:r>
          </w:p>
        </w:tc>
        <w:tc>
          <w:tcPr>
            <w:tcW w:w="180" w:type="dxa"/>
            <w:vAlign w:val="bottom"/>
            <w:gridSpan w:val="3"/>
          </w:tcPr>
          <w:p>
            <w:pPr>
              <w:jc w:val="right"/>
              <w:spacing w:after="0" w:line="232" w:lineRule="exact"/>
              <w:rPr>
                <w:sz w:val="20"/>
                <w:szCs w:val="20"/>
                <w:color w:val="auto"/>
              </w:rPr>
            </w:pPr>
            <w:r>
              <w:rPr>
                <w:rFonts w:ascii="Times New Roman" w:cs="Times New Roman" w:eastAsia="Times New Roman" w:hAnsi="Times New Roman"/>
                <w:sz w:val="21"/>
                <w:szCs w:val="21"/>
                <w:b w:val="1"/>
                <w:bCs w:val="1"/>
                <w:color w:val="FF0000"/>
                <w:strike w:val="1"/>
                <w:w w:val="75"/>
              </w:rPr>
              <w:t>95</w:t>
            </w:r>
          </w:p>
        </w:tc>
        <w:tc>
          <w:tcPr>
            <w:tcW w:w="200" w:type="dxa"/>
            <w:vAlign w:val="bottom"/>
            <w:tcBorders>
              <w:bottom w:val="single" w:sz="8" w:color="0000FF"/>
            </w:tcBorders>
            <w:gridSpan w:val="5"/>
          </w:tcPr>
          <w:p>
            <w:pPr>
              <w:jc w:val="right"/>
              <w:spacing w:after="0" w:line="232" w:lineRule="exact"/>
              <w:rPr>
                <w:sz w:val="20"/>
                <w:szCs w:val="20"/>
                <w:color w:val="auto"/>
              </w:rPr>
            </w:pPr>
            <w:r>
              <w:rPr>
                <w:rFonts w:ascii="Times New Roman" w:cs="Times New Roman" w:eastAsia="Times New Roman" w:hAnsi="Times New Roman"/>
                <w:sz w:val="21"/>
                <w:szCs w:val="21"/>
                <w:b w:val="1"/>
                <w:bCs w:val="1"/>
                <w:color w:val="0000FF"/>
                <w:w w:val="85"/>
              </w:rPr>
              <w:t>97</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080" w:type="dxa"/>
            <w:vAlign w:val="bottom"/>
            <w:gridSpan w:val="4"/>
          </w:tcPr>
          <w:p>
            <w:pPr>
              <w:spacing w:after="0" w:line="232" w:lineRule="exact"/>
              <w:rPr>
                <w:sz w:val="20"/>
                <w:szCs w:val="20"/>
                <w:color w:val="auto"/>
              </w:rPr>
            </w:pPr>
            <w:r>
              <w:rPr>
                <w:rFonts w:ascii="Times New Roman" w:cs="Times New Roman" w:eastAsia="Times New Roman" w:hAnsi="Times New Roman"/>
                <w:sz w:val="21"/>
                <w:szCs w:val="21"/>
                <w:color w:val="auto"/>
                <w:w w:val="99"/>
              </w:rPr>
              <w:t>Section 2.16</w:t>
            </w:r>
          </w:p>
        </w:tc>
        <w:tc>
          <w:tcPr>
            <w:tcW w:w="220" w:type="dxa"/>
            <w:vAlign w:val="bottom"/>
          </w:tcPr>
          <w:p>
            <w:pPr>
              <w:spacing w:after="0"/>
              <w:rPr>
                <w:sz w:val="20"/>
                <w:szCs w:val="20"/>
                <w:color w:val="auto"/>
              </w:rPr>
            </w:pPr>
          </w:p>
        </w:tc>
        <w:tc>
          <w:tcPr>
            <w:tcW w:w="1720" w:type="dxa"/>
            <w:vAlign w:val="bottom"/>
            <w:gridSpan w:val="12"/>
          </w:tcPr>
          <w:p>
            <w:pPr>
              <w:spacing w:after="0" w:line="232" w:lineRule="exact"/>
              <w:rPr>
                <w:sz w:val="20"/>
                <w:szCs w:val="20"/>
                <w:color w:val="auto"/>
              </w:rPr>
            </w:pPr>
            <w:r>
              <w:rPr>
                <w:rFonts w:ascii="Times New Roman" w:cs="Times New Roman" w:eastAsia="Times New Roman" w:hAnsi="Times New Roman"/>
                <w:sz w:val="21"/>
                <w:szCs w:val="21"/>
                <w:color w:val="auto"/>
              </w:rPr>
              <w:t>Defaulting Lenders</w:t>
            </w:r>
          </w:p>
        </w:tc>
        <w:tc>
          <w:tcPr>
            <w:tcW w:w="140" w:type="dxa"/>
            <w:vAlign w:val="bottom"/>
            <w:gridSpan w:val="3"/>
          </w:tcPr>
          <w:p>
            <w:pPr>
              <w:spacing w:after="0"/>
              <w:rPr>
                <w:sz w:val="20"/>
                <w:szCs w:val="20"/>
                <w:color w:val="auto"/>
              </w:rPr>
            </w:pPr>
          </w:p>
        </w:tc>
        <w:tc>
          <w:tcPr>
            <w:tcW w:w="200" w:type="dxa"/>
            <w:vAlign w:val="bottom"/>
            <w:gridSpan w:val="5"/>
          </w:tcPr>
          <w:p>
            <w:pPr>
              <w:jc w:val="right"/>
              <w:spacing w:after="0" w:line="232" w:lineRule="exact"/>
              <w:rPr>
                <w:sz w:val="20"/>
                <w:szCs w:val="20"/>
                <w:color w:val="auto"/>
              </w:rPr>
            </w:pPr>
            <w:r>
              <w:rPr>
                <w:rFonts w:ascii="Times New Roman" w:cs="Times New Roman" w:eastAsia="Times New Roman" w:hAnsi="Times New Roman"/>
                <w:sz w:val="21"/>
                <w:szCs w:val="21"/>
                <w:b w:val="1"/>
                <w:bCs w:val="1"/>
                <w:color w:val="FF0000"/>
                <w:strike w:val="1"/>
                <w:w w:val="85"/>
              </w:rPr>
              <w:t>96</w:t>
            </w:r>
          </w:p>
        </w:tc>
        <w:tc>
          <w:tcPr>
            <w:tcW w:w="220" w:type="dxa"/>
            <w:vAlign w:val="bottom"/>
            <w:tcBorders>
              <w:bottom w:val="single" w:sz="8" w:color="0000FF"/>
            </w:tcBorders>
            <w:gridSpan w:val="5"/>
          </w:tcPr>
          <w:p>
            <w:pPr>
              <w:jc w:val="right"/>
              <w:spacing w:after="0" w:line="232" w:lineRule="exact"/>
              <w:rPr>
                <w:sz w:val="20"/>
                <w:szCs w:val="20"/>
                <w:color w:val="auto"/>
              </w:rPr>
            </w:pPr>
            <w:r>
              <w:rPr>
                <w:rFonts w:ascii="Times New Roman" w:cs="Times New Roman" w:eastAsia="Times New Roman" w:hAnsi="Times New Roman"/>
                <w:sz w:val="21"/>
                <w:szCs w:val="21"/>
                <w:b w:val="1"/>
                <w:bCs w:val="1"/>
                <w:color w:val="0000FF"/>
                <w:w w:val="95"/>
              </w:rPr>
              <w:t>98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080" w:type="dxa"/>
            <w:vAlign w:val="bottom"/>
            <w:gridSpan w:val="4"/>
          </w:tcPr>
          <w:p>
            <w:pPr>
              <w:spacing w:after="0" w:line="232" w:lineRule="exact"/>
              <w:rPr>
                <w:sz w:val="20"/>
                <w:szCs w:val="20"/>
                <w:color w:val="auto"/>
              </w:rPr>
            </w:pPr>
            <w:r>
              <w:rPr>
                <w:rFonts w:ascii="Times New Roman" w:cs="Times New Roman" w:eastAsia="Times New Roman" w:hAnsi="Times New Roman"/>
                <w:sz w:val="21"/>
                <w:szCs w:val="21"/>
                <w:color w:val="auto"/>
                <w:w w:val="99"/>
              </w:rPr>
              <w:t>Section 2.17</w:t>
            </w:r>
          </w:p>
        </w:tc>
        <w:tc>
          <w:tcPr>
            <w:tcW w:w="220" w:type="dxa"/>
            <w:vAlign w:val="bottom"/>
          </w:tcPr>
          <w:p>
            <w:pPr>
              <w:spacing w:after="0"/>
              <w:rPr>
                <w:sz w:val="20"/>
                <w:szCs w:val="20"/>
                <w:color w:val="auto"/>
              </w:rPr>
            </w:pPr>
          </w:p>
        </w:tc>
        <w:tc>
          <w:tcPr>
            <w:tcW w:w="1940" w:type="dxa"/>
            <w:vAlign w:val="bottom"/>
            <w:gridSpan w:val="18"/>
          </w:tcPr>
          <w:p>
            <w:pPr>
              <w:spacing w:after="0" w:line="232" w:lineRule="exact"/>
              <w:rPr>
                <w:sz w:val="20"/>
                <w:szCs w:val="20"/>
                <w:color w:val="auto"/>
              </w:rPr>
            </w:pPr>
            <w:r>
              <w:rPr>
                <w:rFonts w:ascii="Times New Roman" w:cs="Times New Roman" w:eastAsia="Times New Roman" w:hAnsi="Times New Roman"/>
                <w:sz w:val="21"/>
                <w:szCs w:val="21"/>
                <w:color w:val="auto"/>
              </w:rPr>
              <w:t>Refinancing Facilities</w:t>
            </w:r>
          </w:p>
        </w:tc>
        <w:tc>
          <w:tcPr>
            <w:tcW w:w="160" w:type="dxa"/>
            <w:vAlign w:val="bottom"/>
            <w:gridSpan w:val="3"/>
          </w:tcPr>
          <w:p>
            <w:pPr>
              <w:spacing w:after="0"/>
              <w:rPr>
                <w:sz w:val="20"/>
                <w:szCs w:val="20"/>
                <w:color w:val="auto"/>
              </w:rPr>
            </w:pPr>
          </w:p>
        </w:tc>
        <w:tc>
          <w:tcPr>
            <w:tcW w:w="180" w:type="dxa"/>
            <w:vAlign w:val="bottom"/>
            <w:gridSpan w:val="4"/>
          </w:tcPr>
          <w:p>
            <w:pPr>
              <w:jc w:val="right"/>
              <w:spacing w:after="0" w:line="232" w:lineRule="exact"/>
              <w:rPr>
                <w:sz w:val="20"/>
                <w:szCs w:val="20"/>
                <w:color w:val="auto"/>
              </w:rPr>
            </w:pPr>
            <w:r>
              <w:rPr>
                <w:rFonts w:ascii="Times New Roman" w:cs="Times New Roman" w:eastAsia="Times New Roman" w:hAnsi="Times New Roman"/>
                <w:sz w:val="21"/>
                <w:szCs w:val="21"/>
                <w:b w:val="1"/>
                <w:bCs w:val="1"/>
                <w:color w:val="FF0000"/>
                <w:strike w:val="1"/>
                <w:w w:val="75"/>
              </w:rPr>
              <w:t>98</w:t>
            </w:r>
          </w:p>
        </w:tc>
        <w:tc>
          <w:tcPr>
            <w:tcW w:w="400" w:type="dxa"/>
            <w:vAlign w:val="bottom"/>
            <w:gridSpan w:val="6"/>
          </w:tcPr>
          <w:p>
            <w:pPr>
              <w:jc w:val="right"/>
              <w:spacing w:after="0" w:line="232" w:lineRule="exact"/>
              <w:rPr>
                <w:sz w:val="20"/>
                <w:szCs w:val="20"/>
                <w:color w:val="auto"/>
              </w:rPr>
            </w:pPr>
            <w:r>
              <w:rPr>
                <w:rFonts w:ascii="Times New Roman" w:cs="Times New Roman" w:eastAsia="Times New Roman" w:hAnsi="Times New Roman"/>
                <w:sz w:val="21"/>
                <w:szCs w:val="21"/>
                <w:b w:val="1"/>
                <w:bCs w:val="1"/>
                <w:color w:val="0000FF"/>
                <w:w w:val="95"/>
              </w:rPr>
              <w:t>100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21"/>
                <w:szCs w:val="21"/>
                <w:b w:val="1"/>
                <w:bCs w:val="1"/>
                <w:color w:val="FF0000"/>
                <w:strike w:val="1"/>
                <w:w w:val="85"/>
              </w:rPr>
              <w:t>99</w:t>
            </w:r>
          </w:p>
        </w:tc>
        <w:tc>
          <w:tcPr>
            <w:tcW w:w="440" w:type="dxa"/>
            <w:vAlign w:val="bottom"/>
            <w:gridSpan w:val="4"/>
            <w:vMerge w:val="restart"/>
          </w:tcPr>
          <w:p>
            <w:pPr>
              <w:spacing w:after="0"/>
              <w:rPr>
                <w:sz w:val="20"/>
                <w:szCs w:val="20"/>
                <w:color w:val="auto"/>
              </w:rPr>
            </w:pPr>
            <w:r>
              <w:rPr>
                <w:rFonts w:ascii="Times New Roman" w:cs="Times New Roman" w:eastAsia="Times New Roman" w:hAnsi="Times New Roman"/>
                <w:sz w:val="21"/>
                <w:szCs w:val="21"/>
                <w:b w:val="1"/>
                <w:bCs w:val="1"/>
                <w:color w:val="0000FF"/>
              </w:rPr>
              <w:t>101</w:t>
            </w: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17"/>
          </w:tcPr>
          <w:p>
            <w:pPr>
              <w:spacing w:after="0" w:line="20" w:lineRule="exact"/>
              <w:rPr>
                <w:sz w:val="1"/>
                <w:szCs w:val="1"/>
                <w:color w:val="auto"/>
              </w:rPr>
            </w:pPr>
          </w:p>
        </w:tc>
        <w:tc>
          <w:tcPr>
            <w:tcW w:w="320" w:type="dxa"/>
            <w:vAlign w:val="bottom"/>
            <w:tcBorders>
              <w:right w:val="single" w:sz="8" w:color="0000FF"/>
            </w:tcBorders>
            <w:gridSpan w:val="5"/>
            <w:shd w:val="clear" w:color="auto" w:fill="0000FF"/>
          </w:tcPr>
          <w:p>
            <w:pPr>
              <w:spacing w:after="0" w:line="20" w:lineRule="exact"/>
              <w:rPr>
                <w:sz w:val="1"/>
                <w:szCs w:val="1"/>
                <w:color w:val="auto"/>
              </w:rPr>
            </w:pPr>
          </w:p>
        </w:tc>
        <w:tc>
          <w:tcPr>
            <w:tcW w:w="2940" w:type="dxa"/>
            <w:vAlign w:val="bottom"/>
            <w:gridSpan w:val="26"/>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440" w:type="dxa"/>
            <w:vAlign w:val="bottom"/>
            <w:gridSpan w:val="4"/>
            <w:vMerge w:val="continu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1080" w:type="dxa"/>
            <w:vAlign w:val="bottom"/>
            <w:gridSpan w:val="4"/>
            <w:vMerge w:val="restart"/>
          </w:tcPr>
          <w:p>
            <w:pPr>
              <w:spacing w:after="0"/>
              <w:rPr>
                <w:sz w:val="20"/>
                <w:szCs w:val="20"/>
                <w:color w:val="auto"/>
              </w:rPr>
            </w:pPr>
            <w:r>
              <w:rPr>
                <w:rFonts w:ascii="Times New Roman" w:cs="Times New Roman" w:eastAsia="Times New Roman" w:hAnsi="Times New Roman"/>
                <w:sz w:val="21"/>
                <w:szCs w:val="21"/>
                <w:color w:val="auto"/>
                <w:w w:val="99"/>
              </w:rPr>
              <w:t>Section 3.01</w:t>
            </w:r>
          </w:p>
        </w:tc>
        <w:tc>
          <w:tcPr>
            <w:tcW w:w="220" w:type="dxa"/>
            <w:vAlign w:val="bottom"/>
          </w:tcPr>
          <w:p>
            <w:pPr>
              <w:spacing w:after="0"/>
              <w:rPr>
                <w:sz w:val="24"/>
                <w:szCs w:val="24"/>
                <w:color w:val="auto"/>
              </w:rPr>
            </w:pPr>
          </w:p>
        </w:tc>
        <w:tc>
          <w:tcPr>
            <w:tcW w:w="700" w:type="dxa"/>
            <w:vAlign w:val="bottom"/>
            <w:gridSpan w:val="3"/>
            <w:vMerge w:val="restart"/>
          </w:tcPr>
          <w:p>
            <w:pPr>
              <w:spacing w:after="0"/>
              <w:rPr>
                <w:sz w:val="20"/>
                <w:szCs w:val="20"/>
                <w:color w:val="auto"/>
              </w:rPr>
            </w:pPr>
            <w:r>
              <w:rPr>
                <w:rFonts w:ascii="Times New Roman" w:cs="Times New Roman" w:eastAsia="Times New Roman" w:hAnsi="Times New Roman"/>
                <w:sz w:val="21"/>
                <w:szCs w:val="21"/>
                <w:color w:val="auto"/>
              </w:rPr>
              <w:t>Taxes</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1"/>
                <w:szCs w:val="21"/>
                <w:b w:val="1"/>
                <w:bCs w:val="1"/>
                <w:color w:val="FF0000"/>
                <w:strike w:val="1"/>
                <w:w w:val="95"/>
              </w:rPr>
              <w:t>99</w:t>
            </w:r>
          </w:p>
        </w:tc>
        <w:tc>
          <w:tcPr>
            <w:tcW w:w="440" w:type="dxa"/>
            <w:vAlign w:val="bottom"/>
            <w:gridSpan w:val="3"/>
            <w:vMerge w:val="restart"/>
          </w:tcPr>
          <w:p>
            <w:pPr>
              <w:jc w:val="right"/>
              <w:ind w:right="14"/>
              <w:spacing w:after="0"/>
              <w:rPr>
                <w:sz w:val="20"/>
                <w:szCs w:val="20"/>
                <w:color w:val="auto"/>
              </w:rPr>
            </w:pPr>
            <w:r>
              <w:rPr>
                <w:rFonts w:ascii="Times New Roman" w:cs="Times New Roman" w:eastAsia="Times New Roman" w:hAnsi="Times New Roman"/>
                <w:sz w:val="21"/>
                <w:szCs w:val="21"/>
                <w:b w:val="1"/>
                <w:bCs w:val="1"/>
                <w:color w:val="0000FF"/>
                <w:w w:val="95"/>
              </w:rPr>
              <w:t>101</w:t>
            </w:r>
          </w:p>
        </w:tc>
        <w:tc>
          <w:tcPr>
            <w:tcW w:w="4180" w:type="dxa"/>
            <w:vAlign w:val="bottom"/>
            <w:gridSpan w:val="48"/>
          </w:tcPr>
          <w:p>
            <w:pPr>
              <w:spacing w:after="0"/>
              <w:rPr>
                <w:sz w:val="20"/>
                <w:szCs w:val="20"/>
                <w:color w:val="auto"/>
              </w:rPr>
            </w:pPr>
            <w:r>
              <w:rPr>
                <w:rFonts w:ascii="Times New Roman" w:cs="Times New Roman" w:eastAsia="Times New Roman" w:hAnsi="Times New Roman"/>
                <w:sz w:val="21"/>
                <w:szCs w:val="21"/>
                <w:color w:val="auto"/>
              </w:rPr>
              <w:t>Article 3. Taxes, Yield Protection and Illegality</w:t>
            </w:r>
          </w:p>
        </w:tc>
        <w:tc>
          <w:tcPr>
            <w:tcW w:w="200" w:type="dxa"/>
            <w:vAlign w:val="bottom"/>
            <w:vMerge w:val="continue"/>
          </w:tcPr>
          <w:p>
            <w:pPr>
              <w:spacing w:after="0"/>
              <w:rPr>
                <w:sz w:val="24"/>
                <w:szCs w:val="24"/>
                <w:color w:val="auto"/>
              </w:rPr>
            </w:pPr>
          </w:p>
        </w:tc>
        <w:tc>
          <w:tcPr>
            <w:tcW w:w="440" w:type="dxa"/>
            <w:vAlign w:val="bottom"/>
            <w:gridSpan w:val="4"/>
            <w:vMerge w:val="continue"/>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1080" w:type="dxa"/>
            <w:vAlign w:val="bottom"/>
            <w:gridSpan w:val="4"/>
            <w:vMerge w:val="continue"/>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gridSpan w:val="3"/>
            <w:vMerge w:val="continue"/>
          </w:tcPr>
          <w:p>
            <w:pPr>
              <w:spacing w:after="0"/>
              <w:rPr>
                <w:sz w:val="24"/>
                <w:szCs w:val="24"/>
                <w:color w:val="auto"/>
              </w:rPr>
            </w:pPr>
          </w:p>
        </w:tc>
        <w:tc>
          <w:tcPr>
            <w:tcW w:w="220" w:type="dxa"/>
            <w:vAlign w:val="bottom"/>
            <w:gridSpan w:val="2"/>
            <w:vMerge w:val="continue"/>
          </w:tcPr>
          <w:p>
            <w:pPr>
              <w:spacing w:after="0"/>
              <w:rPr>
                <w:sz w:val="24"/>
                <w:szCs w:val="24"/>
                <w:color w:val="auto"/>
              </w:rPr>
            </w:pPr>
          </w:p>
        </w:tc>
        <w:tc>
          <w:tcPr>
            <w:tcW w:w="440" w:type="dxa"/>
            <w:vAlign w:val="bottom"/>
            <w:tcBorders>
              <w:bottom w:val="single" w:sz="8" w:color="0000FF"/>
            </w:tcBorders>
            <w:gridSpan w:val="3"/>
            <w:vMerge w:val="continue"/>
          </w:tcPr>
          <w:p>
            <w:pPr>
              <w:spacing w:after="0"/>
              <w:rPr>
                <w:sz w:val="24"/>
                <w:szCs w:val="24"/>
                <w:color w:val="auto"/>
              </w:rPr>
            </w:pPr>
          </w:p>
        </w:tc>
        <w:tc>
          <w:tcPr>
            <w:tcW w:w="4380" w:type="dxa"/>
            <w:vAlign w:val="bottom"/>
            <w:gridSpan w:val="49"/>
          </w:tcPr>
          <w:p>
            <w:pPr>
              <w:spacing w:after="0"/>
              <w:rPr>
                <w:sz w:val="24"/>
                <w:szCs w:val="24"/>
                <w:color w:val="auto"/>
              </w:rPr>
            </w:pPr>
          </w:p>
        </w:tc>
        <w:tc>
          <w:tcPr>
            <w:tcW w:w="320" w:type="dxa"/>
            <w:vAlign w:val="bottom"/>
            <w:tcBorders>
              <w:top w:val="single" w:sz="8" w:color="0000FF"/>
            </w:tcBorders>
            <w:gridSpan w:val="3"/>
          </w:tcPr>
          <w:p>
            <w:pPr>
              <w:spacing w:after="0"/>
              <w:rPr>
                <w:sz w:val="24"/>
                <w:szCs w:val="24"/>
                <w:color w:val="auto"/>
              </w:rPr>
            </w:pPr>
          </w:p>
        </w:tc>
        <w:tc>
          <w:tcPr>
            <w:tcW w:w="12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1"/>
          <w:szCs w:val="21"/>
          <w:color w:val="auto"/>
        </w:rPr>
        <w:t>ii</w:t>
      </w:r>
    </w:p>
    <w:p>
      <w:pPr>
        <w:sectPr>
          <w:pgSz w:w="11900" w:h="16838" w:orient="portrait"/>
          <w:cols w:equalWidth="0" w:num="1">
            <w:col w:w="9499"/>
          </w:cols>
          <w:pgMar w:left="960" w:top="1440" w:right="1440"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39"/>
        </w:trPr>
        <w:tc>
          <w:tcPr>
            <w:tcW w:w="118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rPr>
              <w:t>Section 3.02</w:t>
            </w:r>
          </w:p>
        </w:tc>
        <w:tc>
          <w:tcPr>
            <w:tcW w:w="1100" w:type="dxa"/>
            <w:vAlign w:val="bottom"/>
            <w:vMerge w:val="restart"/>
          </w:tcPr>
          <w:p>
            <w:pPr>
              <w:ind w:left="120"/>
              <w:spacing w:after="0"/>
              <w:rPr>
                <w:sz w:val="20"/>
                <w:szCs w:val="20"/>
                <w:color w:val="auto"/>
              </w:rPr>
            </w:pPr>
            <w:r>
              <w:rPr>
                <w:rFonts w:ascii="Times New Roman" w:cs="Times New Roman" w:eastAsia="Times New Roman" w:hAnsi="Times New Roman"/>
                <w:sz w:val="21"/>
                <w:szCs w:val="21"/>
                <w:color w:val="auto"/>
              </w:rPr>
              <w:t>Illegality</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21"/>
                <w:szCs w:val="21"/>
                <w:b w:val="1"/>
                <w:bCs w:val="1"/>
                <w:color w:val="FF0000"/>
                <w:strike w:val="1"/>
                <w:w w:val="95"/>
              </w:rPr>
              <w:t>104</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21"/>
                <w:szCs w:val="21"/>
                <w:b w:val="1"/>
                <w:bCs w:val="1"/>
                <w:color w:val="0000FF"/>
                <w:w w:val="95"/>
              </w:rPr>
              <w:t>106</w:t>
            </w:r>
          </w:p>
        </w:tc>
        <w:tc>
          <w:tcPr>
            <w:tcW w:w="1000" w:type="dxa"/>
            <w:vAlign w:val="bottom"/>
            <w:vMerge w:val="restart"/>
          </w:tcPr>
          <w:p>
            <w:pPr>
              <w:spacing w:after="0"/>
              <w:rPr>
                <w:sz w:val="3"/>
                <w:szCs w:val="3"/>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21"/>
                <w:szCs w:val="21"/>
                <w:b w:val="1"/>
                <w:bCs w:val="1"/>
                <w:color w:val="FF0000"/>
                <w:strike w:val="1"/>
                <w:w w:val="95"/>
              </w:rPr>
              <w:t>105</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21"/>
                <w:szCs w:val="21"/>
                <w:b w:val="1"/>
                <w:bCs w:val="1"/>
                <w:color w:val="0000FF"/>
                <w:w w:val="95"/>
              </w:rPr>
              <w:t>107</w:t>
            </w:r>
          </w:p>
        </w:tc>
        <w:tc>
          <w:tcPr>
            <w:tcW w:w="0" w:type="dxa"/>
            <w:vAlign w:val="bottom"/>
          </w:tcPr>
          <w:p>
            <w:pPr>
              <w:spacing w:after="0" w:line="20" w:lineRule="exact"/>
              <w:rPr>
                <w:sz w:val="1"/>
                <w:szCs w:val="1"/>
                <w:color w:val="auto"/>
              </w:rPr>
            </w:pPr>
          </w:p>
        </w:tc>
      </w:tr>
      <w:tr>
        <w:trPr>
          <w:trHeight w:val="207"/>
        </w:trPr>
        <w:tc>
          <w:tcPr>
            <w:tcW w:w="118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320" w:type="dxa"/>
            <w:vAlign w:val="bottom"/>
            <w:tcBorders>
              <w:bottom w:val="single" w:sz="8" w:color="0000FF"/>
            </w:tcBorders>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180" w:type="dxa"/>
            <w:vAlign w:val="bottom"/>
          </w:tcPr>
          <w:p>
            <w:pPr>
              <w:spacing w:after="0" w:line="232" w:lineRule="exact"/>
              <w:rPr>
                <w:sz w:val="20"/>
                <w:szCs w:val="20"/>
                <w:color w:val="auto"/>
              </w:rPr>
            </w:pPr>
            <w:r>
              <w:rPr>
                <w:rFonts w:ascii="Times New Roman" w:cs="Times New Roman" w:eastAsia="Times New Roman" w:hAnsi="Times New Roman"/>
                <w:sz w:val="21"/>
                <w:szCs w:val="21"/>
                <w:color w:val="auto"/>
              </w:rPr>
              <w:t>Section 3.03</w:t>
            </w:r>
          </w:p>
        </w:tc>
        <w:tc>
          <w:tcPr>
            <w:tcW w:w="2740" w:type="dxa"/>
            <w:vAlign w:val="bottom"/>
            <w:gridSpan w:val="4"/>
          </w:tcPr>
          <w:p>
            <w:pPr>
              <w:ind w:left="120"/>
              <w:spacing w:after="0" w:line="232" w:lineRule="exact"/>
              <w:rPr>
                <w:sz w:val="20"/>
                <w:szCs w:val="20"/>
                <w:color w:val="auto"/>
              </w:rPr>
            </w:pPr>
            <w:r>
              <w:rPr>
                <w:rFonts w:ascii="Times New Roman" w:cs="Times New Roman" w:eastAsia="Times New Roman" w:hAnsi="Times New Roman"/>
                <w:sz w:val="21"/>
                <w:szCs w:val="21"/>
                <w:color w:val="auto"/>
              </w:rPr>
              <w:t>Inability to Determine Rates</w:t>
            </w:r>
          </w:p>
        </w:tc>
        <w:tc>
          <w:tcPr>
            <w:tcW w:w="320" w:type="dxa"/>
            <w:vAlign w:val="bottom"/>
            <w:vMerge w:val="continue"/>
          </w:tcPr>
          <w:p>
            <w:pPr>
              <w:spacing w:after="0"/>
              <w:rPr>
                <w:sz w:val="20"/>
                <w:szCs w:val="20"/>
                <w:color w:val="auto"/>
              </w:rPr>
            </w:pPr>
          </w:p>
        </w:tc>
        <w:tc>
          <w:tcPr>
            <w:tcW w:w="320" w:type="dxa"/>
            <w:vAlign w:val="bottom"/>
            <w:tcBorders>
              <w:bottom w:val="single" w:sz="8" w:color="0000FF"/>
            </w:tcBorders>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tabs>
          <w:tab w:leader="none" w:pos="1280" w:val="left"/>
          <w:tab w:leader="none" w:pos="9080" w:val="left"/>
        </w:tabs>
        <w:rPr>
          <w:sz w:val="20"/>
          <w:szCs w:val="20"/>
          <w:color w:val="auto"/>
        </w:rPr>
      </w:pPr>
      <w:r>
        <w:rPr>
          <w:rFonts w:ascii="Times New Roman" w:cs="Times New Roman" w:eastAsia="Times New Roman" w:hAnsi="Times New Roman"/>
          <w:sz w:val="21"/>
          <w:szCs w:val="21"/>
          <w:color w:val="auto"/>
        </w:rPr>
        <w:t>Section 3.04</w:t>
        <w:tab/>
        <w:t>Increased Costs; Reserves on Eurodollar Rate Loans, Term SOFR Loans and RFR Loans.</w:t>
      </w:r>
      <w:r>
        <w:rPr>
          <w:sz w:val="20"/>
          <w:szCs w:val="20"/>
          <w:color w:val="auto"/>
        </w:rPr>
        <w:tab/>
      </w:r>
      <w:r>
        <w:rPr>
          <w:rFonts w:ascii="Times New Roman" w:cs="Times New Roman" w:eastAsia="Times New Roman" w:hAnsi="Times New Roman"/>
          <w:sz w:val="21"/>
          <w:szCs w:val="21"/>
          <w:b w:val="1"/>
          <w:bCs w:val="1"/>
          <w:color w:val="FF0000"/>
          <w:strike w:val="1"/>
        </w:rPr>
        <w:t>106</w:t>
      </w:r>
      <w:r>
        <w:rPr>
          <w:rFonts w:ascii="Times New Roman" w:cs="Times New Roman" w:eastAsia="Times New Roman" w:hAnsi="Times New Roman"/>
          <w:sz w:val="21"/>
          <w:szCs w:val="21"/>
          <w:b w:val="1"/>
          <w:bCs w:val="1"/>
          <w:u w:val="single" w:color="auto"/>
          <w:color w:val="0000FF"/>
          <w:strike w:val="1"/>
        </w:rPr>
        <w:t>108</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80" w:type="dxa"/>
            <w:vAlign w:val="bottom"/>
          </w:tcPr>
          <w:p>
            <w:pPr>
              <w:spacing w:after="0"/>
              <w:rPr>
                <w:sz w:val="20"/>
                <w:szCs w:val="20"/>
                <w:color w:val="auto"/>
              </w:rPr>
            </w:pPr>
            <w:r>
              <w:rPr>
                <w:rFonts w:ascii="Times New Roman" w:cs="Times New Roman" w:eastAsia="Times New Roman" w:hAnsi="Times New Roman"/>
                <w:sz w:val="21"/>
                <w:szCs w:val="21"/>
                <w:color w:val="auto"/>
              </w:rPr>
              <w:t>Section 3.05</w:t>
            </w:r>
          </w:p>
        </w:tc>
        <w:tc>
          <w:tcPr>
            <w:tcW w:w="2480" w:type="dxa"/>
            <w:vAlign w:val="bottom"/>
            <w:gridSpan w:val="19"/>
          </w:tcPr>
          <w:p>
            <w:pPr>
              <w:ind w:left="120"/>
              <w:spacing w:after="0"/>
              <w:rPr>
                <w:sz w:val="20"/>
                <w:szCs w:val="20"/>
                <w:color w:val="auto"/>
              </w:rPr>
            </w:pPr>
            <w:r>
              <w:rPr>
                <w:rFonts w:ascii="Times New Roman" w:cs="Times New Roman" w:eastAsia="Times New Roman" w:hAnsi="Times New Roman"/>
                <w:sz w:val="21"/>
                <w:szCs w:val="21"/>
                <w:color w:val="auto"/>
              </w:rPr>
              <w:t>Compensation for Losses</w:t>
            </w:r>
          </w:p>
        </w:tc>
        <w:tc>
          <w:tcPr>
            <w:tcW w:w="460" w:type="dxa"/>
            <w:vAlign w:val="bottom"/>
            <w:gridSpan w:val="4"/>
          </w:tcPr>
          <w:p>
            <w:pPr>
              <w:jc w:val="right"/>
              <w:ind w:right="140"/>
              <w:spacing w:after="0"/>
              <w:rPr>
                <w:sz w:val="20"/>
                <w:szCs w:val="20"/>
                <w:color w:val="auto"/>
              </w:rPr>
            </w:pPr>
            <w:r>
              <w:rPr>
                <w:rFonts w:ascii="Times New Roman" w:cs="Times New Roman" w:eastAsia="Times New Roman" w:hAnsi="Times New Roman"/>
                <w:sz w:val="21"/>
                <w:szCs w:val="21"/>
                <w:b w:val="1"/>
                <w:bCs w:val="1"/>
                <w:color w:val="FF0000"/>
                <w:strike w:val="1"/>
                <w:w w:val="95"/>
              </w:rPr>
              <w:t>108</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b w:val="1"/>
                <w:bCs w:val="1"/>
                <w:color w:val="0000FF"/>
                <w:w w:val="71"/>
              </w:rPr>
              <w:t>110</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1"/>
                <w:szCs w:val="21"/>
                <w:b w:val="1"/>
                <w:bCs w:val="1"/>
                <w:color w:val="FF0000"/>
                <w:strike w:val="1"/>
                <w:w w:val="88"/>
              </w:rPr>
              <w:t>109</w:t>
            </w:r>
          </w:p>
        </w:tc>
        <w:tc>
          <w:tcPr>
            <w:tcW w:w="380" w:type="dxa"/>
            <w:vAlign w:val="bottom"/>
            <w:gridSpan w:val="6"/>
            <w:vMerge w:val="restart"/>
          </w:tcPr>
          <w:p>
            <w:pPr>
              <w:jc w:val="right"/>
              <w:ind w:right="120"/>
              <w:spacing w:after="0"/>
              <w:rPr>
                <w:sz w:val="20"/>
                <w:szCs w:val="20"/>
                <w:color w:val="auto"/>
              </w:rPr>
            </w:pPr>
            <w:r>
              <w:rPr>
                <w:rFonts w:ascii="Times New Roman" w:cs="Times New Roman" w:eastAsia="Times New Roman" w:hAnsi="Times New Roman"/>
                <w:sz w:val="21"/>
                <w:szCs w:val="21"/>
                <w:b w:val="1"/>
                <w:bCs w:val="1"/>
                <w:color w:val="0000FF"/>
                <w:w w:val="76"/>
              </w:rPr>
              <w:t>111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vMerge w:val="continue"/>
          </w:tcPr>
          <w:p>
            <w:pPr>
              <w:spacing w:after="0" w:line="20" w:lineRule="exact"/>
              <w:rPr>
                <w:sz w:val="1"/>
                <w:szCs w:val="1"/>
                <w:color w:val="auto"/>
              </w:rPr>
            </w:pPr>
          </w:p>
        </w:tc>
        <w:tc>
          <w:tcPr>
            <w:tcW w:w="380" w:type="dxa"/>
            <w:vAlign w:val="bottom"/>
            <w:gridSpan w:val="6"/>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180" w:type="dxa"/>
            <w:vAlign w:val="bottom"/>
          </w:tcPr>
          <w:p>
            <w:pPr>
              <w:spacing w:after="0" w:line="232" w:lineRule="exact"/>
              <w:rPr>
                <w:sz w:val="20"/>
                <w:szCs w:val="20"/>
                <w:color w:val="auto"/>
              </w:rPr>
            </w:pPr>
            <w:r>
              <w:rPr>
                <w:rFonts w:ascii="Times New Roman" w:cs="Times New Roman" w:eastAsia="Times New Roman" w:hAnsi="Times New Roman"/>
                <w:sz w:val="21"/>
                <w:szCs w:val="21"/>
                <w:color w:val="auto"/>
              </w:rPr>
              <w:t>Section 3.06</w:t>
            </w:r>
          </w:p>
        </w:tc>
        <w:tc>
          <w:tcPr>
            <w:tcW w:w="4460" w:type="dxa"/>
            <w:vAlign w:val="bottom"/>
            <w:gridSpan w:val="42"/>
          </w:tcPr>
          <w:p>
            <w:pPr>
              <w:ind w:left="120"/>
              <w:spacing w:after="0" w:line="232" w:lineRule="exact"/>
              <w:rPr>
                <w:sz w:val="20"/>
                <w:szCs w:val="20"/>
                <w:color w:val="auto"/>
              </w:rPr>
            </w:pPr>
            <w:r>
              <w:rPr>
                <w:rFonts w:ascii="Times New Roman" w:cs="Times New Roman" w:eastAsia="Times New Roman" w:hAnsi="Times New Roman"/>
                <w:sz w:val="21"/>
                <w:szCs w:val="21"/>
                <w:color w:val="auto"/>
              </w:rPr>
              <w:t>Mitigation Obligations; Replacement of Lenders</w:t>
            </w:r>
          </w:p>
        </w:tc>
        <w:tc>
          <w:tcPr>
            <w:tcW w:w="340" w:type="dxa"/>
            <w:vAlign w:val="bottom"/>
            <w:gridSpan w:val="2"/>
            <w:vMerge w:val="continue"/>
          </w:tcPr>
          <w:p>
            <w:pPr>
              <w:spacing w:after="0"/>
              <w:rPr>
                <w:sz w:val="20"/>
                <w:szCs w:val="20"/>
                <w:color w:val="auto"/>
              </w:rPr>
            </w:pPr>
          </w:p>
        </w:tc>
        <w:tc>
          <w:tcPr>
            <w:tcW w:w="380" w:type="dxa"/>
            <w:vAlign w:val="bottom"/>
            <w:gridSpan w:val="6"/>
            <w:vMerge w:val="continue"/>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180" w:type="dxa"/>
            <w:vAlign w:val="bottom"/>
          </w:tcPr>
          <w:p>
            <w:pPr>
              <w:spacing w:after="0" w:line="232" w:lineRule="exact"/>
              <w:rPr>
                <w:sz w:val="20"/>
                <w:szCs w:val="20"/>
                <w:color w:val="auto"/>
              </w:rPr>
            </w:pPr>
            <w:r>
              <w:rPr>
                <w:rFonts w:ascii="Times New Roman" w:cs="Times New Roman" w:eastAsia="Times New Roman" w:hAnsi="Times New Roman"/>
                <w:sz w:val="21"/>
                <w:szCs w:val="21"/>
                <w:color w:val="auto"/>
              </w:rPr>
              <w:t>Section 3.07</w:t>
            </w:r>
          </w:p>
        </w:tc>
        <w:tc>
          <w:tcPr>
            <w:tcW w:w="1040" w:type="dxa"/>
            <w:vAlign w:val="bottom"/>
            <w:gridSpan w:val="3"/>
          </w:tcPr>
          <w:p>
            <w:pPr>
              <w:ind w:left="120"/>
              <w:spacing w:after="0" w:line="232" w:lineRule="exact"/>
              <w:rPr>
                <w:sz w:val="20"/>
                <w:szCs w:val="20"/>
                <w:color w:val="auto"/>
              </w:rPr>
            </w:pPr>
            <w:r>
              <w:rPr>
                <w:rFonts w:ascii="Times New Roman" w:cs="Times New Roman" w:eastAsia="Times New Roman" w:hAnsi="Times New Roman"/>
                <w:sz w:val="21"/>
                <w:szCs w:val="21"/>
                <w:color w:val="auto"/>
              </w:rPr>
              <w:t>Survival</w:t>
            </w:r>
          </w:p>
        </w:tc>
        <w:tc>
          <w:tcPr>
            <w:tcW w:w="440" w:type="dxa"/>
            <w:vAlign w:val="bottom"/>
            <w:gridSpan w:val="3"/>
          </w:tcPr>
          <w:p>
            <w:pPr>
              <w:jc w:val="right"/>
              <w:ind w:right="14"/>
              <w:spacing w:after="0" w:line="232" w:lineRule="exact"/>
              <w:rPr>
                <w:sz w:val="20"/>
                <w:szCs w:val="20"/>
                <w:color w:val="auto"/>
              </w:rPr>
            </w:pPr>
            <w:r>
              <w:rPr>
                <w:rFonts w:ascii="Times New Roman" w:cs="Times New Roman" w:eastAsia="Times New Roman" w:hAnsi="Times New Roman"/>
                <w:sz w:val="21"/>
                <w:szCs w:val="21"/>
                <w:b w:val="1"/>
                <w:bCs w:val="1"/>
                <w:color w:val="FF0000"/>
                <w:strike w:val="1"/>
                <w:w w:val="95"/>
              </w:rPr>
              <w:t>109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0000FF"/>
                <w:w w:val="70"/>
              </w:rPr>
              <w:t>111</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gridSpan w:val="5"/>
            <w:vMerge w:val="restart"/>
          </w:tcPr>
          <w:p>
            <w:pPr>
              <w:jc w:val="right"/>
              <w:spacing w:after="0"/>
              <w:rPr>
                <w:sz w:val="20"/>
                <w:szCs w:val="20"/>
                <w:color w:val="auto"/>
              </w:rPr>
            </w:pPr>
            <w:r>
              <w:rPr>
                <w:rFonts w:ascii="Times New Roman" w:cs="Times New Roman" w:eastAsia="Times New Roman" w:hAnsi="Times New Roman"/>
                <w:sz w:val="21"/>
                <w:szCs w:val="21"/>
                <w:b w:val="1"/>
                <w:bCs w:val="1"/>
                <w:color w:val="FF0000"/>
                <w:strike w:val="1"/>
                <w:w w:val="95"/>
              </w:rPr>
              <w:t>109</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0000FF"/>
                <w:w w:val="73"/>
              </w:rPr>
              <w:t>111</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5"/>
            <w:vMerge w:val="continue"/>
          </w:tcPr>
          <w:p>
            <w:pPr>
              <w:spacing w:after="0" w:line="20" w:lineRule="exact"/>
              <w:rPr>
                <w:sz w:val="1"/>
                <w:szCs w:val="1"/>
                <w:color w:val="auto"/>
              </w:rPr>
            </w:pPr>
          </w:p>
        </w:tc>
        <w:tc>
          <w:tcPr>
            <w:tcW w:w="260" w:type="dxa"/>
            <w:vAlign w:val="bottom"/>
            <w:gridSpan w:val="2"/>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180" w:type="dxa"/>
            <w:vAlign w:val="bottom"/>
          </w:tcPr>
          <w:p>
            <w:pPr>
              <w:spacing w:after="0" w:line="232" w:lineRule="exact"/>
              <w:rPr>
                <w:sz w:val="20"/>
                <w:szCs w:val="20"/>
                <w:color w:val="auto"/>
              </w:rPr>
            </w:pPr>
            <w:r>
              <w:rPr>
                <w:rFonts w:ascii="Times New Roman" w:cs="Times New Roman" w:eastAsia="Times New Roman" w:hAnsi="Times New Roman"/>
                <w:sz w:val="21"/>
                <w:szCs w:val="21"/>
                <w:color w:val="auto"/>
              </w:rPr>
              <w:t>Section 3.08</w:t>
            </w:r>
          </w:p>
        </w:tc>
        <w:tc>
          <w:tcPr>
            <w:tcW w:w="3560" w:type="dxa"/>
            <w:vAlign w:val="bottom"/>
            <w:gridSpan w:val="32"/>
          </w:tcPr>
          <w:p>
            <w:pPr>
              <w:ind w:left="120"/>
              <w:spacing w:after="0" w:line="232" w:lineRule="exact"/>
              <w:rPr>
                <w:sz w:val="20"/>
                <w:szCs w:val="20"/>
                <w:color w:val="auto"/>
              </w:rPr>
            </w:pPr>
            <w:r>
              <w:rPr>
                <w:rFonts w:ascii="Times New Roman" w:cs="Times New Roman" w:eastAsia="Times New Roman" w:hAnsi="Times New Roman"/>
                <w:sz w:val="21"/>
                <w:szCs w:val="21"/>
                <w:color w:val="auto"/>
              </w:rPr>
              <w:t>Effect of Benchmark Transition Event</w:t>
            </w:r>
          </w:p>
        </w:tc>
        <w:tc>
          <w:tcPr>
            <w:tcW w:w="380" w:type="dxa"/>
            <w:vAlign w:val="bottom"/>
            <w:gridSpan w:val="5"/>
            <w:vMerge w:val="continue"/>
          </w:tcPr>
          <w:p>
            <w:pPr>
              <w:spacing w:after="0"/>
              <w:rPr>
                <w:sz w:val="20"/>
                <w:szCs w:val="20"/>
                <w:color w:val="auto"/>
              </w:rPr>
            </w:pPr>
          </w:p>
        </w:tc>
        <w:tc>
          <w:tcPr>
            <w:tcW w:w="260" w:type="dxa"/>
            <w:vAlign w:val="bottom"/>
            <w:gridSpan w:val="2"/>
            <w:vMerge w:val="continue"/>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40" w:type="dxa"/>
            <w:vAlign w:val="bottom"/>
            <w:gridSpan w:val="34"/>
          </w:tcPr>
          <w:p>
            <w:pPr>
              <w:jc w:val="center"/>
              <w:ind w:right="60"/>
              <w:spacing w:after="0"/>
              <w:rPr>
                <w:sz w:val="20"/>
                <w:szCs w:val="20"/>
                <w:color w:val="auto"/>
              </w:rPr>
            </w:pPr>
            <w:r>
              <w:rPr>
                <w:rFonts w:ascii="Times New Roman" w:cs="Times New Roman" w:eastAsia="Times New Roman" w:hAnsi="Times New Roman"/>
                <w:sz w:val="21"/>
                <w:szCs w:val="21"/>
                <w:color w:val="auto"/>
              </w:rPr>
              <w:t>Article 4. Conditions Precedent</w:t>
            </w:r>
          </w:p>
        </w:tc>
        <w:tc>
          <w:tcPr>
            <w:tcW w:w="300" w:type="dxa"/>
            <w:vAlign w:val="bottom"/>
            <w:gridSpan w:val="4"/>
          </w:tcPr>
          <w:p>
            <w:pPr>
              <w:jc w:val="right"/>
              <w:spacing w:after="0"/>
              <w:rPr>
                <w:sz w:val="20"/>
                <w:szCs w:val="20"/>
                <w:color w:val="auto"/>
              </w:rPr>
            </w:pPr>
            <w:r>
              <w:rPr>
                <w:rFonts w:ascii="Times New Roman" w:cs="Times New Roman" w:eastAsia="Times New Roman" w:hAnsi="Times New Roman"/>
                <w:sz w:val="21"/>
                <w:szCs w:val="21"/>
                <w:b w:val="1"/>
                <w:bCs w:val="1"/>
                <w:color w:val="FF0000"/>
                <w:strike w:val="1"/>
                <w:w w:val="88"/>
              </w:rPr>
              <w:t>110</w:t>
            </w:r>
          </w:p>
        </w:tc>
        <w:tc>
          <w:tcPr>
            <w:tcW w:w="32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21"/>
                <w:szCs w:val="21"/>
                <w:b w:val="1"/>
                <w:bCs w:val="1"/>
                <w:color w:val="0000FF"/>
                <w:w w:val="95"/>
              </w:rPr>
              <w:t>112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7"/>
        </w:trPr>
        <w:tc>
          <w:tcPr>
            <w:tcW w:w="1180" w:type="dxa"/>
            <w:vAlign w:val="bottom"/>
          </w:tcPr>
          <w:p>
            <w:pPr>
              <w:spacing w:after="0"/>
              <w:rPr>
                <w:sz w:val="20"/>
                <w:szCs w:val="20"/>
                <w:color w:val="auto"/>
              </w:rPr>
            </w:pPr>
            <w:r>
              <w:rPr>
                <w:rFonts w:ascii="Times New Roman" w:cs="Times New Roman" w:eastAsia="Times New Roman" w:hAnsi="Times New Roman"/>
                <w:sz w:val="21"/>
                <w:szCs w:val="21"/>
                <w:color w:val="auto"/>
              </w:rPr>
              <w:t>Section 4.01</w:t>
            </w:r>
          </w:p>
        </w:tc>
        <w:tc>
          <w:tcPr>
            <w:tcW w:w="3840" w:type="dxa"/>
            <w:vAlign w:val="bottom"/>
            <w:gridSpan w:val="36"/>
          </w:tcPr>
          <w:p>
            <w:pPr>
              <w:ind w:left="120"/>
              <w:spacing w:after="0"/>
              <w:rPr>
                <w:sz w:val="20"/>
                <w:szCs w:val="20"/>
                <w:color w:val="auto"/>
              </w:rPr>
            </w:pPr>
            <w:r>
              <w:rPr>
                <w:rFonts w:ascii="Times New Roman" w:cs="Times New Roman" w:eastAsia="Times New Roman" w:hAnsi="Times New Roman"/>
                <w:sz w:val="21"/>
                <w:szCs w:val="21"/>
                <w:color w:val="auto"/>
              </w:rPr>
              <w:t>Conditions Precedent to the Closing Date</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1"/>
                <w:szCs w:val="21"/>
                <w:b w:val="1"/>
                <w:bCs w:val="1"/>
                <w:color w:val="FF0000"/>
                <w:strike w:val="1"/>
                <w:w w:val="95"/>
              </w:rPr>
              <w:t>110</w:t>
            </w:r>
          </w:p>
        </w:tc>
        <w:tc>
          <w:tcPr>
            <w:tcW w:w="28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21"/>
                <w:szCs w:val="21"/>
                <w:b w:val="1"/>
                <w:bCs w:val="1"/>
                <w:color w:val="0000FF"/>
                <w:w w:val="82"/>
              </w:rPr>
              <w:t>112</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gridSpan w:val="3"/>
            <w:vMerge w:val="restart"/>
          </w:tcPr>
          <w:p>
            <w:pPr>
              <w:spacing w:after="0"/>
              <w:rPr>
                <w:sz w:val="20"/>
                <w:szCs w:val="20"/>
                <w:color w:val="auto"/>
              </w:rPr>
            </w:pPr>
            <w:r>
              <w:rPr>
                <w:rFonts w:ascii="Times New Roman" w:cs="Times New Roman" w:eastAsia="Times New Roman" w:hAnsi="Times New Roman"/>
                <w:sz w:val="21"/>
                <w:szCs w:val="21"/>
                <w:b w:val="1"/>
                <w:bCs w:val="1"/>
                <w:color w:val="FF0000"/>
                <w:strike w:val="1"/>
                <w:w w:val="95"/>
              </w:rPr>
              <w:t>113</w:t>
            </w:r>
          </w:p>
        </w:tc>
        <w:tc>
          <w:tcPr>
            <w:tcW w:w="300" w:type="dxa"/>
            <w:vAlign w:val="bottom"/>
            <w:gridSpan w:val="3"/>
            <w:vMerge w:val="restart"/>
          </w:tcPr>
          <w:p>
            <w:pPr>
              <w:jc w:val="right"/>
              <w:spacing w:after="0"/>
              <w:rPr>
                <w:sz w:val="20"/>
                <w:szCs w:val="20"/>
                <w:color w:val="auto"/>
              </w:rPr>
            </w:pPr>
            <w:r>
              <w:rPr>
                <w:rFonts w:ascii="Times New Roman" w:cs="Times New Roman" w:eastAsia="Times New Roman" w:hAnsi="Times New Roman"/>
                <w:sz w:val="21"/>
                <w:szCs w:val="21"/>
                <w:b w:val="1"/>
                <w:bCs w:val="1"/>
                <w:color w:val="0000FF"/>
                <w:w w:val="88"/>
              </w:rPr>
              <w:t>115</w:t>
            </w:r>
          </w:p>
        </w:tc>
        <w:tc>
          <w:tcPr>
            <w:tcW w:w="8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180" w:type="dxa"/>
            <w:vAlign w:val="bottom"/>
          </w:tcPr>
          <w:p>
            <w:pPr>
              <w:spacing w:after="0" w:line="232" w:lineRule="exact"/>
              <w:rPr>
                <w:sz w:val="20"/>
                <w:szCs w:val="20"/>
                <w:color w:val="auto"/>
              </w:rPr>
            </w:pPr>
            <w:r>
              <w:rPr>
                <w:rFonts w:ascii="Times New Roman" w:cs="Times New Roman" w:eastAsia="Times New Roman" w:hAnsi="Times New Roman"/>
                <w:sz w:val="21"/>
                <w:szCs w:val="21"/>
                <w:color w:val="auto"/>
              </w:rPr>
              <w:t>Section 4.02</w:t>
            </w:r>
          </w:p>
        </w:tc>
        <w:tc>
          <w:tcPr>
            <w:tcW w:w="5240" w:type="dxa"/>
            <w:vAlign w:val="bottom"/>
            <w:gridSpan w:val="51"/>
          </w:tcPr>
          <w:p>
            <w:pPr>
              <w:ind w:left="120"/>
              <w:spacing w:after="0" w:line="232" w:lineRule="exact"/>
              <w:rPr>
                <w:sz w:val="20"/>
                <w:szCs w:val="20"/>
                <w:color w:val="auto"/>
              </w:rPr>
            </w:pPr>
            <w:r>
              <w:rPr>
                <w:rFonts w:ascii="Times New Roman" w:cs="Times New Roman" w:eastAsia="Times New Roman" w:hAnsi="Times New Roman"/>
                <w:sz w:val="21"/>
                <w:szCs w:val="21"/>
                <w:color w:val="auto"/>
              </w:rPr>
              <w:t>Conditions to All Credit Extensions after the Closing Date</w:t>
            </w:r>
          </w:p>
        </w:tc>
        <w:tc>
          <w:tcPr>
            <w:tcW w:w="40" w:type="dxa"/>
            <w:vAlign w:val="bottom"/>
          </w:tcPr>
          <w:p>
            <w:pPr>
              <w:spacing w:after="0"/>
              <w:rPr>
                <w:sz w:val="20"/>
                <w:szCs w:val="20"/>
                <w:color w:val="auto"/>
              </w:rPr>
            </w:pPr>
          </w:p>
        </w:tc>
        <w:tc>
          <w:tcPr>
            <w:tcW w:w="320" w:type="dxa"/>
            <w:vAlign w:val="bottom"/>
            <w:gridSpan w:val="3"/>
            <w:vMerge w:val="continue"/>
          </w:tcPr>
          <w:p>
            <w:pPr>
              <w:spacing w:after="0"/>
              <w:rPr>
                <w:sz w:val="20"/>
                <w:szCs w:val="20"/>
                <w:color w:val="auto"/>
              </w:rPr>
            </w:pPr>
          </w:p>
        </w:tc>
        <w:tc>
          <w:tcPr>
            <w:tcW w:w="300" w:type="dxa"/>
            <w:vAlign w:val="bottom"/>
            <w:tcBorders>
              <w:bottom w:val="single" w:sz="8" w:color="0000FF"/>
            </w:tcBorders>
            <w:gridSpan w:val="3"/>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80" w:type="dxa"/>
            <w:vAlign w:val="bottom"/>
            <w:gridSpan w:val="44"/>
          </w:tcPr>
          <w:p>
            <w:pPr>
              <w:jc w:val="center"/>
              <w:ind w:right="80"/>
              <w:spacing w:after="0"/>
              <w:rPr>
                <w:sz w:val="20"/>
                <w:szCs w:val="20"/>
                <w:color w:val="auto"/>
              </w:rPr>
            </w:pPr>
            <w:r>
              <w:rPr>
                <w:rFonts w:ascii="Times New Roman" w:cs="Times New Roman" w:eastAsia="Times New Roman" w:hAnsi="Times New Roman"/>
                <w:sz w:val="21"/>
                <w:szCs w:val="21"/>
                <w:color w:val="auto"/>
                <w:w w:val="99"/>
              </w:rPr>
              <w:t>Article 5. Representations and Warranties</w:t>
            </w:r>
          </w:p>
        </w:tc>
        <w:tc>
          <w:tcPr>
            <w:tcW w:w="60" w:type="dxa"/>
            <w:vAlign w:val="bottom"/>
            <w:gridSpan w:val="2"/>
          </w:tcPr>
          <w:p>
            <w:pPr>
              <w:spacing w:after="0"/>
              <w:rPr>
                <w:sz w:val="24"/>
                <w:szCs w:val="24"/>
                <w:color w:val="auto"/>
              </w:rPr>
            </w:pP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21"/>
                <w:szCs w:val="21"/>
                <w:b w:val="1"/>
                <w:bCs w:val="1"/>
                <w:color w:val="FF0000"/>
                <w:strike w:val="1"/>
              </w:rPr>
              <w:t>114</w:t>
            </w:r>
          </w:p>
        </w:tc>
        <w:tc>
          <w:tcPr>
            <w:tcW w:w="30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1"/>
                <w:szCs w:val="21"/>
                <w:b w:val="1"/>
                <w:bCs w:val="1"/>
                <w:color w:val="0000FF"/>
                <w:w w:val="88"/>
              </w:rPr>
              <w:t>116</w:t>
            </w:r>
          </w:p>
        </w:tc>
        <w:tc>
          <w:tcPr>
            <w:tcW w:w="0" w:type="dxa"/>
            <w:vAlign w:val="bottom"/>
          </w:tcPr>
          <w:p>
            <w:pPr>
              <w:spacing w:after="0"/>
              <w:rPr>
                <w:sz w:val="1"/>
                <w:szCs w:val="1"/>
                <w:color w:val="auto"/>
              </w:rPr>
            </w:pPr>
          </w:p>
        </w:tc>
      </w:tr>
      <w:tr>
        <w:trPr>
          <w:trHeight w:val="444"/>
        </w:trPr>
        <w:tc>
          <w:tcPr>
            <w:tcW w:w="1180" w:type="dxa"/>
            <w:vAlign w:val="bottom"/>
          </w:tcPr>
          <w:p>
            <w:pPr>
              <w:spacing w:after="0"/>
              <w:rPr>
                <w:sz w:val="20"/>
                <w:szCs w:val="20"/>
                <w:color w:val="auto"/>
              </w:rPr>
            </w:pPr>
            <w:r>
              <w:rPr>
                <w:rFonts w:ascii="Times New Roman" w:cs="Times New Roman" w:eastAsia="Times New Roman" w:hAnsi="Times New Roman"/>
                <w:sz w:val="21"/>
                <w:szCs w:val="21"/>
                <w:color w:val="auto"/>
              </w:rPr>
              <w:t>Section 5.01</w:t>
            </w:r>
          </w:p>
        </w:tc>
        <w:tc>
          <w:tcPr>
            <w:tcW w:w="3140" w:type="dxa"/>
            <w:vAlign w:val="bottom"/>
            <w:gridSpan w:val="26"/>
          </w:tcPr>
          <w:p>
            <w:pPr>
              <w:ind w:left="120"/>
              <w:spacing w:after="0"/>
              <w:rPr>
                <w:sz w:val="20"/>
                <w:szCs w:val="20"/>
                <w:color w:val="auto"/>
              </w:rPr>
            </w:pPr>
            <w:r>
              <w:rPr>
                <w:rFonts w:ascii="Times New Roman" w:cs="Times New Roman" w:eastAsia="Times New Roman" w:hAnsi="Times New Roman"/>
                <w:sz w:val="21"/>
                <w:szCs w:val="21"/>
                <w:color w:val="auto"/>
              </w:rPr>
              <w:t>Existence, Qualification and Power</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gridSpan w:val="5"/>
          </w:tcPr>
          <w:p>
            <w:pPr>
              <w:jc w:val="right"/>
              <w:ind w:right="20"/>
              <w:spacing w:after="0"/>
              <w:rPr>
                <w:sz w:val="20"/>
                <w:szCs w:val="20"/>
                <w:color w:val="auto"/>
              </w:rPr>
            </w:pPr>
            <w:r>
              <w:rPr>
                <w:rFonts w:ascii="Times New Roman" w:cs="Times New Roman" w:eastAsia="Times New Roman" w:hAnsi="Times New Roman"/>
                <w:sz w:val="21"/>
                <w:szCs w:val="21"/>
                <w:b w:val="1"/>
                <w:bCs w:val="1"/>
                <w:color w:val="FF0000"/>
                <w:strike w:val="1"/>
                <w:w w:val="82"/>
              </w:rPr>
              <w:t>114</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1"/>
                <w:szCs w:val="21"/>
                <w:b w:val="1"/>
                <w:bCs w:val="1"/>
                <w:color w:val="0000FF"/>
                <w:w w:val="82"/>
              </w:rPr>
              <w:t>116</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40" w:type="dxa"/>
            <w:vAlign w:val="bottom"/>
            <w:tcBorders>
              <w:right w:val="single" w:sz="8" w:color="0000FF"/>
            </w:tcBorders>
            <w:gridSpan w:val="35"/>
          </w:tcPr>
          <w:p>
            <w:pPr>
              <w:spacing w:after="0" w:line="20" w:lineRule="exact"/>
              <w:rPr>
                <w:sz w:val="1"/>
                <w:szCs w:val="1"/>
                <w:color w:val="auto"/>
              </w:rPr>
            </w:pPr>
          </w:p>
        </w:tc>
        <w:tc>
          <w:tcPr>
            <w:tcW w:w="280" w:type="dxa"/>
            <w:vAlign w:val="bottom"/>
            <w:tcBorders>
              <w:right w:val="single" w:sz="8" w:color="0000FF"/>
            </w:tcBorders>
            <w:gridSpan w:val="3"/>
            <w:shd w:val="clear" w:color="auto" w:fill="0000FF"/>
          </w:tcPr>
          <w:p>
            <w:pPr>
              <w:spacing w:after="0" w:line="20" w:lineRule="exact"/>
              <w:rPr>
                <w:sz w:val="1"/>
                <w:szCs w:val="1"/>
                <w:color w:val="auto"/>
              </w:rPr>
            </w:pPr>
          </w:p>
        </w:tc>
        <w:tc>
          <w:tcPr>
            <w:tcW w:w="2040" w:type="dxa"/>
            <w:vAlign w:val="bottom"/>
            <w:gridSpan w:val="2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180" w:type="dxa"/>
            <w:vAlign w:val="bottom"/>
          </w:tcPr>
          <w:p>
            <w:pPr>
              <w:spacing w:after="0" w:line="232" w:lineRule="exact"/>
              <w:rPr>
                <w:sz w:val="20"/>
                <w:szCs w:val="20"/>
                <w:color w:val="auto"/>
              </w:rPr>
            </w:pPr>
            <w:r>
              <w:rPr>
                <w:rFonts w:ascii="Times New Roman" w:cs="Times New Roman" w:eastAsia="Times New Roman" w:hAnsi="Times New Roman"/>
                <w:sz w:val="21"/>
                <w:szCs w:val="21"/>
                <w:color w:val="auto"/>
              </w:rPr>
              <w:t>Section 5.02</w:t>
            </w:r>
          </w:p>
        </w:tc>
        <w:tc>
          <w:tcPr>
            <w:tcW w:w="3140" w:type="dxa"/>
            <w:vAlign w:val="bottom"/>
            <w:gridSpan w:val="26"/>
          </w:tcPr>
          <w:p>
            <w:pPr>
              <w:ind w:left="120"/>
              <w:spacing w:after="0" w:line="232" w:lineRule="exact"/>
              <w:rPr>
                <w:sz w:val="20"/>
                <w:szCs w:val="20"/>
                <w:color w:val="auto"/>
              </w:rPr>
            </w:pPr>
            <w:r>
              <w:rPr>
                <w:rFonts w:ascii="Times New Roman" w:cs="Times New Roman" w:eastAsia="Times New Roman" w:hAnsi="Times New Roman"/>
                <w:sz w:val="21"/>
                <w:szCs w:val="21"/>
                <w:color w:val="auto"/>
              </w:rPr>
              <w:t>Authorization; No Contravention</w:t>
            </w:r>
          </w:p>
        </w:tc>
        <w:tc>
          <w:tcPr>
            <w:tcW w:w="300" w:type="dxa"/>
            <w:vAlign w:val="bottom"/>
            <w:gridSpan w:val="4"/>
          </w:tcPr>
          <w:p>
            <w:pPr>
              <w:jc w:val="right"/>
              <w:spacing w:after="0" w:line="232" w:lineRule="exact"/>
              <w:rPr>
                <w:sz w:val="20"/>
                <w:szCs w:val="20"/>
                <w:color w:val="auto"/>
              </w:rPr>
            </w:pPr>
            <w:r>
              <w:rPr>
                <w:rFonts w:ascii="Times New Roman" w:cs="Times New Roman" w:eastAsia="Times New Roman" w:hAnsi="Times New Roman"/>
                <w:sz w:val="21"/>
                <w:szCs w:val="21"/>
                <w:b w:val="1"/>
                <w:bCs w:val="1"/>
                <w:color w:val="FF0000"/>
                <w:strike w:val="1"/>
                <w:w w:val="88"/>
              </w:rPr>
              <w:t>114</w:t>
            </w:r>
          </w:p>
        </w:tc>
        <w:tc>
          <w:tcPr>
            <w:tcW w:w="320" w:type="dxa"/>
            <w:vAlign w:val="bottom"/>
            <w:tcBorders>
              <w:bottom w:val="single" w:sz="8" w:color="0000FF"/>
            </w:tcBorders>
            <w:gridSpan w:val="5"/>
          </w:tcPr>
          <w:p>
            <w:pPr>
              <w:jc w:val="right"/>
              <w:spacing w:after="0" w:line="232" w:lineRule="exact"/>
              <w:rPr>
                <w:sz w:val="20"/>
                <w:szCs w:val="20"/>
                <w:color w:val="auto"/>
              </w:rPr>
            </w:pPr>
            <w:r>
              <w:rPr>
                <w:rFonts w:ascii="Times New Roman" w:cs="Times New Roman" w:eastAsia="Times New Roman" w:hAnsi="Times New Roman"/>
                <w:sz w:val="21"/>
                <w:szCs w:val="21"/>
                <w:b w:val="1"/>
                <w:bCs w:val="1"/>
                <w:color w:val="0000FF"/>
                <w:w w:val="95"/>
              </w:rPr>
              <w:t>116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gridSpan w:val="4"/>
            <w:vMerge w:val="restart"/>
          </w:tcPr>
          <w:p>
            <w:pPr>
              <w:jc w:val="right"/>
              <w:ind w:right="14"/>
              <w:spacing w:after="0"/>
              <w:rPr>
                <w:sz w:val="20"/>
                <w:szCs w:val="20"/>
                <w:color w:val="auto"/>
              </w:rPr>
            </w:pPr>
            <w:r>
              <w:rPr>
                <w:rFonts w:ascii="Times New Roman" w:cs="Times New Roman" w:eastAsia="Times New Roman" w:hAnsi="Times New Roman"/>
                <w:sz w:val="21"/>
                <w:szCs w:val="21"/>
                <w:b w:val="1"/>
                <w:bCs w:val="1"/>
                <w:color w:val="FF0000"/>
                <w:strike w:val="1"/>
                <w:w w:val="88"/>
              </w:rPr>
              <w:t>114</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0000FF"/>
                <w:w w:val="70"/>
              </w:rPr>
              <w:t>116</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180" w:type="dxa"/>
            <w:vAlign w:val="bottom"/>
          </w:tcPr>
          <w:p>
            <w:pPr>
              <w:spacing w:after="0" w:line="232" w:lineRule="exact"/>
              <w:rPr>
                <w:sz w:val="20"/>
                <w:szCs w:val="20"/>
                <w:color w:val="auto"/>
              </w:rPr>
            </w:pPr>
            <w:r>
              <w:rPr>
                <w:rFonts w:ascii="Times New Roman" w:cs="Times New Roman" w:eastAsia="Times New Roman" w:hAnsi="Times New Roman"/>
                <w:sz w:val="21"/>
                <w:szCs w:val="21"/>
                <w:color w:val="auto"/>
              </w:rPr>
              <w:t>Section 5.03</w:t>
            </w:r>
          </w:p>
        </w:tc>
        <w:tc>
          <w:tcPr>
            <w:tcW w:w="4200" w:type="dxa"/>
            <w:vAlign w:val="bottom"/>
            <w:gridSpan w:val="39"/>
          </w:tcPr>
          <w:p>
            <w:pPr>
              <w:ind w:left="120"/>
              <w:spacing w:after="0" w:line="232" w:lineRule="exact"/>
              <w:rPr>
                <w:sz w:val="20"/>
                <w:szCs w:val="20"/>
                <w:color w:val="auto"/>
              </w:rPr>
            </w:pPr>
            <w:r>
              <w:rPr>
                <w:rFonts w:ascii="Times New Roman" w:cs="Times New Roman" w:eastAsia="Times New Roman" w:hAnsi="Times New Roman"/>
                <w:sz w:val="21"/>
                <w:szCs w:val="21"/>
                <w:color w:val="auto"/>
              </w:rPr>
              <w:t>Governmental Authorization; Other Consents</w:t>
            </w:r>
          </w:p>
        </w:tc>
        <w:tc>
          <w:tcPr>
            <w:tcW w:w="420" w:type="dxa"/>
            <w:vAlign w:val="bottom"/>
            <w:gridSpan w:val="4"/>
            <w:vMerge w:val="continue"/>
          </w:tcPr>
          <w:p>
            <w:pPr>
              <w:spacing w:after="0"/>
              <w:rPr>
                <w:sz w:val="20"/>
                <w:szCs w:val="20"/>
                <w:color w:val="auto"/>
              </w:rPr>
            </w:pPr>
          </w:p>
        </w:tc>
        <w:tc>
          <w:tcPr>
            <w:tcW w:w="26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8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rPr>
              <w:t>Section 5.04</w:t>
            </w:r>
          </w:p>
        </w:tc>
        <w:tc>
          <w:tcPr>
            <w:tcW w:w="1660" w:type="dxa"/>
            <w:vAlign w:val="bottom"/>
            <w:gridSpan w:val="7"/>
            <w:vMerge w:val="restart"/>
          </w:tcPr>
          <w:p>
            <w:pPr>
              <w:ind w:left="120"/>
              <w:spacing w:after="0"/>
              <w:rPr>
                <w:sz w:val="20"/>
                <w:szCs w:val="20"/>
                <w:color w:val="auto"/>
              </w:rPr>
            </w:pPr>
            <w:r>
              <w:rPr>
                <w:rFonts w:ascii="Times New Roman" w:cs="Times New Roman" w:eastAsia="Times New Roman" w:hAnsi="Times New Roman"/>
                <w:sz w:val="21"/>
                <w:szCs w:val="21"/>
                <w:color w:val="auto"/>
              </w:rPr>
              <w:t>Binding Effect</w:t>
            </w:r>
          </w:p>
        </w:tc>
        <w:tc>
          <w:tcPr>
            <w:tcW w:w="220" w:type="dxa"/>
            <w:vAlign w:val="bottom"/>
            <w:gridSpan w:val="5"/>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FF0000"/>
                <w:strike w:val="1"/>
                <w:w w:val="70"/>
              </w:rPr>
              <w:t>114</w:t>
            </w:r>
          </w:p>
        </w:tc>
        <w:tc>
          <w:tcPr>
            <w:tcW w:w="320" w:type="dxa"/>
            <w:vAlign w:val="bottom"/>
            <w:gridSpan w:val="4"/>
            <w:vMerge w:val="restart"/>
          </w:tcPr>
          <w:p>
            <w:pPr>
              <w:jc w:val="right"/>
              <w:spacing w:after="0"/>
              <w:rPr>
                <w:sz w:val="20"/>
                <w:szCs w:val="20"/>
                <w:color w:val="auto"/>
              </w:rPr>
            </w:pPr>
            <w:r>
              <w:rPr>
                <w:rFonts w:ascii="Times New Roman" w:cs="Times New Roman" w:eastAsia="Times New Roman" w:hAnsi="Times New Roman"/>
                <w:sz w:val="21"/>
                <w:szCs w:val="21"/>
                <w:b w:val="1"/>
                <w:bCs w:val="1"/>
                <w:color w:val="0000FF"/>
                <w:w w:val="95"/>
              </w:rPr>
              <w:t>116</w:t>
            </w: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80" w:type="dxa"/>
            <w:vAlign w:val="bottom"/>
            <w:vMerge w:val="continue"/>
          </w:tcPr>
          <w:p>
            <w:pPr>
              <w:spacing w:after="0"/>
              <w:rPr>
                <w:sz w:val="21"/>
                <w:szCs w:val="21"/>
                <w:color w:val="auto"/>
              </w:rPr>
            </w:pPr>
          </w:p>
        </w:tc>
        <w:tc>
          <w:tcPr>
            <w:tcW w:w="1660" w:type="dxa"/>
            <w:vAlign w:val="bottom"/>
            <w:gridSpan w:val="7"/>
            <w:vMerge w:val="continue"/>
          </w:tcPr>
          <w:p>
            <w:pPr>
              <w:spacing w:after="0"/>
              <w:rPr>
                <w:sz w:val="21"/>
                <w:szCs w:val="21"/>
                <w:color w:val="auto"/>
              </w:rPr>
            </w:pPr>
          </w:p>
        </w:tc>
        <w:tc>
          <w:tcPr>
            <w:tcW w:w="220" w:type="dxa"/>
            <w:vAlign w:val="bottom"/>
            <w:gridSpan w:val="5"/>
            <w:vMerge w:val="continue"/>
          </w:tcPr>
          <w:p>
            <w:pPr>
              <w:spacing w:after="0"/>
              <w:rPr>
                <w:sz w:val="21"/>
                <w:szCs w:val="21"/>
                <w:color w:val="auto"/>
              </w:rPr>
            </w:pPr>
          </w:p>
        </w:tc>
        <w:tc>
          <w:tcPr>
            <w:tcW w:w="320" w:type="dxa"/>
            <w:vAlign w:val="bottom"/>
            <w:tcBorders>
              <w:bottom w:val="single" w:sz="8" w:color="0000FF"/>
            </w:tcBorders>
            <w:gridSpan w:val="4"/>
            <w:vMerge w:val="continue"/>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1"/>
                <w:szCs w:val="21"/>
                <w:b w:val="1"/>
                <w:bCs w:val="1"/>
                <w:color w:val="FF0000"/>
                <w:strike w:val="1"/>
                <w:w w:val="76"/>
              </w:rPr>
              <w:t>115</w:t>
            </w:r>
          </w:p>
        </w:tc>
        <w:tc>
          <w:tcPr>
            <w:tcW w:w="360" w:type="dxa"/>
            <w:vAlign w:val="bottom"/>
            <w:gridSpan w:val="6"/>
            <w:vMerge w:val="restart"/>
          </w:tcPr>
          <w:p>
            <w:pPr>
              <w:jc w:val="right"/>
              <w:ind w:right="60"/>
              <w:spacing w:after="0"/>
              <w:rPr>
                <w:sz w:val="20"/>
                <w:szCs w:val="20"/>
                <w:color w:val="auto"/>
              </w:rPr>
            </w:pPr>
            <w:r>
              <w:rPr>
                <w:rFonts w:ascii="Times New Roman" w:cs="Times New Roman" w:eastAsia="Times New Roman" w:hAnsi="Times New Roman"/>
                <w:sz w:val="21"/>
                <w:szCs w:val="21"/>
                <w:b w:val="1"/>
                <w:bCs w:val="1"/>
                <w:color w:val="0000FF"/>
                <w:w w:val="88"/>
              </w:rPr>
              <w:t>117</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1180" w:type="dxa"/>
            <w:vAlign w:val="bottom"/>
          </w:tcPr>
          <w:p>
            <w:pPr>
              <w:spacing w:after="0" w:line="232" w:lineRule="exact"/>
              <w:rPr>
                <w:sz w:val="20"/>
                <w:szCs w:val="20"/>
                <w:color w:val="auto"/>
              </w:rPr>
            </w:pPr>
            <w:r>
              <w:rPr>
                <w:rFonts w:ascii="Times New Roman" w:cs="Times New Roman" w:eastAsia="Times New Roman" w:hAnsi="Times New Roman"/>
                <w:sz w:val="21"/>
                <w:szCs w:val="21"/>
                <w:color w:val="auto"/>
              </w:rPr>
              <w:t>Section 5.05</w:t>
            </w:r>
          </w:p>
        </w:tc>
        <w:tc>
          <w:tcPr>
            <w:tcW w:w="4460" w:type="dxa"/>
            <w:vAlign w:val="bottom"/>
            <w:gridSpan w:val="42"/>
          </w:tcPr>
          <w:p>
            <w:pPr>
              <w:ind w:left="120"/>
              <w:spacing w:after="0" w:line="232" w:lineRule="exact"/>
              <w:rPr>
                <w:sz w:val="20"/>
                <w:szCs w:val="20"/>
                <w:color w:val="auto"/>
              </w:rPr>
            </w:pPr>
            <w:r>
              <w:rPr>
                <w:rFonts w:ascii="Times New Roman" w:cs="Times New Roman" w:eastAsia="Times New Roman" w:hAnsi="Times New Roman"/>
                <w:sz w:val="21"/>
                <w:szCs w:val="21"/>
                <w:color w:val="auto"/>
              </w:rPr>
              <w:t>Financial Statements; No Material Adverse Effect</w:t>
            </w:r>
          </w:p>
        </w:tc>
        <w:tc>
          <w:tcPr>
            <w:tcW w:w="160" w:type="dxa"/>
            <w:vAlign w:val="bottom"/>
          </w:tcPr>
          <w:p>
            <w:pPr>
              <w:spacing w:after="0"/>
              <w:rPr>
                <w:sz w:val="20"/>
                <w:szCs w:val="20"/>
                <w:color w:val="auto"/>
              </w:rPr>
            </w:pPr>
          </w:p>
        </w:tc>
        <w:tc>
          <w:tcPr>
            <w:tcW w:w="260" w:type="dxa"/>
            <w:vAlign w:val="bottom"/>
            <w:gridSpan w:val="2"/>
            <w:vMerge w:val="continue"/>
          </w:tcPr>
          <w:p>
            <w:pPr>
              <w:spacing w:after="0"/>
              <w:rPr>
                <w:sz w:val="20"/>
                <w:szCs w:val="20"/>
                <w:color w:val="auto"/>
              </w:rPr>
            </w:pPr>
          </w:p>
        </w:tc>
        <w:tc>
          <w:tcPr>
            <w:tcW w:w="360" w:type="dxa"/>
            <w:vAlign w:val="bottom"/>
            <w:gridSpan w:val="6"/>
            <w:vMerge w:val="continue"/>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180" w:type="dxa"/>
            <w:vAlign w:val="bottom"/>
          </w:tcPr>
          <w:p>
            <w:pPr>
              <w:spacing w:after="0" w:line="232" w:lineRule="exact"/>
              <w:rPr>
                <w:sz w:val="20"/>
                <w:szCs w:val="20"/>
                <w:color w:val="auto"/>
              </w:rPr>
            </w:pPr>
            <w:r>
              <w:rPr>
                <w:rFonts w:ascii="Times New Roman" w:cs="Times New Roman" w:eastAsia="Times New Roman" w:hAnsi="Times New Roman"/>
                <w:sz w:val="21"/>
                <w:szCs w:val="21"/>
                <w:color w:val="auto"/>
              </w:rPr>
              <w:t>Section 5.06</w:t>
            </w:r>
          </w:p>
        </w:tc>
        <w:tc>
          <w:tcPr>
            <w:tcW w:w="1040" w:type="dxa"/>
            <w:vAlign w:val="bottom"/>
            <w:gridSpan w:val="3"/>
          </w:tcPr>
          <w:p>
            <w:pPr>
              <w:ind w:left="120"/>
              <w:spacing w:after="0" w:line="232" w:lineRule="exact"/>
              <w:rPr>
                <w:sz w:val="20"/>
                <w:szCs w:val="20"/>
                <w:color w:val="auto"/>
              </w:rPr>
            </w:pPr>
            <w:r>
              <w:rPr>
                <w:rFonts w:ascii="Times New Roman" w:cs="Times New Roman" w:eastAsia="Times New Roman" w:hAnsi="Times New Roman"/>
                <w:sz w:val="21"/>
                <w:szCs w:val="21"/>
                <w:color w:val="auto"/>
              </w:rPr>
              <w:t>Litigation</w:t>
            </w:r>
          </w:p>
        </w:tc>
        <w:tc>
          <w:tcPr>
            <w:tcW w:w="80" w:type="dxa"/>
            <w:vAlign w:val="bottom"/>
          </w:tcPr>
          <w:p>
            <w:pPr>
              <w:spacing w:after="0"/>
              <w:rPr>
                <w:sz w:val="20"/>
                <w:szCs w:val="20"/>
                <w:color w:val="auto"/>
              </w:rPr>
            </w:pPr>
          </w:p>
        </w:tc>
        <w:tc>
          <w:tcPr>
            <w:tcW w:w="360" w:type="dxa"/>
            <w:vAlign w:val="bottom"/>
            <w:gridSpan w:val="2"/>
          </w:tcPr>
          <w:p>
            <w:pPr>
              <w:ind w:left="40"/>
              <w:spacing w:after="0" w:line="232" w:lineRule="exact"/>
              <w:rPr>
                <w:sz w:val="20"/>
                <w:szCs w:val="20"/>
                <w:color w:val="auto"/>
              </w:rPr>
            </w:pPr>
            <w:r>
              <w:rPr>
                <w:rFonts w:ascii="Times New Roman" w:cs="Times New Roman" w:eastAsia="Times New Roman" w:hAnsi="Times New Roman"/>
                <w:sz w:val="21"/>
                <w:szCs w:val="21"/>
                <w:b w:val="1"/>
                <w:bCs w:val="1"/>
                <w:color w:val="FF0000"/>
                <w:strike w:val="1"/>
                <w:w w:val="88"/>
              </w:rPr>
              <w:t>115</w:t>
            </w:r>
          </w:p>
        </w:tc>
        <w:tc>
          <w:tcPr>
            <w:tcW w:w="300" w:type="dxa"/>
            <w:vAlign w:val="bottom"/>
            <w:tcBorders>
              <w:bottom w:val="single" w:sz="8" w:color="0000FF"/>
            </w:tcBorders>
            <w:gridSpan w:val="4"/>
          </w:tcPr>
          <w:p>
            <w:pPr>
              <w:jc w:val="right"/>
              <w:spacing w:after="0" w:line="232" w:lineRule="exact"/>
              <w:rPr>
                <w:sz w:val="20"/>
                <w:szCs w:val="20"/>
                <w:color w:val="auto"/>
              </w:rPr>
            </w:pPr>
            <w:r>
              <w:rPr>
                <w:rFonts w:ascii="Times New Roman" w:cs="Times New Roman" w:eastAsia="Times New Roman" w:hAnsi="Times New Roman"/>
                <w:sz w:val="21"/>
                <w:szCs w:val="21"/>
                <w:b w:val="1"/>
                <w:bCs w:val="1"/>
                <w:color w:val="0000FF"/>
                <w:w w:val="88"/>
              </w:rPr>
              <w:t>117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gridSpan w:val="3"/>
            <w:vMerge w:val="restart"/>
          </w:tcPr>
          <w:p>
            <w:pPr>
              <w:jc w:val="right"/>
              <w:spacing w:after="0"/>
              <w:rPr>
                <w:sz w:val="20"/>
                <w:szCs w:val="20"/>
                <w:color w:val="auto"/>
              </w:rPr>
            </w:pPr>
            <w:r>
              <w:rPr>
                <w:rFonts w:ascii="Times New Roman" w:cs="Times New Roman" w:eastAsia="Times New Roman" w:hAnsi="Times New Roman"/>
                <w:sz w:val="21"/>
                <w:szCs w:val="21"/>
                <w:b w:val="1"/>
                <w:bCs w:val="1"/>
                <w:color w:val="FF0000"/>
                <w:strike w:val="1"/>
                <w:w w:val="88"/>
              </w:rPr>
              <w:t>115</w:t>
            </w:r>
          </w:p>
        </w:tc>
        <w:tc>
          <w:tcPr>
            <w:tcW w:w="36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21"/>
                <w:szCs w:val="21"/>
                <w:b w:val="1"/>
                <w:bCs w:val="1"/>
                <w:color w:val="0000FF"/>
                <w:w w:val="88"/>
              </w:rPr>
              <w:t>117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180" w:type="dxa"/>
            <w:vAlign w:val="bottom"/>
          </w:tcPr>
          <w:p>
            <w:pPr>
              <w:spacing w:after="0" w:line="232" w:lineRule="exact"/>
              <w:rPr>
                <w:sz w:val="20"/>
                <w:szCs w:val="20"/>
                <w:color w:val="auto"/>
              </w:rPr>
            </w:pPr>
            <w:r>
              <w:rPr>
                <w:rFonts w:ascii="Times New Roman" w:cs="Times New Roman" w:eastAsia="Times New Roman" w:hAnsi="Times New Roman"/>
                <w:sz w:val="21"/>
                <w:szCs w:val="21"/>
                <w:color w:val="auto"/>
              </w:rPr>
              <w:t>Section 5.07</w:t>
            </w:r>
          </w:p>
        </w:tc>
        <w:tc>
          <w:tcPr>
            <w:tcW w:w="2100" w:type="dxa"/>
            <w:vAlign w:val="bottom"/>
            <w:gridSpan w:val="14"/>
          </w:tcPr>
          <w:p>
            <w:pPr>
              <w:ind w:left="120"/>
              <w:spacing w:after="0" w:line="232" w:lineRule="exact"/>
              <w:rPr>
                <w:sz w:val="20"/>
                <w:szCs w:val="20"/>
                <w:color w:val="auto"/>
              </w:rPr>
            </w:pPr>
            <w:r>
              <w:rPr>
                <w:rFonts w:ascii="Times New Roman" w:cs="Times New Roman" w:eastAsia="Times New Roman" w:hAnsi="Times New Roman"/>
                <w:sz w:val="21"/>
                <w:szCs w:val="21"/>
                <w:color w:val="auto"/>
              </w:rPr>
              <w:t>Ownership of Property</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gridSpan w:val="3"/>
            <w:vMerge w:val="continue"/>
          </w:tcPr>
          <w:p>
            <w:pPr>
              <w:spacing w:after="0"/>
              <w:rPr>
                <w:sz w:val="20"/>
                <w:szCs w:val="20"/>
                <w:color w:val="auto"/>
              </w:rPr>
            </w:pPr>
          </w:p>
        </w:tc>
        <w:tc>
          <w:tcPr>
            <w:tcW w:w="360" w:type="dxa"/>
            <w:vAlign w:val="bottom"/>
            <w:gridSpan w:val="3"/>
            <w:vMerge w:val="continue"/>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180" w:type="dxa"/>
            <w:vAlign w:val="bottom"/>
          </w:tcPr>
          <w:p>
            <w:pPr>
              <w:spacing w:after="0" w:line="232" w:lineRule="exact"/>
              <w:rPr>
                <w:sz w:val="20"/>
                <w:szCs w:val="20"/>
                <w:color w:val="auto"/>
              </w:rPr>
            </w:pPr>
            <w:r>
              <w:rPr>
                <w:rFonts w:ascii="Times New Roman" w:cs="Times New Roman" w:eastAsia="Times New Roman" w:hAnsi="Times New Roman"/>
                <w:sz w:val="21"/>
                <w:szCs w:val="21"/>
                <w:color w:val="auto"/>
              </w:rPr>
              <w:t>Section 5.08</w:t>
            </w:r>
          </w:p>
        </w:tc>
        <w:tc>
          <w:tcPr>
            <w:tcW w:w="1660" w:type="dxa"/>
            <w:vAlign w:val="bottom"/>
            <w:gridSpan w:val="7"/>
          </w:tcPr>
          <w:p>
            <w:pPr>
              <w:ind w:left="120"/>
              <w:spacing w:after="0" w:line="232" w:lineRule="exact"/>
              <w:rPr>
                <w:sz w:val="20"/>
                <w:szCs w:val="20"/>
                <w:color w:val="auto"/>
              </w:rPr>
            </w:pPr>
            <w:r>
              <w:rPr>
                <w:rFonts w:ascii="Times New Roman" w:cs="Times New Roman" w:eastAsia="Times New Roman" w:hAnsi="Times New Roman"/>
                <w:sz w:val="21"/>
                <w:szCs w:val="21"/>
                <w:color w:val="auto"/>
              </w:rPr>
              <w:t>Environmental</w:t>
            </w:r>
          </w:p>
        </w:tc>
        <w:tc>
          <w:tcPr>
            <w:tcW w:w="240" w:type="dxa"/>
            <w:vAlign w:val="bottom"/>
            <w:gridSpan w:val="6"/>
          </w:tcPr>
          <w:p>
            <w:pPr>
              <w:jc w:val="right"/>
              <w:spacing w:after="0"/>
              <w:rPr>
                <w:sz w:val="20"/>
                <w:szCs w:val="20"/>
                <w:color w:val="auto"/>
              </w:rPr>
            </w:pPr>
            <w:r>
              <w:rPr>
                <w:rFonts w:ascii="Times New Roman" w:cs="Times New Roman" w:eastAsia="Times New Roman" w:hAnsi="Times New Roman"/>
                <w:sz w:val="20"/>
                <w:szCs w:val="20"/>
                <w:b w:val="1"/>
                <w:bCs w:val="1"/>
                <w:color w:val="FF0000"/>
                <w:strike w:val="1"/>
                <w:w w:val="73"/>
              </w:rPr>
              <w:t>116</w:t>
            </w:r>
          </w:p>
        </w:tc>
        <w:tc>
          <w:tcPr>
            <w:tcW w:w="380" w:type="dxa"/>
            <w:vAlign w:val="bottom"/>
            <w:gridSpan w:val="4"/>
          </w:tcPr>
          <w:p>
            <w:pPr>
              <w:jc w:val="right"/>
              <w:ind w:right="80"/>
              <w:spacing w:after="0" w:line="232" w:lineRule="exact"/>
              <w:rPr>
                <w:sz w:val="20"/>
                <w:szCs w:val="20"/>
                <w:color w:val="auto"/>
              </w:rPr>
            </w:pPr>
            <w:r>
              <w:rPr>
                <w:rFonts w:ascii="Times New Roman" w:cs="Times New Roman" w:eastAsia="Times New Roman" w:hAnsi="Times New Roman"/>
                <w:sz w:val="21"/>
                <w:szCs w:val="21"/>
                <w:b w:val="1"/>
                <w:bCs w:val="1"/>
                <w:color w:val="0000FF"/>
                <w:w w:val="88"/>
              </w:rPr>
              <w:t>118</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1180" w:type="dxa"/>
            <w:vAlign w:val="bottom"/>
          </w:tcPr>
          <w:p>
            <w:pPr>
              <w:spacing w:after="0"/>
              <w:rPr>
                <w:sz w:val="20"/>
                <w:szCs w:val="20"/>
                <w:color w:val="auto"/>
              </w:rPr>
            </w:pPr>
            <w:r>
              <w:rPr>
                <w:rFonts w:ascii="Times New Roman" w:cs="Times New Roman" w:eastAsia="Times New Roman" w:hAnsi="Times New Roman"/>
                <w:sz w:val="21"/>
                <w:szCs w:val="21"/>
                <w:color w:val="auto"/>
              </w:rPr>
              <w:t>Section 5.09</w:t>
            </w:r>
          </w:p>
        </w:tc>
        <w:tc>
          <w:tcPr>
            <w:tcW w:w="1040" w:type="dxa"/>
            <w:vAlign w:val="bottom"/>
            <w:gridSpan w:val="3"/>
          </w:tcPr>
          <w:p>
            <w:pPr>
              <w:ind w:left="120"/>
              <w:spacing w:after="0"/>
              <w:rPr>
                <w:sz w:val="20"/>
                <w:szCs w:val="20"/>
                <w:color w:val="auto"/>
              </w:rPr>
            </w:pPr>
            <w:r>
              <w:rPr>
                <w:rFonts w:ascii="Times New Roman" w:cs="Times New Roman" w:eastAsia="Times New Roman" w:hAnsi="Times New Roman"/>
                <w:sz w:val="21"/>
                <w:szCs w:val="21"/>
                <w:color w:val="auto"/>
              </w:rPr>
              <w:t>Insurance</w:t>
            </w:r>
          </w:p>
        </w:tc>
        <w:tc>
          <w:tcPr>
            <w:tcW w:w="80" w:type="dxa"/>
            <w:vAlign w:val="bottom"/>
          </w:tcPr>
          <w:p>
            <w:pPr>
              <w:spacing w:after="0"/>
              <w:rPr>
                <w:sz w:val="21"/>
                <w:szCs w:val="21"/>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21"/>
                <w:szCs w:val="21"/>
                <w:b w:val="1"/>
                <w:bCs w:val="1"/>
                <w:color w:val="FF0000"/>
                <w:strike w:val="1"/>
                <w:w w:val="88"/>
              </w:rPr>
              <w:t>117</w:t>
            </w:r>
          </w:p>
        </w:tc>
        <w:tc>
          <w:tcPr>
            <w:tcW w:w="300" w:type="dxa"/>
            <w:vAlign w:val="bottom"/>
            <w:gridSpan w:val="4"/>
          </w:tcPr>
          <w:p>
            <w:pPr>
              <w:jc w:val="right"/>
              <w:ind w:right="20"/>
              <w:spacing w:after="0"/>
              <w:rPr>
                <w:sz w:val="20"/>
                <w:szCs w:val="20"/>
                <w:color w:val="auto"/>
              </w:rPr>
            </w:pPr>
            <w:r>
              <w:rPr>
                <w:rFonts w:ascii="Times New Roman" w:cs="Times New Roman" w:eastAsia="Times New Roman" w:hAnsi="Times New Roman"/>
                <w:sz w:val="21"/>
                <w:szCs w:val="21"/>
                <w:b w:val="1"/>
                <w:bCs w:val="1"/>
                <w:color w:val="0000FF"/>
                <w:w w:val="82"/>
              </w:rPr>
              <w:t>119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1180" w:type="dxa"/>
            <w:vAlign w:val="bottom"/>
          </w:tcPr>
          <w:p>
            <w:pPr>
              <w:spacing w:after="0" w:line="232" w:lineRule="exact"/>
              <w:rPr>
                <w:sz w:val="20"/>
                <w:szCs w:val="20"/>
                <w:color w:val="auto"/>
              </w:rPr>
            </w:pPr>
            <w:r>
              <w:rPr>
                <w:rFonts w:ascii="Times New Roman" w:cs="Times New Roman" w:eastAsia="Times New Roman" w:hAnsi="Times New Roman"/>
                <w:sz w:val="21"/>
                <w:szCs w:val="21"/>
                <w:color w:val="auto"/>
              </w:rPr>
              <w:t>Section 5.10</w:t>
            </w:r>
          </w:p>
        </w:tc>
        <w:tc>
          <w:tcPr>
            <w:tcW w:w="820" w:type="dxa"/>
            <w:vAlign w:val="bottom"/>
          </w:tcPr>
          <w:p>
            <w:pPr>
              <w:ind w:left="120"/>
              <w:spacing w:after="0" w:line="232" w:lineRule="exact"/>
              <w:rPr>
                <w:sz w:val="20"/>
                <w:szCs w:val="20"/>
                <w:color w:val="auto"/>
              </w:rPr>
            </w:pPr>
            <w:r>
              <w:rPr>
                <w:rFonts w:ascii="Times New Roman" w:cs="Times New Roman" w:eastAsia="Times New Roman" w:hAnsi="Times New Roman"/>
                <w:sz w:val="21"/>
                <w:szCs w:val="21"/>
                <w:color w:val="auto"/>
              </w:rPr>
              <w:t>Taxes</w:t>
            </w:r>
          </w:p>
        </w:tc>
        <w:tc>
          <w:tcPr>
            <w:tcW w:w="300" w:type="dxa"/>
            <w:vAlign w:val="bottom"/>
            <w:gridSpan w:val="3"/>
          </w:tcPr>
          <w:p>
            <w:pPr>
              <w:jc w:val="right"/>
              <w:spacing w:after="0" w:line="232" w:lineRule="exact"/>
              <w:rPr>
                <w:sz w:val="20"/>
                <w:szCs w:val="20"/>
                <w:color w:val="auto"/>
              </w:rPr>
            </w:pPr>
            <w:r>
              <w:rPr>
                <w:rFonts w:ascii="Times New Roman" w:cs="Times New Roman" w:eastAsia="Times New Roman" w:hAnsi="Times New Roman"/>
                <w:sz w:val="21"/>
                <w:szCs w:val="21"/>
                <w:b w:val="1"/>
                <w:bCs w:val="1"/>
                <w:color w:val="FF0000"/>
                <w:strike w:val="1"/>
                <w:w w:val="88"/>
              </w:rPr>
              <w:t>117</w:t>
            </w:r>
          </w:p>
        </w:tc>
        <w:tc>
          <w:tcPr>
            <w:tcW w:w="360" w:type="dxa"/>
            <w:vAlign w:val="bottom"/>
            <w:tcBorders>
              <w:bottom w:val="single" w:sz="8" w:color="0000FF"/>
            </w:tcBorders>
            <w:gridSpan w:val="2"/>
          </w:tcPr>
          <w:p>
            <w:pPr>
              <w:spacing w:after="0" w:line="232" w:lineRule="exact"/>
              <w:rPr>
                <w:sz w:val="20"/>
                <w:szCs w:val="20"/>
                <w:color w:val="auto"/>
              </w:rPr>
            </w:pPr>
            <w:r>
              <w:rPr>
                <w:rFonts w:ascii="Times New Roman" w:cs="Times New Roman" w:eastAsia="Times New Roman" w:hAnsi="Times New Roman"/>
                <w:sz w:val="21"/>
                <w:szCs w:val="21"/>
                <w:b w:val="1"/>
                <w:bCs w:val="1"/>
                <w:color w:val="0000FF"/>
              </w:rPr>
              <w:t>119</w:t>
            </w:r>
          </w:p>
        </w:tc>
        <w:tc>
          <w:tcPr>
            <w:tcW w:w="1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gridSpan w:val="5"/>
            <w:vMerge w:val="restart"/>
          </w:tcPr>
          <w:p>
            <w:pPr>
              <w:jc w:val="right"/>
              <w:ind w:right="20"/>
              <w:spacing w:after="0"/>
              <w:rPr>
                <w:sz w:val="20"/>
                <w:szCs w:val="20"/>
                <w:color w:val="auto"/>
              </w:rPr>
            </w:pPr>
            <w:r>
              <w:rPr>
                <w:rFonts w:ascii="Times New Roman" w:cs="Times New Roman" w:eastAsia="Times New Roman" w:hAnsi="Times New Roman"/>
                <w:sz w:val="21"/>
                <w:szCs w:val="21"/>
                <w:b w:val="1"/>
                <w:bCs w:val="1"/>
                <w:color w:val="FF0000"/>
                <w:strike w:val="1"/>
                <w:w w:val="82"/>
              </w:rPr>
              <w:t>117</w:t>
            </w:r>
          </w:p>
        </w:tc>
        <w:tc>
          <w:tcPr>
            <w:tcW w:w="280" w:type="dxa"/>
            <w:vAlign w:val="bottom"/>
            <w:gridSpan w:val="3"/>
            <w:vMerge w:val="restart"/>
          </w:tcPr>
          <w:p>
            <w:pPr>
              <w:jc w:val="right"/>
              <w:spacing w:after="0"/>
              <w:rPr>
                <w:sz w:val="20"/>
                <w:szCs w:val="20"/>
                <w:color w:val="auto"/>
              </w:rPr>
            </w:pPr>
            <w:r>
              <w:rPr>
                <w:rFonts w:ascii="Times New Roman" w:cs="Times New Roman" w:eastAsia="Times New Roman" w:hAnsi="Times New Roman"/>
                <w:sz w:val="21"/>
                <w:szCs w:val="21"/>
                <w:b w:val="1"/>
                <w:bCs w:val="1"/>
                <w:color w:val="0000FF"/>
                <w:w w:val="82"/>
              </w:rPr>
              <w:t>119</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80" w:type="dxa"/>
            <w:vAlign w:val="bottom"/>
          </w:tcPr>
          <w:p>
            <w:pPr>
              <w:spacing w:after="0" w:line="232" w:lineRule="exact"/>
              <w:rPr>
                <w:sz w:val="20"/>
                <w:szCs w:val="20"/>
                <w:color w:val="auto"/>
              </w:rPr>
            </w:pPr>
            <w:r>
              <w:rPr>
                <w:rFonts w:ascii="Times New Roman" w:cs="Times New Roman" w:eastAsia="Times New Roman" w:hAnsi="Times New Roman"/>
                <w:sz w:val="21"/>
                <w:szCs w:val="21"/>
                <w:color w:val="auto"/>
              </w:rPr>
              <w:t>Section 5.11</w:t>
            </w:r>
          </w:p>
        </w:tc>
        <w:tc>
          <w:tcPr>
            <w:tcW w:w="3140" w:type="dxa"/>
            <w:vAlign w:val="bottom"/>
            <w:gridSpan w:val="26"/>
          </w:tcPr>
          <w:p>
            <w:pPr>
              <w:ind w:left="100"/>
              <w:spacing w:after="0" w:line="232" w:lineRule="exact"/>
              <w:rPr>
                <w:sz w:val="20"/>
                <w:szCs w:val="20"/>
                <w:color w:val="auto"/>
              </w:rPr>
            </w:pPr>
            <w:r>
              <w:rPr>
                <w:rFonts w:ascii="Times New Roman" w:cs="Times New Roman" w:eastAsia="Times New Roman" w:hAnsi="Times New Roman"/>
                <w:sz w:val="21"/>
                <w:szCs w:val="21"/>
                <w:color w:val="auto"/>
              </w:rPr>
              <w:t>ERISA Compliance; Labor Matters</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gridSpan w:val="5"/>
            <w:vMerge w:val="continue"/>
          </w:tcPr>
          <w:p>
            <w:pPr>
              <w:spacing w:after="0"/>
              <w:rPr>
                <w:sz w:val="20"/>
                <w:szCs w:val="20"/>
                <w:color w:val="auto"/>
              </w:rPr>
            </w:pPr>
          </w:p>
        </w:tc>
        <w:tc>
          <w:tcPr>
            <w:tcW w:w="280" w:type="dxa"/>
            <w:vAlign w:val="bottom"/>
            <w:tcBorders>
              <w:bottom w:val="single" w:sz="8" w:color="0000FF"/>
            </w:tcBorders>
            <w:gridSpan w:val="3"/>
            <w:vMerge w:val="continue"/>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180" w:type="dxa"/>
            <w:vAlign w:val="bottom"/>
          </w:tcPr>
          <w:p>
            <w:pPr>
              <w:spacing w:after="0" w:line="232" w:lineRule="exact"/>
              <w:rPr>
                <w:sz w:val="20"/>
                <w:szCs w:val="20"/>
                <w:color w:val="auto"/>
              </w:rPr>
            </w:pPr>
            <w:r>
              <w:rPr>
                <w:rFonts w:ascii="Times New Roman" w:cs="Times New Roman" w:eastAsia="Times New Roman" w:hAnsi="Times New Roman"/>
                <w:sz w:val="21"/>
                <w:szCs w:val="21"/>
                <w:color w:val="auto"/>
              </w:rPr>
              <w:t>Section 5.12</w:t>
            </w:r>
          </w:p>
        </w:tc>
        <w:tc>
          <w:tcPr>
            <w:tcW w:w="2940" w:type="dxa"/>
            <w:vAlign w:val="bottom"/>
            <w:gridSpan w:val="23"/>
          </w:tcPr>
          <w:p>
            <w:pPr>
              <w:ind w:left="120"/>
              <w:spacing w:after="0" w:line="232" w:lineRule="exact"/>
              <w:rPr>
                <w:sz w:val="20"/>
                <w:szCs w:val="20"/>
                <w:color w:val="auto"/>
              </w:rPr>
            </w:pPr>
            <w:r>
              <w:rPr>
                <w:rFonts w:ascii="Times New Roman" w:cs="Times New Roman" w:eastAsia="Times New Roman" w:hAnsi="Times New Roman"/>
                <w:sz w:val="21"/>
                <w:szCs w:val="21"/>
                <w:color w:val="auto"/>
              </w:rPr>
              <w:t>Subsidiaries; Equity Interests</w:t>
            </w:r>
          </w:p>
        </w:tc>
        <w:tc>
          <w:tcPr>
            <w:tcW w:w="1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FF0000"/>
                <w:strike w:val="1"/>
                <w:w w:val="70"/>
              </w:rPr>
              <w:t>118</w:t>
            </w:r>
          </w:p>
        </w:tc>
        <w:tc>
          <w:tcPr>
            <w:tcW w:w="320" w:type="dxa"/>
            <w:vAlign w:val="bottom"/>
            <w:tcBorders>
              <w:bottom w:val="single" w:sz="8" w:color="0000FF"/>
            </w:tcBorders>
            <w:gridSpan w:val="5"/>
          </w:tcPr>
          <w:p>
            <w:pPr>
              <w:jc w:val="right"/>
              <w:spacing w:after="0" w:line="232" w:lineRule="exact"/>
              <w:rPr>
                <w:sz w:val="20"/>
                <w:szCs w:val="20"/>
                <w:color w:val="auto"/>
              </w:rPr>
            </w:pPr>
            <w:r>
              <w:rPr>
                <w:rFonts w:ascii="Times New Roman" w:cs="Times New Roman" w:eastAsia="Times New Roman" w:hAnsi="Times New Roman"/>
                <w:sz w:val="21"/>
                <w:szCs w:val="21"/>
                <w:b w:val="1"/>
                <w:bCs w:val="1"/>
                <w:color w:val="0000FF"/>
                <w:w w:val="95"/>
              </w:rPr>
              <w:t>120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1"/>
                <w:szCs w:val="21"/>
                <w:b w:val="1"/>
                <w:bCs w:val="1"/>
                <w:color w:val="FF0000"/>
                <w:strike w:val="1"/>
                <w:w w:val="95"/>
              </w:rPr>
              <w:t>118</w:t>
            </w:r>
          </w:p>
        </w:tc>
        <w:tc>
          <w:tcPr>
            <w:tcW w:w="320" w:type="dxa"/>
            <w:vAlign w:val="bottom"/>
            <w:gridSpan w:val="4"/>
            <w:vMerge w:val="restart"/>
          </w:tcPr>
          <w:p>
            <w:pPr>
              <w:jc w:val="right"/>
              <w:spacing w:after="0"/>
              <w:rPr>
                <w:sz w:val="20"/>
                <w:szCs w:val="20"/>
                <w:color w:val="auto"/>
              </w:rPr>
            </w:pPr>
            <w:r>
              <w:rPr>
                <w:rFonts w:ascii="Times New Roman" w:cs="Times New Roman" w:eastAsia="Times New Roman" w:hAnsi="Times New Roman"/>
                <w:sz w:val="21"/>
                <w:szCs w:val="21"/>
                <w:b w:val="1"/>
                <w:bCs w:val="1"/>
                <w:color w:val="0000FF"/>
                <w:w w:val="95"/>
              </w:rPr>
              <w:t>120</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80" w:type="dxa"/>
            <w:vAlign w:val="bottom"/>
          </w:tcPr>
          <w:p>
            <w:pPr>
              <w:spacing w:after="0" w:line="232" w:lineRule="exact"/>
              <w:rPr>
                <w:sz w:val="20"/>
                <w:szCs w:val="20"/>
                <w:color w:val="auto"/>
              </w:rPr>
            </w:pPr>
            <w:r>
              <w:rPr>
                <w:rFonts w:ascii="Times New Roman" w:cs="Times New Roman" w:eastAsia="Times New Roman" w:hAnsi="Times New Roman"/>
                <w:sz w:val="21"/>
                <w:szCs w:val="21"/>
                <w:color w:val="auto"/>
              </w:rPr>
              <w:t>Section 5.13</w:t>
            </w:r>
          </w:p>
        </w:tc>
        <w:tc>
          <w:tcPr>
            <w:tcW w:w="4200" w:type="dxa"/>
            <w:vAlign w:val="bottom"/>
            <w:gridSpan w:val="39"/>
          </w:tcPr>
          <w:p>
            <w:pPr>
              <w:ind w:left="120"/>
              <w:spacing w:after="0" w:line="232" w:lineRule="exact"/>
              <w:rPr>
                <w:sz w:val="20"/>
                <w:szCs w:val="20"/>
                <w:color w:val="auto"/>
              </w:rPr>
            </w:pPr>
            <w:r>
              <w:rPr>
                <w:rFonts w:ascii="Times New Roman" w:cs="Times New Roman" w:eastAsia="Times New Roman" w:hAnsi="Times New Roman"/>
                <w:sz w:val="21"/>
                <w:szCs w:val="21"/>
                <w:color w:val="auto"/>
              </w:rPr>
              <w:t>Margin Regulations; Investment Company Act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gridSpan w:val="2"/>
            <w:vMerge w:val="continue"/>
          </w:tcPr>
          <w:p>
            <w:pPr>
              <w:spacing w:after="0"/>
              <w:rPr>
                <w:sz w:val="20"/>
                <w:szCs w:val="20"/>
                <w:color w:val="auto"/>
              </w:rPr>
            </w:pPr>
          </w:p>
        </w:tc>
        <w:tc>
          <w:tcPr>
            <w:tcW w:w="320" w:type="dxa"/>
            <w:vAlign w:val="bottom"/>
            <w:tcBorders>
              <w:bottom w:val="single" w:sz="8" w:color="0000FF"/>
            </w:tcBorders>
            <w:gridSpan w:val="4"/>
            <w:vMerge w:val="continue"/>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1180" w:type="dxa"/>
            <w:vAlign w:val="bottom"/>
          </w:tcPr>
          <w:p>
            <w:pPr>
              <w:spacing w:after="0"/>
              <w:rPr>
                <w:sz w:val="20"/>
                <w:szCs w:val="20"/>
                <w:color w:val="auto"/>
              </w:rPr>
            </w:pPr>
            <w:r>
              <w:rPr>
                <w:rFonts w:ascii="Times New Roman" w:cs="Times New Roman" w:eastAsia="Times New Roman" w:hAnsi="Times New Roman"/>
                <w:sz w:val="21"/>
                <w:szCs w:val="21"/>
                <w:color w:val="auto"/>
              </w:rPr>
              <w:t>Section 5.14</w:t>
            </w:r>
          </w:p>
        </w:tc>
        <w:tc>
          <w:tcPr>
            <w:tcW w:w="1040" w:type="dxa"/>
            <w:vAlign w:val="bottom"/>
            <w:gridSpan w:val="3"/>
          </w:tcPr>
          <w:p>
            <w:pPr>
              <w:ind w:left="120"/>
              <w:spacing w:after="0"/>
              <w:rPr>
                <w:sz w:val="20"/>
                <w:szCs w:val="20"/>
                <w:color w:val="auto"/>
              </w:rPr>
            </w:pPr>
            <w:r>
              <w:rPr>
                <w:rFonts w:ascii="Times New Roman" w:cs="Times New Roman" w:eastAsia="Times New Roman" w:hAnsi="Times New Roman"/>
                <w:sz w:val="21"/>
                <w:szCs w:val="21"/>
                <w:color w:val="auto"/>
              </w:rPr>
              <w:t>Disclosure</w:t>
            </w:r>
          </w:p>
        </w:tc>
        <w:tc>
          <w:tcPr>
            <w:tcW w:w="80" w:type="dxa"/>
            <w:vAlign w:val="bottom"/>
          </w:tcPr>
          <w:p>
            <w:pPr>
              <w:spacing w:after="0"/>
              <w:rPr>
                <w:sz w:val="21"/>
                <w:szCs w:val="21"/>
                <w:color w:val="auto"/>
              </w:rPr>
            </w:pPr>
          </w:p>
        </w:tc>
        <w:tc>
          <w:tcPr>
            <w:tcW w:w="540" w:type="dxa"/>
            <w:vAlign w:val="bottom"/>
            <w:gridSpan w:val="3"/>
          </w:tcPr>
          <w:p>
            <w:pPr>
              <w:jc w:val="right"/>
              <w:ind w:right="22"/>
              <w:spacing w:after="0"/>
              <w:rPr>
                <w:sz w:val="20"/>
                <w:szCs w:val="20"/>
                <w:color w:val="auto"/>
              </w:rPr>
            </w:pPr>
            <w:r>
              <w:rPr>
                <w:rFonts w:ascii="Times New Roman" w:cs="Times New Roman" w:eastAsia="Times New Roman" w:hAnsi="Times New Roman"/>
                <w:sz w:val="21"/>
                <w:szCs w:val="21"/>
                <w:b w:val="1"/>
                <w:bCs w:val="1"/>
                <w:color w:val="FF0000"/>
                <w:strike w:val="1"/>
              </w:rPr>
              <w:t>119</w:t>
            </w:r>
          </w:p>
        </w:tc>
        <w:tc>
          <w:tcPr>
            <w:tcW w:w="22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b w:val="1"/>
                <w:bCs w:val="1"/>
                <w:color w:val="0000FF"/>
                <w:w w:val="70"/>
              </w:rPr>
              <w:t>121</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gridSpan w:val="4"/>
            <w:vMerge w:val="restart"/>
          </w:tcPr>
          <w:p>
            <w:pPr>
              <w:jc w:val="right"/>
              <w:spacing w:after="0"/>
              <w:rPr>
                <w:sz w:val="20"/>
                <w:szCs w:val="20"/>
                <w:color w:val="auto"/>
              </w:rPr>
            </w:pPr>
            <w:r>
              <w:rPr>
                <w:rFonts w:ascii="Times New Roman" w:cs="Times New Roman" w:eastAsia="Times New Roman" w:hAnsi="Times New Roman"/>
                <w:sz w:val="21"/>
                <w:szCs w:val="21"/>
                <w:b w:val="1"/>
                <w:bCs w:val="1"/>
                <w:color w:val="FF0000"/>
                <w:strike w:val="1"/>
                <w:w w:val="95"/>
              </w:rPr>
              <w:t>119</w:t>
            </w:r>
          </w:p>
        </w:tc>
        <w:tc>
          <w:tcPr>
            <w:tcW w:w="3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21"/>
                <w:szCs w:val="21"/>
                <w:b w:val="1"/>
                <w:bCs w:val="1"/>
                <w:color w:val="0000FF"/>
                <w:w w:val="95"/>
              </w:rPr>
              <w:t>121</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gridSpan w:val="4"/>
            <w:vMerge w:val="continue"/>
          </w:tcPr>
          <w:p>
            <w:pPr>
              <w:spacing w:after="0" w:line="20" w:lineRule="exact"/>
              <w:rPr>
                <w:sz w:val="1"/>
                <w:szCs w:val="1"/>
                <w:color w:val="auto"/>
              </w:rPr>
            </w:pPr>
          </w:p>
        </w:tc>
        <w:tc>
          <w:tcPr>
            <w:tcW w:w="34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80" w:type="dxa"/>
            <w:vAlign w:val="bottom"/>
          </w:tcPr>
          <w:p>
            <w:pPr>
              <w:spacing w:after="0" w:line="232" w:lineRule="exact"/>
              <w:rPr>
                <w:sz w:val="20"/>
                <w:szCs w:val="20"/>
                <w:color w:val="auto"/>
              </w:rPr>
            </w:pPr>
            <w:r>
              <w:rPr>
                <w:rFonts w:ascii="Times New Roman" w:cs="Times New Roman" w:eastAsia="Times New Roman" w:hAnsi="Times New Roman"/>
                <w:sz w:val="21"/>
                <w:szCs w:val="21"/>
                <w:color w:val="auto"/>
              </w:rPr>
              <w:t>Section 5.15</w:t>
            </w:r>
          </w:p>
        </w:tc>
        <w:tc>
          <w:tcPr>
            <w:tcW w:w="2100" w:type="dxa"/>
            <w:vAlign w:val="bottom"/>
            <w:gridSpan w:val="14"/>
          </w:tcPr>
          <w:p>
            <w:pPr>
              <w:ind w:left="120"/>
              <w:spacing w:after="0" w:line="232" w:lineRule="exact"/>
              <w:rPr>
                <w:sz w:val="20"/>
                <w:szCs w:val="20"/>
                <w:color w:val="auto"/>
              </w:rPr>
            </w:pPr>
            <w:r>
              <w:rPr>
                <w:rFonts w:ascii="Times New Roman" w:cs="Times New Roman" w:eastAsia="Times New Roman" w:hAnsi="Times New Roman"/>
                <w:sz w:val="21"/>
                <w:szCs w:val="21"/>
                <w:color w:val="auto"/>
              </w:rPr>
              <w:t>Compliance with Laws</w:t>
            </w:r>
          </w:p>
        </w:tc>
        <w:tc>
          <w:tcPr>
            <w:tcW w:w="80" w:type="dxa"/>
            <w:vAlign w:val="bottom"/>
          </w:tcPr>
          <w:p>
            <w:pPr>
              <w:spacing w:after="0"/>
              <w:rPr>
                <w:sz w:val="20"/>
                <w:szCs w:val="20"/>
                <w:color w:val="auto"/>
              </w:rPr>
            </w:pPr>
          </w:p>
        </w:tc>
        <w:tc>
          <w:tcPr>
            <w:tcW w:w="100" w:type="dxa"/>
            <w:vAlign w:val="bottom"/>
            <w:gridSpan w:val="2"/>
          </w:tcPr>
          <w:p>
            <w:pPr>
              <w:spacing w:after="0"/>
              <w:rPr>
                <w:sz w:val="20"/>
                <w:szCs w:val="20"/>
                <w:color w:val="auto"/>
              </w:rPr>
            </w:pPr>
          </w:p>
        </w:tc>
        <w:tc>
          <w:tcPr>
            <w:tcW w:w="320" w:type="dxa"/>
            <w:vAlign w:val="bottom"/>
            <w:gridSpan w:val="4"/>
            <w:vMerge w:val="continue"/>
          </w:tcPr>
          <w:p>
            <w:pPr>
              <w:spacing w:after="0"/>
              <w:rPr>
                <w:sz w:val="20"/>
                <w:szCs w:val="20"/>
                <w:color w:val="auto"/>
              </w:rPr>
            </w:pPr>
          </w:p>
        </w:tc>
        <w:tc>
          <w:tcPr>
            <w:tcW w:w="340" w:type="dxa"/>
            <w:vAlign w:val="bottom"/>
            <w:tcBorders>
              <w:bottom w:val="single" w:sz="8" w:color="0000FF"/>
            </w:tcBorders>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gridSpan w:val="5"/>
            <w:vMerge w:val="restart"/>
          </w:tcPr>
          <w:p>
            <w:pPr>
              <w:jc w:val="right"/>
              <w:spacing w:after="0"/>
              <w:rPr>
                <w:sz w:val="20"/>
                <w:szCs w:val="20"/>
                <w:color w:val="auto"/>
              </w:rPr>
            </w:pPr>
            <w:r>
              <w:rPr>
                <w:rFonts w:ascii="Times New Roman" w:cs="Times New Roman" w:eastAsia="Times New Roman" w:hAnsi="Times New Roman"/>
                <w:sz w:val="21"/>
                <w:szCs w:val="21"/>
                <w:b w:val="1"/>
                <w:bCs w:val="1"/>
                <w:color w:val="FF0000"/>
                <w:strike w:val="1"/>
                <w:w w:val="88"/>
              </w:rPr>
              <w:t>119</w:t>
            </w:r>
          </w:p>
        </w:tc>
        <w:tc>
          <w:tcPr>
            <w:tcW w:w="540" w:type="dxa"/>
            <w:vAlign w:val="bottom"/>
            <w:gridSpan w:val="5"/>
            <w:vMerge w:val="restart"/>
          </w:tcPr>
          <w:p>
            <w:pPr>
              <w:jc w:val="right"/>
              <w:ind w:right="114"/>
              <w:spacing w:after="0"/>
              <w:rPr>
                <w:sz w:val="20"/>
                <w:szCs w:val="20"/>
                <w:color w:val="auto"/>
              </w:rPr>
            </w:pPr>
            <w:r>
              <w:rPr>
                <w:rFonts w:ascii="Times New Roman" w:cs="Times New Roman" w:eastAsia="Times New Roman" w:hAnsi="Times New Roman"/>
                <w:sz w:val="21"/>
                <w:szCs w:val="21"/>
                <w:b w:val="1"/>
                <w:bCs w:val="1"/>
                <w:color w:val="0000FF"/>
                <w:w w:val="95"/>
              </w:rPr>
              <w:t>121</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540" w:type="dxa"/>
            <w:vAlign w:val="bottom"/>
            <w:gridSpan w:val="30"/>
          </w:tcPr>
          <w:p>
            <w:pPr>
              <w:spacing w:after="0" w:line="232" w:lineRule="exact"/>
              <w:rPr>
                <w:sz w:val="20"/>
                <w:szCs w:val="20"/>
                <w:color w:val="auto"/>
              </w:rPr>
            </w:pPr>
            <w:r>
              <w:rPr>
                <w:rFonts w:ascii="Times New Roman" w:cs="Times New Roman" w:eastAsia="Times New Roman" w:hAnsi="Times New Roman"/>
                <w:sz w:val="21"/>
                <w:szCs w:val="21"/>
                <w:color w:val="auto"/>
              </w:rPr>
              <w:t>Section 5.16  Intellectual Property; Licenses, Etc.</w:t>
            </w:r>
          </w:p>
        </w:tc>
        <w:tc>
          <w:tcPr>
            <w:tcW w:w="300" w:type="dxa"/>
            <w:vAlign w:val="bottom"/>
            <w:gridSpan w:val="5"/>
            <w:vMerge w:val="continue"/>
          </w:tcPr>
          <w:p>
            <w:pPr>
              <w:spacing w:after="0"/>
              <w:rPr>
                <w:sz w:val="20"/>
                <w:szCs w:val="20"/>
                <w:color w:val="auto"/>
              </w:rPr>
            </w:pPr>
          </w:p>
        </w:tc>
        <w:tc>
          <w:tcPr>
            <w:tcW w:w="540" w:type="dxa"/>
            <w:vAlign w:val="bottom"/>
            <w:gridSpan w:val="5"/>
            <w:vMerge w:val="continue"/>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180" w:type="dxa"/>
            <w:vAlign w:val="bottom"/>
          </w:tcPr>
          <w:p>
            <w:pPr>
              <w:spacing w:after="0" w:line="232" w:lineRule="exact"/>
              <w:rPr>
                <w:sz w:val="20"/>
                <w:szCs w:val="20"/>
                <w:color w:val="auto"/>
              </w:rPr>
            </w:pPr>
            <w:r>
              <w:rPr>
                <w:rFonts w:ascii="Times New Roman" w:cs="Times New Roman" w:eastAsia="Times New Roman" w:hAnsi="Times New Roman"/>
                <w:sz w:val="21"/>
                <w:szCs w:val="21"/>
                <w:color w:val="auto"/>
              </w:rPr>
              <w:t>Section 5.17</w:t>
            </w:r>
          </w:p>
        </w:tc>
        <w:tc>
          <w:tcPr>
            <w:tcW w:w="1040" w:type="dxa"/>
            <w:vAlign w:val="bottom"/>
            <w:gridSpan w:val="3"/>
          </w:tcPr>
          <w:p>
            <w:pPr>
              <w:ind w:left="120"/>
              <w:spacing w:after="0" w:line="232" w:lineRule="exact"/>
              <w:rPr>
                <w:sz w:val="20"/>
                <w:szCs w:val="20"/>
                <w:color w:val="auto"/>
              </w:rPr>
            </w:pPr>
            <w:r>
              <w:rPr>
                <w:rFonts w:ascii="Times New Roman" w:cs="Times New Roman" w:eastAsia="Times New Roman" w:hAnsi="Times New Roman"/>
                <w:sz w:val="21"/>
                <w:szCs w:val="21"/>
                <w:color w:val="auto"/>
              </w:rPr>
              <w:t>Solvency</w:t>
            </w:r>
          </w:p>
        </w:tc>
        <w:tc>
          <w:tcPr>
            <w:tcW w:w="440" w:type="dxa"/>
            <w:vAlign w:val="bottom"/>
            <w:gridSpan w:val="3"/>
          </w:tcPr>
          <w:p>
            <w:pPr>
              <w:ind w:left="80"/>
              <w:spacing w:after="0" w:line="232" w:lineRule="exact"/>
              <w:rPr>
                <w:sz w:val="20"/>
                <w:szCs w:val="20"/>
                <w:color w:val="auto"/>
              </w:rPr>
            </w:pPr>
            <w:r>
              <w:rPr>
                <w:rFonts w:ascii="Times New Roman" w:cs="Times New Roman" w:eastAsia="Times New Roman" w:hAnsi="Times New Roman"/>
                <w:sz w:val="21"/>
                <w:szCs w:val="21"/>
                <w:b w:val="1"/>
                <w:bCs w:val="1"/>
                <w:color w:val="FF0000"/>
                <w:strike w:val="1"/>
              </w:rPr>
              <w:t>119</w:t>
            </w:r>
          </w:p>
        </w:tc>
        <w:tc>
          <w:tcPr>
            <w:tcW w:w="280" w:type="dxa"/>
            <w:vAlign w:val="bottom"/>
            <w:gridSpan w:val="3"/>
          </w:tcPr>
          <w:p>
            <w:pPr>
              <w:jc w:val="right"/>
              <w:ind w:right="20"/>
              <w:spacing w:after="0" w:line="232" w:lineRule="exact"/>
              <w:rPr>
                <w:sz w:val="20"/>
                <w:szCs w:val="20"/>
                <w:color w:val="auto"/>
              </w:rPr>
            </w:pPr>
            <w:r>
              <w:rPr>
                <w:rFonts w:ascii="Times New Roman" w:cs="Times New Roman" w:eastAsia="Times New Roman" w:hAnsi="Times New Roman"/>
                <w:sz w:val="21"/>
                <w:szCs w:val="21"/>
                <w:b w:val="1"/>
                <w:bCs w:val="1"/>
                <w:color w:val="0000FF"/>
                <w:w w:val="76"/>
              </w:rPr>
              <w:t>121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gridSpan w:val="4"/>
            <w:vMerge w:val="restart"/>
          </w:tcPr>
          <w:p>
            <w:pPr>
              <w:jc w:val="right"/>
              <w:spacing w:after="0"/>
              <w:rPr>
                <w:sz w:val="20"/>
                <w:szCs w:val="20"/>
                <w:color w:val="auto"/>
              </w:rPr>
            </w:pPr>
            <w:r>
              <w:rPr>
                <w:rFonts w:ascii="Times New Roman" w:cs="Times New Roman" w:eastAsia="Times New Roman" w:hAnsi="Times New Roman"/>
                <w:sz w:val="21"/>
                <w:szCs w:val="21"/>
                <w:b w:val="1"/>
                <w:bCs w:val="1"/>
                <w:color w:val="FF0000"/>
                <w:strike w:val="1"/>
                <w:w w:val="88"/>
              </w:rPr>
              <w:t>119</w:t>
            </w:r>
          </w:p>
        </w:tc>
        <w:tc>
          <w:tcPr>
            <w:tcW w:w="460" w:type="dxa"/>
            <w:vAlign w:val="bottom"/>
            <w:gridSpan w:val="4"/>
            <w:vMerge w:val="restart"/>
          </w:tcPr>
          <w:p>
            <w:pPr>
              <w:jc w:val="right"/>
              <w:ind w:right="140"/>
              <w:spacing w:after="0"/>
              <w:rPr>
                <w:sz w:val="20"/>
                <w:szCs w:val="20"/>
                <w:color w:val="auto"/>
              </w:rPr>
            </w:pPr>
            <w:r>
              <w:rPr>
                <w:rFonts w:ascii="Times New Roman" w:cs="Times New Roman" w:eastAsia="Times New Roman" w:hAnsi="Times New Roman"/>
                <w:sz w:val="21"/>
                <w:szCs w:val="21"/>
                <w:b w:val="1"/>
                <w:bCs w:val="1"/>
                <w:color w:val="0000FF"/>
                <w:w w:val="95"/>
              </w:rPr>
              <w:t>121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4"/>
            <w:vMerge w:val="continue"/>
          </w:tcPr>
          <w:p>
            <w:pPr>
              <w:spacing w:after="0" w:line="20" w:lineRule="exact"/>
              <w:rPr>
                <w:sz w:val="1"/>
                <w:szCs w:val="1"/>
                <w:color w:val="auto"/>
              </w:rPr>
            </w:pPr>
          </w:p>
        </w:tc>
        <w:tc>
          <w:tcPr>
            <w:tcW w:w="460" w:type="dxa"/>
            <w:vAlign w:val="bottom"/>
            <w:gridSpan w:val="4"/>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80" w:type="dxa"/>
            <w:vAlign w:val="bottom"/>
          </w:tcPr>
          <w:p>
            <w:pPr>
              <w:spacing w:after="0" w:line="232" w:lineRule="exact"/>
              <w:rPr>
                <w:sz w:val="20"/>
                <w:szCs w:val="20"/>
                <w:color w:val="auto"/>
              </w:rPr>
            </w:pPr>
            <w:r>
              <w:rPr>
                <w:rFonts w:ascii="Times New Roman" w:cs="Times New Roman" w:eastAsia="Times New Roman" w:hAnsi="Times New Roman"/>
                <w:sz w:val="21"/>
                <w:szCs w:val="21"/>
                <w:color w:val="auto"/>
              </w:rPr>
              <w:t>Section 5.18</w:t>
            </w:r>
          </w:p>
        </w:tc>
        <w:tc>
          <w:tcPr>
            <w:tcW w:w="2100" w:type="dxa"/>
            <w:vAlign w:val="bottom"/>
            <w:gridSpan w:val="14"/>
          </w:tcPr>
          <w:p>
            <w:pPr>
              <w:ind w:left="120"/>
              <w:spacing w:after="0" w:line="232" w:lineRule="exact"/>
              <w:rPr>
                <w:sz w:val="20"/>
                <w:szCs w:val="20"/>
                <w:color w:val="auto"/>
              </w:rPr>
            </w:pPr>
            <w:r>
              <w:rPr>
                <w:rFonts w:ascii="Times New Roman" w:cs="Times New Roman" w:eastAsia="Times New Roman" w:hAnsi="Times New Roman"/>
                <w:sz w:val="21"/>
                <w:szCs w:val="21"/>
                <w:color w:val="auto"/>
              </w:rPr>
              <w:t>Collateral Documents</w:t>
            </w:r>
          </w:p>
        </w:tc>
        <w:tc>
          <w:tcPr>
            <w:tcW w:w="80" w:type="dxa"/>
            <w:vAlign w:val="bottom"/>
          </w:tcPr>
          <w:p>
            <w:pPr>
              <w:spacing w:after="0"/>
              <w:rPr>
                <w:sz w:val="20"/>
                <w:szCs w:val="20"/>
                <w:color w:val="auto"/>
              </w:rPr>
            </w:pPr>
          </w:p>
        </w:tc>
        <w:tc>
          <w:tcPr>
            <w:tcW w:w="300" w:type="dxa"/>
            <w:vAlign w:val="bottom"/>
            <w:gridSpan w:val="4"/>
            <w:vMerge w:val="continue"/>
          </w:tcPr>
          <w:p>
            <w:pPr>
              <w:spacing w:after="0"/>
              <w:rPr>
                <w:sz w:val="20"/>
                <w:szCs w:val="20"/>
                <w:color w:val="auto"/>
              </w:rPr>
            </w:pPr>
          </w:p>
        </w:tc>
        <w:tc>
          <w:tcPr>
            <w:tcW w:w="460" w:type="dxa"/>
            <w:vAlign w:val="bottom"/>
            <w:tcBorders>
              <w:bottom w:val="single" w:sz="8" w:color="0000FF"/>
            </w:tcBorders>
            <w:gridSpan w:val="4"/>
            <w:vMerge w:val="continue"/>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gridSpan w:val="3"/>
            <w:vMerge w:val="restart"/>
          </w:tcPr>
          <w:p>
            <w:pPr>
              <w:jc w:val="right"/>
              <w:spacing w:after="0"/>
              <w:rPr>
                <w:sz w:val="20"/>
                <w:szCs w:val="20"/>
                <w:color w:val="auto"/>
              </w:rPr>
            </w:pPr>
            <w:r>
              <w:rPr>
                <w:rFonts w:ascii="Times New Roman" w:cs="Times New Roman" w:eastAsia="Times New Roman" w:hAnsi="Times New Roman"/>
                <w:sz w:val="21"/>
                <w:szCs w:val="21"/>
                <w:b w:val="1"/>
                <w:bCs w:val="1"/>
                <w:color w:val="FF0000"/>
                <w:strike w:val="1"/>
                <w:w w:val="95"/>
              </w:rPr>
              <w:t>120</w:t>
            </w:r>
          </w:p>
        </w:tc>
        <w:tc>
          <w:tcPr>
            <w:tcW w:w="280" w:type="dxa"/>
            <w:vAlign w:val="bottom"/>
            <w:gridSpan w:val="3"/>
            <w:vMerge w:val="restart"/>
          </w:tcPr>
          <w:p>
            <w:pPr>
              <w:jc w:val="right"/>
              <w:spacing w:after="0"/>
              <w:rPr>
                <w:sz w:val="20"/>
                <w:szCs w:val="20"/>
                <w:color w:val="auto"/>
              </w:rPr>
            </w:pPr>
            <w:r>
              <w:rPr>
                <w:rFonts w:ascii="Times New Roman" w:cs="Times New Roman" w:eastAsia="Times New Roman" w:hAnsi="Times New Roman"/>
                <w:sz w:val="21"/>
                <w:szCs w:val="21"/>
                <w:b w:val="1"/>
                <w:bCs w:val="1"/>
                <w:color w:val="0000FF"/>
                <w:w w:val="76"/>
              </w:rPr>
              <w:t>122</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420" w:type="dxa"/>
            <w:vAlign w:val="bottom"/>
            <w:gridSpan w:val="41"/>
          </w:tcPr>
          <w:p>
            <w:pPr>
              <w:spacing w:after="0" w:line="232" w:lineRule="exact"/>
              <w:rPr>
                <w:sz w:val="20"/>
                <w:szCs w:val="20"/>
                <w:color w:val="auto"/>
              </w:rPr>
            </w:pPr>
            <w:r>
              <w:rPr>
                <w:rFonts w:ascii="Times New Roman" w:cs="Times New Roman" w:eastAsia="Times New Roman" w:hAnsi="Times New Roman"/>
                <w:sz w:val="21"/>
                <w:szCs w:val="21"/>
                <w:color w:val="auto"/>
              </w:rPr>
              <w:t>Section 5.19  Anti-Terrorism; Anti-Money Laundering; Etc.</w:t>
            </w:r>
          </w:p>
        </w:tc>
        <w:tc>
          <w:tcPr>
            <w:tcW w:w="380" w:type="dxa"/>
            <w:vAlign w:val="bottom"/>
            <w:gridSpan w:val="3"/>
            <w:vMerge w:val="continue"/>
          </w:tcPr>
          <w:p>
            <w:pPr>
              <w:spacing w:after="0"/>
              <w:rPr>
                <w:sz w:val="20"/>
                <w:szCs w:val="20"/>
                <w:color w:val="auto"/>
              </w:rPr>
            </w:pPr>
          </w:p>
        </w:tc>
        <w:tc>
          <w:tcPr>
            <w:tcW w:w="280" w:type="dxa"/>
            <w:vAlign w:val="bottom"/>
            <w:tcBorders>
              <w:bottom w:val="single" w:sz="8" w:color="0000FF"/>
            </w:tcBorders>
            <w:gridSpan w:val="3"/>
            <w:vMerge w:val="continue"/>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120" w:type="dxa"/>
            <w:vAlign w:val="bottom"/>
            <w:gridSpan w:val="24"/>
          </w:tcPr>
          <w:p>
            <w:pPr>
              <w:spacing w:after="0"/>
              <w:rPr>
                <w:sz w:val="20"/>
                <w:szCs w:val="20"/>
                <w:color w:val="auto"/>
              </w:rPr>
            </w:pPr>
            <w:r>
              <w:rPr>
                <w:rFonts w:ascii="Times New Roman" w:cs="Times New Roman" w:eastAsia="Times New Roman" w:hAnsi="Times New Roman"/>
                <w:sz w:val="21"/>
                <w:szCs w:val="21"/>
                <w:color w:val="auto"/>
              </w:rPr>
              <w:t>Section 5.20  Foreign Corrupt Practices Act.</w:t>
            </w:r>
          </w:p>
        </w:tc>
        <w:tc>
          <w:tcPr>
            <w:tcW w:w="420" w:type="dxa"/>
            <w:vAlign w:val="bottom"/>
            <w:gridSpan w:val="6"/>
          </w:tcPr>
          <w:p>
            <w:pPr>
              <w:spacing w:after="0"/>
              <w:rPr>
                <w:sz w:val="20"/>
                <w:szCs w:val="20"/>
                <w:color w:val="auto"/>
              </w:rPr>
            </w:pPr>
            <w:r>
              <w:rPr>
                <w:rFonts w:ascii="Times New Roman" w:cs="Times New Roman" w:eastAsia="Times New Roman" w:hAnsi="Times New Roman"/>
                <w:sz w:val="21"/>
                <w:szCs w:val="21"/>
                <w:b w:val="1"/>
                <w:bCs w:val="1"/>
                <w:color w:val="FF0000"/>
                <w:strike w:val="1"/>
              </w:rPr>
              <w:t>120</w:t>
            </w:r>
          </w:p>
        </w:tc>
        <w:tc>
          <w:tcPr>
            <w:tcW w:w="240" w:type="dxa"/>
            <w:vAlign w:val="bottom"/>
            <w:gridSpan w:val="4"/>
          </w:tcPr>
          <w:p>
            <w:pPr>
              <w:jc w:val="right"/>
              <w:spacing w:after="0"/>
              <w:rPr>
                <w:sz w:val="20"/>
                <w:szCs w:val="20"/>
                <w:color w:val="auto"/>
              </w:rPr>
            </w:pPr>
            <w:r>
              <w:rPr>
                <w:rFonts w:ascii="Times New Roman" w:cs="Times New Roman" w:eastAsia="Times New Roman" w:hAnsi="Times New Roman"/>
                <w:sz w:val="17"/>
                <w:szCs w:val="17"/>
                <w:b w:val="1"/>
                <w:bCs w:val="1"/>
                <w:color w:val="0000FF"/>
                <w:w w:val="70"/>
              </w:rPr>
              <w:t>122</w:t>
            </w:r>
          </w:p>
        </w:tc>
        <w:tc>
          <w:tcPr>
            <w:tcW w:w="600" w:type="dxa"/>
            <w:vAlign w:val="bottom"/>
            <w:gridSpan w:val="6"/>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180" w:type="dxa"/>
            <w:vAlign w:val="bottom"/>
          </w:tcPr>
          <w:p>
            <w:pPr>
              <w:spacing w:after="0" w:line="232" w:lineRule="exact"/>
              <w:rPr>
                <w:sz w:val="20"/>
                <w:szCs w:val="20"/>
                <w:color w:val="auto"/>
              </w:rPr>
            </w:pPr>
            <w:r>
              <w:rPr>
                <w:rFonts w:ascii="Times New Roman" w:cs="Times New Roman" w:eastAsia="Times New Roman" w:hAnsi="Times New Roman"/>
                <w:sz w:val="21"/>
                <w:szCs w:val="21"/>
                <w:color w:val="auto"/>
              </w:rPr>
              <w:t>Section 5.21</w:t>
            </w:r>
          </w:p>
        </w:tc>
        <w:tc>
          <w:tcPr>
            <w:tcW w:w="2940" w:type="dxa"/>
            <w:vAlign w:val="bottom"/>
            <w:gridSpan w:val="23"/>
          </w:tcPr>
          <w:p>
            <w:pPr>
              <w:ind w:left="120"/>
              <w:spacing w:after="0" w:line="232" w:lineRule="exact"/>
              <w:rPr>
                <w:sz w:val="20"/>
                <w:szCs w:val="20"/>
                <w:color w:val="auto"/>
              </w:rPr>
            </w:pPr>
            <w:r>
              <w:rPr>
                <w:rFonts w:ascii="Times New Roman" w:cs="Times New Roman" w:eastAsia="Times New Roman" w:hAnsi="Times New Roman"/>
                <w:sz w:val="21"/>
                <w:szCs w:val="21"/>
                <w:color w:val="auto"/>
              </w:rPr>
              <w:t>Affected Financial Institution</w:t>
            </w:r>
          </w:p>
        </w:tc>
        <w:tc>
          <w:tcPr>
            <w:tcW w:w="220" w:type="dxa"/>
            <w:vAlign w:val="bottom"/>
            <w:gridSpan w:val="4"/>
          </w:tcPr>
          <w:p>
            <w:pPr>
              <w:spacing w:after="0"/>
              <w:rPr>
                <w:sz w:val="20"/>
                <w:szCs w:val="20"/>
                <w:color w:val="auto"/>
              </w:rPr>
            </w:pPr>
            <w:r>
              <w:rPr>
                <w:rFonts w:ascii="Times New Roman" w:cs="Times New Roman" w:eastAsia="Times New Roman" w:hAnsi="Times New Roman"/>
                <w:sz w:val="19"/>
                <w:szCs w:val="19"/>
                <w:b w:val="1"/>
                <w:bCs w:val="1"/>
                <w:color w:val="FF0000"/>
                <w:strike w:val="1"/>
                <w:w w:val="70"/>
              </w:rPr>
              <w:t>120</w:t>
            </w:r>
          </w:p>
        </w:tc>
        <w:tc>
          <w:tcPr>
            <w:tcW w:w="300" w:type="dxa"/>
            <w:vAlign w:val="bottom"/>
            <w:tcBorders>
              <w:bottom w:val="single" w:sz="8" w:color="0000FF"/>
            </w:tcBorders>
            <w:gridSpan w:val="4"/>
          </w:tcPr>
          <w:p>
            <w:pPr>
              <w:jc w:val="right"/>
              <w:spacing w:after="0" w:line="232" w:lineRule="exact"/>
              <w:rPr>
                <w:sz w:val="20"/>
                <w:szCs w:val="20"/>
                <w:color w:val="auto"/>
              </w:rPr>
            </w:pPr>
            <w:r>
              <w:rPr>
                <w:rFonts w:ascii="Times New Roman" w:cs="Times New Roman" w:eastAsia="Times New Roman" w:hAnsi="Times New Roman"/>
                <w:sz w:val="21"/>
                <w:szCs w:val="21"/>
                <w:b w:val="1"/>
                <w:bCs w:val="1"/>
                <w:color w:val="0000FF"/>
                <w:w w:val="88"/>
              </w:rPr>
              <w:t>122</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gridSpan w:val="5"/>
            <w:vMerge w:val="restart"/>
          </w:tcPr>
          <w:p>
            <w:pPr>
              <w:jc w:val="right"/>
              <w:spacing w:after="0"/>
              <w:rPr>
                <w:sz w:val="20"/>
                <w:szCs w:val="20"/>
                <w:color w:val="auto"/>
              </w:rPr>
            </w:pPr>
            <w:r>
              <w:rPr>
                <w:rFonts w:ascii="Times New Roman" w:cs="Times New Roman" w:eastAsia="Times New Roman" w:hAnsi="Times New Roman"/>
                <w:sz w:val="21"/>
                <w:szCs w:val="21"/>
                <w:b w:val="1"/>
                <w:bCs w:val="1"/>
                <w:color w:val="FF0000"/>
                <w:strike w:val="1"/>
                <w:w w:val="88"/>
              </w:rPr>
              <w:t>120</w:t>
            </w:r>
          </w:p>
        </w:tc>
        <w:tc>
          <w:tcPr>
            <w:tcW w:w="380" w:type="dxa"/>
            <w:vAlign w:val="bottom"/>
            <w:gridSpan w:val="4"/>
            <w:vMerge w:val="restart"/>
          </w:tcPr>
          <w:p>
            <w:pPr>
              <w:spacing w:after="0"/>
              <w:rPr>
                <w:sz w:val="20"/>
                <w:szCs w:val="20"/>
                <w:color w:val="auto"/>
              </w:rPr>
            </w:pPr>
            <w:r>
              <w:rPr>
                <w:rFonts w:ascii="Times New Roman" w:cs="Times New Roman" w:eastAsia="Times New Roman" w:hAnsi="Times New Roman"/>
                <w:sz w:val="21"/>
                <w:szCs w:val="21"/>
                <w:b w:val="1"/>
                <w:bCs w:val="1"/>
                <w:color w:val="0000FF"/>
              </w:rPr>
              <w:t>122</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40" w:type="dxa"/>
            <w:vAlign w:val="bottom"/>
            <w:gridSpan w:val="34"/>
          </w:tcPr>
          <w:p>
            <w:pPr>
              <w:jc w:val="center"/>
              <w:ind w:right="80"/>
              <w:spacing w:after="0"/>
              <w:rPr>
                <w:sz w:val="20"/>
                <w:szCs w:val="20"/>
                <w:color w:val="auto"/>
              </w:rPr>
            </w:pPr>
            <w:r>
              <w:rPr>
                <w:rFonts w:ascii="Times New Roman" w:cs="Times New Roman" w:eastAsia="Times New Roman" w:hAnsi="Times New Roman"/>
                <w:sz w:val="21"/>
                <w:szCs w:val="21"/>
                <w:color w:val="auto"/>
              </w:rPr>
              <w:t>Article 6. Affirmative Covenants</w:t>
            </w:r>
          </w:p>
        </w:tc>
        <w:tc>
          <w:tcPr>
            <w:tcW w:w="60" w:type="dxa"/>
            <w:vAlign w:val="bottom"/>
          </w:tcPr>
          <w:p>
            <w:pPr>
              <w:spacing w:after="0"/>
              <w:rPr>
                <w:sz w:val="24"/>
                <w:szCs w:val="24"/>
                <w:color w:val="auto"/>
              </w:rPr>
            </w:pPr>
          </w:p>
        </w:tc>
        <w:tc>
          <w:tcPr>
            <w:tcW w:w="300" w:type="dxa"/>
            <w:vAlign w:val="bottom"/>
            <w:gridSpan w:val="5"/>
            <w:vMerge w:val="continue"/>
          </w:tcPr>
          <w:p>
            <w:pPr>
              <w:spacing w:after="0"/>
              <w:rPr>
                <w:sz w:val="24"/>
                <w:szCs w:val="24"/>
                <w:color w:val="auto"/>
              </w:rPr>
            </w:pPr>
          </w:p>
        </w:tc>
        <w:tc>
          <w:tcPr>
            <w:tcW w:w="380" w:type="dxa"/>
            <w:vAlign w:val="bottom"/>
            <w:gridSpan w:val="4"/>
            <w:vMerge w:val="continue"/>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4"/>
        </w:trPr>
        <w:tc>
          <w:tcPr>
            <w:tcW w:w="1180" w:type="dxa"/>
            <w:vAlign w:val="bottom"/>
          </w:tcPr>
          <w:p>
            <w:pPr>
              <w:spacing w:after="0"/>
              <w:rPr>
                <w:sz w:val="20"/>
                <w:szCs w:val="20"/>
                <w:color w:val="auto"/>
              </w:rPr>
            </w:pPr>
            <w:r>
              <w:rPr>
                <w:rFonts w:ascii="Times New Roman" w:cs="Times New Roman" w:eastAsia="Times New Roman" w:hAnsi="Times New Roman"/>
                <w:sz w:val="21"/>
                <w:szCs w:val="21"/>
                <w:color w:val="auto"/>
              </w:rPr>
              <w:t>Section 6.01</w:t>
            </w:r>
          </w:p>
        </w:tc>
        <w:tc>
          <w:tcPr>
            <w:tcW w:w="2100" w:type="dxa"/>
            <w:vAlign w:val="bottom"/>
            <w:gridSpan w:val="14"/>
          </w:tcPr>
          <w:p>
            <w:pPr>
              <w:ind w:left="120"/>
              <w:spacing w:after="0"/>
              <w:rPr>
                <w:sz w:val="20"/>
                <w:szCs w:val="20"/>
                <w:color w:val="auto"/>
              </w:rPr>
            </w:pPr>
            <w:r>
              <w:rPr>
                <w:rFonts w:ascii="Times New Roman" w:cs="Times New Roman" w:eastAsia="Times New Roman" w:hAnsi="Times New Roman"/>
                <w:sz w:val="21"/>
                <w:szCs w:val="21"/>
                <w:color w:val="auto"/>
              </w:rPr>
              <w:t>Financial Statements</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21"/>
                <w:szCs w:val="21"/>
                <w:b w:val="1"/>
                <w:bCs w:val="1"/>
                <w:color w:val="FF0000"/>
                <w:strike w:val="1"/>
                <w:w w:val="95"/>
              </w:rPr>
              <w:t>121</w:t>
            </w:r>
          </w:p>
        </w:tc>
        <w:tc>
          <w:tcPr>
            <w:tcW w:w="32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21"/>
                <w:szCs w:val="21"/>
                <w:b w:val="1"/>
                <w:bCs w:val="1"/>
                <w:color w:val="0000FF"/>
                <w:w w:val="95"/>
              </w:rPr>
              <w:t>123</w:t>
            </w:r>
          </w:p>
        </w:tc>
        <w:tc>
          <w:tcPr>
            <w:tcW w:w="200" w:type="dxa"/>
            <w:vAlign w:val="bottom"/>
          </w:tcPr>
          <w:p>
            <w:pPr>
              <w:spacing w:after="0"/>
              <w:rPr>
                <w:sz w:val="24"/>
                <w:szCs w:val="24"/>
                <w:color w:val="auto"/>
              </w:rPr>
            </w:pPr>
          </w:p>
        </w:tc>
        <w:tc>
          <w:tcPr>
            <w:tcW w:w="420" w:type="dxa"/>
            <w:vAlign w:val="bottom"/>
            <w:gridSpan w:val="6"/>
            <w:vMerge w:val="restart"/>
          </w:tcPr>
          <w:p>
            <w:pPr>
              <w:jc w:val="right"/>
              <w:ind w:right="80"/>
              <w:spacing w:after="0"/>
              <w:rPr>
                <w:sz w:val="20"/>
                <w:szCs w:val="20"/>
                <w:color w:val="auto"/>
              </w:rPr>
            </w:pPr>
            <w:r>
              <w:rPr>
                <w:rFonts w:ascii="Times New Roman" w:cs="Times New Roman" w:eastAsia="Times New Roman" w:hAnsi="Times New Roman"/>
                <w:sz w:val="21"/>
                <w:szCs w:val="21"/>
                <w:b w:val="1"/>
                <w:bCs w:val="1"/>
                <w:color w:val="FF0000"/>
                <w:strike w:val="1"/>
              </w:rPr>
              <w:t>122</w:t>
            </w:r>
          </w:p>
        </w:tc>
        <w:tc>
          <w:tcPr>
            <w:tcW w:w="300" w:type="dxa"/>
            <w:vAlign w:val="bottom"/>
            <w:gridSpan w:val="5"/>
            <w:vMerge w:val="restart"/>
          </w:tcPr>
          <w:p>
            <w:pPr>
              <w:jc w:val="right"/>
              <w:ind w:right="60"/>
              <w:spacing w:after="0"/>
              <w:rPr>
                <w:sz w:val="20"/>
                <w:szCs w:val="20"/>
                <w:color w:val="auto"/>
              </w:rPr>
            </w:pPr>
            <w:r>
              <w:rPr>
                <w:rFonts w:ascii="Times New Roman" w:cs="Times New Roman" w:eastAsia="Times New Roman" w:hAnsi="Times New Roman"/>
                <w:sz w:val="20"/>
                <w:szCs w:val="20"/>
                <w:b w:val="1"/>
                <w:bCs w:val="1"/>
                <w:color w:val="0000FF"/>
                <w:w w:val="73"/>
              </w:rPr>
              <w:t>124</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180" w:type="dxa"/>
            <w:vAlign w:val="bottom"/>
          </w:tcPr>
          <w:p>
            <w:pPr>
              <w:spacing w:after="0" w:line="232" w:lineRule="exact"/>
              <w:rPr>
                <w:sz w:val="20"/>
                <w:szCs w:val="20"/>
                <w:color w:val="auto"/>
              </w:rPr>
            </w:pPr>
            <w:r>
              <w:rPr>
                <w:rFonts w:ascii="Times New Roman" w:cs="Times New Roman" w:eastAsia="Times New Roman" w:hAnsi="Times New Roman"/>
                <w:sz w:val="21"/>
                <w:szCs w:val="21"/>
                <w:color w:val="auto"/>
              </w:rPr>
              <w:t>Section 6.02</w:t>
            </w:r>
          </w:p>
        </w:tc>
        <w:tc>
          <w:tcPr>
            <w:tcW w:w="2940" w:type="dxa"/>
            <w:vAlign w:val="bottom"/>
            <w:gridSpan w:val="23"/>
          </w:tcPr>
          <w:p>
            <w:pPr>
              <w:ind w:left="120"/>
              <w:spacing w:after="0" w:line="232" w:lineRule="exact"/>
              <w:rPr>
                <w:sz w:val="20"/>
                <w:szCs w:val="20"/>
                <w:color w:val="auto"/>
              </w:rPr>
            </w:pPr>
            <w:r>
              <w:rPr>
                <w:rFonts w:ascii="Times New Roman" w:cs="Times New Roman" w:eastAsia="Times New Roman" w:hAnsi="Times New Roman"/>
                <w:sz w:val="21"/>
                <w:szCs w:val="21"/>
                <w:color w:val="auto"/>
              </w:rPr>
              <w:t>Certificates; Other Information</w:t>
            </w:r>
          </w:p>
        </w:tc>
        <w:tc>
          <w:tcPr>
            <w:tcW w:w="420" w:type="dxa"/>
            <w:vAlign w:val="bottom"/>
            <w:gridSpan w:val="6"/>
            <w:vMerge w:val="continue"/>
          </w:tcPr>
          <w:p>
            <w:pPr>
              <w:spacing w:after="0"/>
              <w:rPr>
                <w:sz w:val="20"/>
                <w:szCs w:val="20"/>
                <w:color w:val="auto"/>
              </w:rPr>
            </w:pPr>
          </w:p>
        </w:tc>
        <w:tc>
          <w:tcPr>
            <w:tcW w:w="300" w:type="dxa"/>
            <w:vAlign w:val="bottom"/>
            <w:gridSpan w:val="5"/>
            <w:vMerge w:val="continue"/>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8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rPr>
              <w:t>Section 6.03</w:t>
            </w:r>
          </w:p>
        </w:tc>
        <w:tc>
          <w:tcPr>
            <w:tcW w:w="820" w:type="dxa"/>
            <w:vAlign w:val="bottom"/>
            <w:vMerge w:val="restart"/>
          </w:tcPr>
          <w:p>
            <w:pPr>
              <w:ind w:left="120"/>
              <w:spacing w:after="0"/>
              <w:rPr>
                <w:sz w:val="20"/>
                <w:szCs w:val="20"/>
                <w:color w:val="auto"/>
              </w:rPr>
            </w:pPr>
            <w:r>
              <w:rPr>
                <w:rFonts w:ascii="Times New Roman" w:cs="Times New Roman" w:eastAsia="Times New Roman" w:hAnsi="Times New Roman"/>
                <w:sz w:val="21"/>
                <w:szCs w:val="21"/>
                <w:color w:val="auto"/>
              </w:rPr>
              <w:t>Notices</w:t>
            </w:r>
          </w:p>
        </w:tc>
        <w:tc>
          <w:tcPr>
            <w:tcW w:w="160" w:type="dxa"/>
            <w:vAlign w:val="bottom"/>
          </w:tcPr>
          <w:p>
            <w:pPr>
              <w:spacing w:after="0" w:line="20" w:lineRule="exact"/>
              <w:rPr>
                <w:sz w:val="1"/>
                <w:szCs w:val="1"/>
                <w:color w:val="auto"/>
              </w:rPr>
            </w:pPr>
          </w:p>
        </w:tc>
        <w:tc>
          <w:tcPr>
            <w:tcW w:w="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21"/>
                <w:szCs w:val="21"/>
                <w:b w:val="1"/>
                <w:bCs w:val="1"/>
                <w:color w:val="FF0000"/>
                <w:strike w:val="1"/>
                <w:w w:val="95"/>
              </w:rPr>
              <w:t>123</w:t>
            </w: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1"/>
                <w:szCs w:val="21"/>
                <w:b w:val="1"/>
                <w:bCs w:val="1"/>
                <w:color w:val="0000FF"/>
                <w:w w:val="95"/>
              </w:rPr>
              <w:t>125</w:t>
            </w:r>
          </w:p>
        </w:tc>
        <w:tc>
          <w:tcPr>
            <w:tcW w:w="1700" w:type="dxa"/>
            <w:vAlign w:val="bottom"/>
            <w:tcBorders>
              <w:right w:val="single" w:sz="8" w:color="0000FF"/>
            </w:tcBorders>
            <w:gridSpan w:val="22"/>
          </w:tcPr>
          <w:p>
            <w:pPr>
              <w:spacing w:after="0" w:line="20" w:lineRule="exact"/>
              <w:rPr>
                <w:sz w:val="1"/>
                <w:szCs w:val="1"/>
                <w:color w:val="auto"/>
              </w:rPr>
            </w:pPr>
          </w:p>
        </w:tc>
        <w:tc>
          <w:tcPr>
            <w:tcW w:w="240" w:type="dxa"/>
            <w:vAlign w:val="bottom"/>
            <w:tcBorders>
              <w:right w:val="single" w:sz="8" w:color="0000FF"/>
            </w:tcBorders>
            <w:gridSpan w:val="4"/>
            <w:shd w:val="clear" w:color="auto" w:fill="0000FF"/>
          </w:tcPr>
          <w:p>
            <w:pPr>
              <w:spacing w:after="0" w:line="20" w:lineRule="exact"/>
              <w:rPr>
                <w:sz w:val="1"/>
                <w:szCs w:val="1"/>
                <w:color w:val="auto"/>
              </w:rPr>
            </w:pPr>
          </w:p>
        </w:tc>
        <w:tc>
          <w:tcPr>
            <w:tcW w:w="2380" w:type="dxa"/>
            <w:vAlign w:val="bottom"/>
            <w:gridSpan w:val="2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8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gridSpan w:val="3"/>
            <w:vMerge w:val="continue"/>
          </w:tcPr>
          <w:p>
            <w:pPr>
              <w:spacing w:after="0"/>
              <w:rPr>
                <w:sz w:val="21"/>
                <w:szCs w:val="21"/>
                <w:color w:val="auto"/>
              </w:rPr>
            </w:pPr>
          </w:p>
        </w:tc>
        <w:tc>
          <w:tcPr>
            <w:tcW w:w="360" w:type="dxa"/>
            <w:vAlign w:val="bottom"/>
            <w:tcBorders>
              <w:bottom w:val="single" w:sz="8" w:color="0000FF"/>
            </w:tcBorders>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gridSpan w:val="6"/>
            <w:vMerge w:val="restart"/>
          </w:tcPr>
          <w:p>
            <w:pPr>
              <w:spacing w:after="0"/>
              <w:rPr>
                <w:sz w:val="20"/>
                <w:szCs w:val="20"/>
                <w:color w:val="auto"/>
              </w:rPr>
            </w:pPr>
            <w:r>
              <w:rPr>
                <w:rFonts w:ascii="Times New Roman" w:cs="Times New Roman" w:eastAsia="Times New Roman" w:hAnsi="Times New Roman"/>
                <w:sz w:val="21"/>
                <w:szCs w:val="21"/>
                <w:b w:val="1"/>
                <w:bCs w:val="1"/>
                <w:color w:val="FF0000"/>
                <w:strike w:val="1"/>
              </w:rPr>
              <w:t>124</w:t>
            </w:r>
          </w:p>
        </w:tc>
        <w:tc>
          <w:tcPr>
            <w:tcW w:w="840" w:type="dxa"/>
            <w:vAlign w:val="bottom"/>
            <w:gridSpan w:val="10"/>
            <w:vMerge w:val="restart"/>
          </w:tcPr>
          <w:p>
            <w:pPr>
              <w:jc w:val="right"/>
              <w:ind w:right="514"/>
              <w:spacing w:after="0"/>
              <w:rPr>
                <w:sz w:val="20"/>
                <w:szCs w:val="20"/>
                <w:color w:val="auto"/>
              </w:rPr>
            </w:pPr>
            <w:r>
              <w:rPr>
                <w:rFonts w:ascii="Times New Roman" w:cs="Times New Roman" w:eastAsia="Times New Roman" w:hAnsi="Times New Roman"/>
                <w:sz w:val="19"/>
                <w:szCs w:val="19"/>
                <w:b w:val="1"/>
                <w:bCs w:val="1"/>
                <w:color w:val="0000FF"/>
                <w:w w:val="70"/>
              </w:rPr>
              <w:t>126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4120" w:type="dxa"/>
            <w:vAlign w:val="bottom"/>
            <w:gridSpan w:val="24"/>
          </w:tcPr>
          <w:p>
            <w:pPr>
              <w:spacing w:after="0" w:line="232" w:lineRule="exact"/>
              <w:rPr>
                <w:sz w:val="20"/>
                <w:szCs w:val="20"/>
                <w:color w:val="auto"/>
              </w:rPr>
            </w:pPr>
            <w:r>
              <w:rPr>
                <w:rFonts w:ascii="Times New Roman" w:cs="Times New Roman" w:eastAsia="Times New Roman" w:hAnsi="Times New Roman"/>
                <w:sz w:val="21"/>
                <w:szCs w:val="21"/>
                <w:color w:val="auto"/>
              </w:rPr>
              <w:t>Section 6.04  Preservation of Existence, Etc.</w:t>
            </w:r>
          </w:p>
        </w:tc>
        <w:tc>
          <w:tcPr>
            <w:tcW w:w="420" w:type="dxa"/>
            <w:vAlign w:val="bottom"/>
            <w:gridSpan w:val="6"/>
            <w:vMerge w:val="continue"/>
          </w:tcPr>
          <w:p>
            <w:pPr>
              <w:spacing w:after="0"/>
              <w:rPr>
                <w:sz w:val="20"/>
                <w:szCs w:val="20"/>
                <w:color w:val="auto"/>
              </w:rPr>
            </w:pPr>
          </w:p>
        </w:tc>
        <w:tc>
          <w:tcPr>
            <w:tcW w:w="840" w:type="dxa"/>
            <w:vAlign w:val="bottom"/>
            <w:gridSpan w:val="10"/>
            <w:vMerge w:val="continue"/>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180" w:type="dxa"/>
            <w:vAlign w:val="bottom"/>
          </w:tcPr>
          <w:p>
            <w:pPr>
              <w:spacing w:after="0" w:line="232" w:lineRule="exact"/>
              <w:rPr>
                <w:sz w:val="20"/>
                <w:szCs w:val="20"/>
                <w:color w:val="auto"/>
              </w:rPr>
            </w:pPr>
            <w:r>
              <w:rPr>
                <w:rFonts w:ascii="Times New Roman" w:cs="Times New Roman" w:eastAsia="Times New Roman" w:hAnsi="Times New Roman"/>
                <w:sz w:val="21"/>
                <w:szCs w:val="21"/>
                <w:color w:val="auto"/>
              </w:rPr>
              <w:t>Section 6.05</w:t>
            </w:r>
          </w:p>
        </w:tc>
        <w:tc>
          <w:tcPr>
            <w:tcW w:w="2480" w:type="dxa"/>
            <w:vAlign w:val="bottom"/>
            <w:gridSpan w:val="19"/>
          </w:tcPr>
          <w:p>
            <w:pPr>
              <w:ind w:left="120"/>
              <w:spacing w:after="0" w:line="232" w:lineRule="exact"/>
              <w:rPr>
                <w:sz w:val="20"/>
                <w:szCs w:val="20"/>
                <w:color w:val="auto"/>
              </w:rPr>
            </w:pPr>
            <w:r>
              <w:rPr>
                <w:rFonts w:ascii="Times New Roman" w:cs="Times New Roman" w:eastAsia="Times New Roman" w:hAnsi="Times New Roman"/>
                <w:sz w:val="21"/>
                <w:szCs w:val="21"/>
                <w:color w:val="auto"/>
              </w:rPr>
              <w:t>Maintenance of Properties</w:t>
            </w:r>
          </w:p>
        </w:tc>
        <w:tc>
          <w:tcPr>
            <w:tcW w:w="460" w:type="dxa"/>
            <w:vAlign w:val="bottom"/>
            <w:gridSpan w:val="4"/>
          </w:tcPr>
          <w:p>
            <w:pPr>
              <w:jc w:val="right"/>
              <w:ind w:right="60"/>
              <w:spacing w:after="0" w:line="232" w:lineRule="exact"/>
              <w:rPr>
                <w:sz w:val="20"/>
                <w:szCs w:val="20"/>
                <w:color w:val="auto"/>
              </w:rPr>
            </w:pPr>
            <w:r>
              <w:rPr>
                <w:rFonts w:ascii="Times New Roman" w:cs="Times New Roman" w:eastAsia="Times New Roman" w:hAnsi="Times New Roman"/>
                <w:sz w:val="21"/>
                <w:szCs w:val="21"/>
                <w:b w:val="1"/>
                <w:bCs w:val="1"/>
                <w:color w:val="FF0000"/>
                <w:strike w:val="1"/>
              </w:rPr>
              <w:t>124</w:t>
            </w:r>
          </w:p>
        </w:tc>
        <w:tc>
          <w:tcPr>
            <w:tcW w:w="420" w:type="dxa"/>
            <w:vAlign w:val="bottom"/>
            <w:gridSpan w:val="6"/>
          </w:tcPr>
          <w:p>
            <w:pPr>
              <w:jc w:val="right"/>
              <w:ind w:right="160"/>
              <w:spacing w:after="0" w:line="232" w:lineRule="exact"/>
              <w:rPr>
                <w:sz w:val="20"/>
                <w:szCs w:val="20"/>
                <w:color w:val="auto"/>
              </w:rPr>
            </w:pPr>
            <w:r>
              <w:rPr>
                <w:rFonts w:ascii="Times New Roman" w:cs="Times New Roman" w:eastAsia="Times New Roman" w:hAnsi="Times New Roman"/>
                <w:sz w:val="21"/>
                <w:szCs w:val="21"/>
                <w:b w:val="1"/>
                <w:bCs w:val="1"/>
                <w:color w:val="0000FF"/>
                <w:w w:val="76"/>
              </w:rPr>
              <w:t>126</w:t>
            </w:r>
          </w:p>
        </w:tc>
        <w:tc>
          <w:tcPr>
            <w:tcW w:w="8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gridSpan w:val="6"/>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600" w:type="dxa"/>
            <w:vAlign w:val="bottom"/>
            <w:gridSpan w:val="7"/>
          </w:tcPr>
          <w:p>
            <w:pPr>
              <w:spacing w:after="0" w:line="20" w:lineRule="exact"/>
              <w:rPr>
                <w:sz w:val="1"/>
                <w:szCs w:val="1"/>
                <w:color w:val="auto"/>
              </w:rPr>
            </w:pPr>
          </w:p>
        </w:tc>
        <w:tc>
          <w:tcPr>
            <w:tcW w:w="460" w:type="dxa"/>
            <w:vAlign w:val="bottom"/>
            <w:tcBorders>
              <w:right w:val="single" w:sz="8" w:color="0000FF"/>
            </w:tcBorders>
            <w:gridSpan w:val="4"/>
          </w:tcPr>
          <w:p>
            <w:pPr>
              <w:spacing w:after="0" w:line="20" w:lineRule="exact"/>
              <w:rPr>
                <w:sz w:val="1"/>
                <w:szCs w:val="1"/>
                <w:color w:val="auto"/>
              </w:rPr>
            </w:pPr>
          </w:p>
        </w:tc>
        <w:tc>
          <w:tcPr>
            <w:tcW w:w="260" w:type="dxa"/>
            <w:vAlign w:val="bottom"/>
            <w:tcBorders>
              <w:right w:val="single" w:sz="8" w:color="0000FF"/>
            </w:tcBorders>
            <w:gridSpan w:val="5"/>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180" w:type="dxa"/>
            <w:vAlign w:val="bottom"/>
          </w:tcPr>
          <w:p>
            <w:pPr>
              <w:spacing w:after="0" w:line="232" w:lineRule="exact"/>
              <w:rPr>
                <w:sz w:val="20"/>
                <w:szCs w:val="20"/>
                <w:color w:val="auto"/>
              </w:rPr>
            </w:pPr>
            <w:r>
              <w:rPr>
                <w:rFonts w:ascii="Times New Roman" w:cs="Times New Roman" w:eastAsia="Times New Roman" w:hAnsi="Times New Roman"/>
                <w:sz w:val="21"/>
                <w:szCs w:val="21"/>
                <w:color w:val="auto"/>
              </w:rPr>
              <w:t>Section 6.06</w:t>
            </w:r>
          </w:p>
        </w:tc>
        <w:tc>
          <w:tcPr>
            <w:tcW w:w="2480" w:type="dxa"/>
            <w:vAlign w:val="bottom"/>
            <w:gridSpan w:val="19"/>
          </w:tcPr>
          <w:p>
            <w:pPr>
              <w:ind w:left="120"/>
              <w:spacing w:after="0" w:line="232" w:lineRule="exact"/>
              <w:rPr>
                <w:sz w:val="20"/>
                <w:szCs w:val="20"/>
                <w:color w:val="auto"/>
              </w:rPr>
            </w:pPr>
            <w:r>
              <w:rPr>
                <w:rFonts w:ascii="Times New Roman" w:cs="Times New Roman" w:eastAsia="Times New Roman" w:hAnsi="Times New Roman"/>
                <w:sz w:val="21"/>
                <w:szCs w:val="21"/>
                <w:color w:val="auto"/>
              </w:rPr>
              <w:t>Maintenance of Insurance</w:t>
            </w:r>
          </w:p>
        </w:tc>
        <w:tc>
          <w:tcPr>
            <w:tcW w:w="460" w:type="dxa"/>
            <w:vAlign w:val="bottom"/>
            <w:gridSpan w:val="4"/>
          </w:tcPr>
          <w:p>
            <w:pPr>
              <w:jc w:val="right"/>
              <w:ind w:right="100"/>
              <w:spacing w:after="0" w:line="232" w:lineRule="exact"/>
              <w:rPr>
                <w:sz w:val="20"/>
                <w:szCs w:val="20"/>
                <w:color w:val="auto"/>
              </w:rPr>
            </w:pPr>
            <w:r>
              <w:rPr>
                <w:rFonts w:ascii="Times New Roman" w:cs="Times New Roman" w:eastAsia="Times New Roman" w:hAnsi="Times New Roman"/>
                <w:sz w:val="21"/>
                <w:szCs w:val="21"/>
                <w:b w:val="1"/>
                <w:bCs w:val="1"/>
                <w:color w:val="FF0000"/>
                <w:strike w:val="1"/>
              </w:rPr>
              <w:t>124</w:t>
            </w:r>
          </w:p>
        </w:tc>
        <w:tc>
          <w:tcPr>
            <w:tcW w:w="260" w:type="dxa"/>
            <w:vAlign w:val="bottom"/>
            <w:tcBorders>
              <w:bottom w:val="single" w:sz="8" w:color="0000FF"/>
            </w:tcBorders>
            <w:gridSpan w:val="5"/>
          </w:tcPr>
          <w:p>
            <w:pPr>
              <w:jc w:val="right"/>
              <w:spacing w:after="0"/>
              <w:rPr>
                <w:sz w:val="20"/>
                <w:szCs w:val="20"/>
                <w:color w:val="auto"/>
              </w:rPr>
            </w:pPr>
            <w:r>
              <w:rPr>
                <w:rFonts w:ascii="Times New Roman" w:cs="Times New Roman" w:eastAsia="Times New Roman" w:hAnsi="Times New Roman"/>
                <w:sz w:val="19"/>
                <w:szCs w:val="19"/>
                <w:b w:val="1"/>
                <w:bCs w:val="1"/>
                <w:color w:val="0000FF"/>
                <w:w w:val="70"/>
              </w:rPr>
              <w:t>126</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740"/>
          </w:cols>
          <w:pgMar w:left="960" w:top="1382" w:right="119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1"/>
          <w:szCs w:val="21"/>
          <w:color w:val="auto"/>
        </w:rPr>
        <w:t>iii</w:t>
      </w:r>
    </w:p>
    <w:p>
      <w:pPr>
        <w:sectPr>
          <w:pgSz w:w="11900" w:h="16838" w:orient="portrait"/>
          <w:cols w:equalWidth="0" w:num="1">
            <w:col w:w="9740"/>
          </w:cols>
          <w:pgMar w:left="960" w:top="1382" w:right="1199" w:bottom="1440" w:gutter="0" w:footer="0" w:header="0"/>
          <w:type w:val="continuous"/>
        </w:sectPr>
      </w:pPr>
    </w:p>
    <w:bookmarkStart w:id="103" w:name="page104"/>
    <w:bookmarkEnd w:id="103"/>
    <w:tbl>
      <w:tblPr>
        <w:tblLayout w:type="fixed"/>
        <w:tblInd w:w="0" w:type="dxa"/>
        <w:tblCellMar>
          <w:top w:w="0" w:type="dxa"/>
          <w:left w:w="0" w:type="dxa"/>
          <w:bottom w:w="0" w:type="dxa"/>
          <w:right w:w="0" w:type="dxa"/>
        </w:tblCellMar>
      </w:tblPr>
      <w:tr>
        <w:trPr>
          <w:trHeight w:val="39"/>
        </w:trPr>
        <w:tc>
          <w:tcPr>
            <w:tcW w:w="118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rPr>
              <w:t>Section 6.07</w:t>
            </w:r>
          </w:p>
        </w:tc>
        <w:tc>
          <w:tcPr>
            <w:tcW w:w="2140" w:type="dxa"/>
            <w:vAlign w:val="bottom"/>
            <w:gridSpan w:val="15"/>
            <w:vMerge w:val="restart"/>
          </w:tcPr>
          <w:p>
            <w:pPr>
              <w:ind w:left="120"/>
              <w:spacing w:after="0"/>
              <w:rPr>
                <w:sz w:val="20"/>
                <w:szCs w:val="20"/>
                <w:color w:val="auto"/>
              </w:rPr>
            </w:pPr>
            <w:r>
              <w:rPr>
                <w:rFonts w:ascii="Times New Roman" w:cs="Times New Roman" w:eastAsia="Times New Roman" w:hAnsi="Times New Roman"/>
                <w:sz w:val="21"/>
                <w:szCs w:val="21"/>
                <w:color w:val="auto"/>
              </w:rPr>
              <w:t>Compliance with Laws</w:t>
            </w:r>
          </w:p>
        </w:tc>
        <w:tc>
          <w:tcPr>
            <w:tcW w:w="20" w:type="dxa"/>
            <w:vAlign w:val="bottom"/>
            <w:vMerge w:val="restart"/>
          </w:tcPr>
          <w:p>
            <w:pPr>
              <w:spacing w:after="0"/>
              <w:rPr>
                <w:sz w:val="3"/>
                <w:szCs w:val="3"/>
                <w:color w:val="auto"/>
              </w:rPr>
            </w:pPr>
          </w:p>
        </w:tc>
        <w:tc>
          <w:tcPr>
            <w:tcW w:w="6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40" w:type="dxa"/>
            <w:vAlign w:val="bottom"/>
            <w:vMerge w:val="restart"/>
          </w:tcPr>
          <w:p>
            <w:pPr>
              <w:spacing w:after="0"/>
              <w:rPr>
                <w:sz w:val="3"/>
                <w:szCs w:val="3"/>
                <w:color w:val="auto"/>
              </w:rPr>
            </w:pPr>
          </w:p>
        </w:tc>
        <w:tc>
          <w:tcPr>
            <w:tcW w:w="340" w:type="dxa"/>
            <w:vAlign w:val="bottom"/>
            <w:gridSpan w:val="6"/>
            <w:vMerge w:val="restart"/>
          </w:tcPr>
          <w:p>
            <w:pPr>
              <w:jc w:val="right"/>
              <w:spacing w:after="0"/>
              <w:rPr>
                <w:sz w:val="20"/>
                <w:szCs w:val="20"/>
                <w:color w:val="auto"/>
              </w:rPr>
            </w:pPr>
            <w:r>
              <w:rPr>
                <w:rFonts w:ascii="Times New Roman" w:cs="Times New Roman" w:eastAsia="Times New Roman" w:hAnsi="Times New Roman"/>
                <w:sz w:val="21"/>
                <w:szCs w:val="21"/>
                <w:b w:val="1"/>
                <w:bCs w:val="1"/>
                <w:color w:val="FF0000"/>
                <w:strike w:val="1"/>
              </w:rPr>
              <w:t>124</w:t>
            </w:r>
          </w:p>
        </w:tc>
        <w:tc>
          <w:tcPr>
            <w:tcW w:w="320" w:type="dxa"/>
            <w:vAlign w:val="bottom"/>
            <w:gridSpan w:val="5"/>
            <w:vMerge w:val="restart"/>
          </w:tcPr>
          <w:p>
            <w:pPr>
              <w:spacing w:after="0"/>
              <w:rPr>
                <w:sz w:val="20"/>
                <w:szCs w:val="20"/>
                <w:color w:val="auto"/>
              </w:rPr>
            </w:pPr>
            <w:r>
              <w:rPr>
                <w:rFonts w:ascii="Times New Roman" w:cs="Times New Roman" w:eastAsia="Times New Roman" w:hAnsi="Times New Roman"/>
                <w:sz w:val="21"/>
                <w:szCs w:val="21"/>
                <w:b w:val="1"/>
                <w:bCs w:val="1"/>
                <w:color w:val="0000FF"/>
                <w:w w:val="88"/>
              </w:rPr>
              <w:t>126</w:t>
            </w:r>
          </w:p>
        </w:tc>
        <w:tc>
          <w:tcPr>
            <w:tcW w:w="6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80" w:type="dxa"/>
            <w:vAlign w:val="bottom"/>
            <w:vMerge w:val="restart"/>
          </w:tcPr>
          <w:p>
            <w:pPr>
              <w:spacing w:after="0"/>
              <w:rPr>
                <w:sz w:val="3"/>
                <w:szCs w:val="3"/>
                <w:color w:val="auto"/>
              </w:rPr>
            </w:pPr>
          </w:p>
        </w:tc>
        <w:tc>
          <w:tcPr>
            <w:tcW w:w="80" w:type="dxa"/>
            <w:vAlign w:val="bottom"/>
            <w:vMerge w:val="restart"/>
          </w:tcPr>
          <w:p>
            <w:pPr>
              <w:spacing w:after="0"/>
              <w:rPr>
                <w:sz w:val="3"/>
                <w:szCs w:val="3"/>
                <w:color w:val="auto"/>
              </w:rPr>
            </w:pPr>
          </w:p>
        </w:tc>
        <w:tc>
          <w:tcPr>
            <w:tcW w:w="140" w:type="dxa"/>
            <w:vAlign w:val="bottom"/>
            <w:vMerge w:val="restart"/>
          </w:tcPr>
          <w:p>
            <w:pPr>
              <w:spacing w:after="0"/>
              <w:rPr>
                <w:sz w:val="3"/>
                <w:szCs w:val="3"/>
                <w:color w:val="auto"/>
              </w:rPr>
            </w:pPr>
          </w:p>
        </w:tc>
        <w:tc>
          <w:tcPr>
            <w:tcW w:w="12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7"/>
        </w:trPr>
        <w:tc>
          <w:tcPr>
            <w:tcW w:w="1180" w:type="dxa"/>
            <w:vAlign w:val="bottom"/>
            <w:vMerge w:val="continue"/>
          </w:tcPr>
          <w:p>
            <w:pPr>
              <w:spacing w:after="0"/>
              <w:rPr>
                <w:sz w:val="17"/>
                <w:szCs w:val="17"/>
                <w:color w:val="auto"/>
              </w:rPr>
            </w:pPr>
          </w:p>
        </w:tc>
        <w:tc>
          <w:tcPr>
            <w:tcW w:w="2140" w:type="dxa"/>
            <w:vAlign w:val="bottom"/>
            <w:gridSpan w:val="15"/>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340" w:type="dxa"/>
            <w:vAlign w:val="bottom"/>
            <w:gridSpan w:val="6"/>
            <w:vMerge w:val="continue"/>
          </w:tcPr>
          <w:p>
            <w:pPr>
              <w:spacing w:after="0"/>
              <w:rPr>
                <w:sz w:val="17"/>
                <w:szCs w:val="17"/>
                <w:color w:val="auto"/>
              </w:rPr>
            </w:pPr>
          </w:p>
        </w:tc>
        <w:tc>
          <w:tcPr>
            <w:tcW w:w="320" w:type="dxa"/>
            <w:vAlign w:val="bottom"/>
            <w:tcBorders>
              <w:bottom w:val="single" w:sz="8" w:color="0000FF"/>
            </w:tcBorders>
            <w:gridSpan w:val="5"/>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1180" w:type="dxa"/>
            <w:vAlign w:val="bottom"/>
          </w:tcPr>
          <w:p>
            <w:pPr>
              <w:spacing w:after="0" w:line="232" w:lineRule="exact"/>
              <w:rPr>
                <w:sz w:val="20"/>
                <w:szCs w:val="20"/>
                <w:color w:val="auto"/>
              </w:rPr>
            </w:pPr>
            <w:r>
              <w:rPr>
                <w:rFonts w:ascii="Times New Roman" w:cs="Times New Roman" w:eastAsia="Times New Roman" w:hAnsi="Times New Roman"/>
                <w:sz w:val="21"/>
                <w:szCs w:val="21"/>
                <w:color w:val="auto"/>
              </w:rPr>
              <w:t>Section 6.08</w:t>
            </w:r>
          </w:p>
        </w:tc>
        <w:tc>
          <w:tcPr>
            <w:tcW w:w="1980" w:type="dxa"/>
            <w:vAlign w:val="bottom"/>
            <w:gridSpan w:val="13"/>
          </w:tcPr>
          <w:p>
            <w:pPr>
              <w:ind w:left="120"/>
              <w:spacing w:after="0" w:line="232" w:lineRule="exact"/>
              <w:rPr>
                <w:sz w:val="20"/>
                <w:szCs w:val="20"/>
                <w:color w:val="auto"/>
              </w:rPr>
            </w:pPr>
            <w:r>
              <w:rPr>
                <w:rFonts w:ascii="Times New Roman" w:cs="Times New Roman" w:eastAsia="Times New Roman" w:hAnsi="Times New Roman"/>
                <w:sz w:val="21"/>
                <w:szCs w:val="21"/>
                <w:color w:val="auto"/>
              </w:rPr>
              <w:t>Books and Records</w:t>
            </w:r>
          </w:p>
        </w:tc>
        <w:tc>
          <w:tcPr>
            <w:tcW w:w="360" w:type="dxa"/>
            <w:vAlign w:val="bottom"/>
            <w:gridSpan w:val="7"/>
          </w:tcPr>
          <w:p>
            <w:pPr>
              <w:spacing w:after="0" w:line="232" w:lineRule="exact"/>
              <w:rPr>
                <w:sz w:val="20"/>
                <w:szCs w:val="20"/>
                <w:color w:val="auto"/>
              </w:rPr>
            </w:pPr>
            <w:r>
              <w:rPr>
                <w:rFonts w:ascii="Times New Roman" w:cs="Times New Roman" w:eastAsia="Times New Roman" w:hAnsi="Times New Roman"/>
                <w:sz w:val="21"/>
                <w:szCs w:val="21"/>
                <w:b w:val="1"/>
                <w:bCs w:val="1"/>
                <w:color w:val="FF0000"/>
                <w:strike w:val="1"/>
              </w:rPr>
              <w:t>125</w:t>
            </w:r>
          </w:p>
        </w:tc>
        <w:tc>
          <w:tcPr>
            <w:tcW w:w="360" w:type="dxa"/>
            <w:vAlign w:val="bottom"/>
            <w:tcBorders>
              <w:bottom w:val="single" w:sz="8" w:color="0000FF"/>
            </w:tcBorders>
            <w:gridSpan w:val="6"/>
          </w:tcPr>
          <w:p>
            <w:pPr>
              <w:jc w:val="right"/>
              <w:spacing w:after="0" w:line="232" w:lineRule="exact"/>
              <w:rPr>
                <w:sz w:val="20"/>
                <w:szCs w:val="20"/>
                <w:color w:val="auto"/>
              </w:rPr>
            </w:pPr>
            <w:r>
              <w:rPr>
                <w:rFonts w:ascii="Times New Roman" w:cs="Times New Roman" w:eastAsia="Times New Roman" w:hAnsi="Times New Roman"/>
                <w:sz w:val="21"/>
                <w:szCs w:val="21"/>
                <w:b w:val="1"/>
                <w:bCs w:val="1"/>
                <w:color w:val="0000FF"/>
                <w:w w:val="82"/>
              </w:rPr>
              <w:t>127</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180" w:type="dxa"/>
            <w:vAlign w:val="bottom"/>
          </w:tcPr>
          <w:p>
            <w:pPr>
              <w:spacing w:after="0" w:line="232" w:lineRule="exact"/>
              <w:rPr>
                <w:sz w:val="20"/>
                <w:szCs w:val="20"/>
                <w:color w:val="auto"/>
              </w:rPr>
            </w:pPr>
            <w:r>
              <w:rPr>
                <w:rFonts w:ascii="Times New Roman" w:cs="Times New Roman" w:eastAsia="Times New Roman" w:hAnsi="Times New Roman"/>
                <w:sz w:val="21"/>
                <w:szCs w:val="21"/>
                <w:color w:val="auto"/>
              </w:rPr>
              <w:t>Section 6.09</w:t>
            </w:r>
          </w:p>
        </w:tc>
        <w:tc>
          <w:tcPr>
            <w:tcW w:w="1720" w:type="dxa"/>
            <w:vAlign w:val="bottom"/>
            <w:gridSpan w:val="9"/>
          </w:tcPr>
          <w:p>
            <w:pPr>
              <w:ind w:left="120"/>
              <w:spacing w:after="0" w:line="232" w:lineRule="exact"/>
              <w:rPr>
                <w:sz w:val="20"/>
                <w:szCs w:val="20"/>
                <w:color w:val="auto"/>
              </w:rPr>
            </w:pPr>
            <w:r>
              <w:rPr>
                <w:rFonts w:ascii="Times New Roman" w:cs="Times New Roman" w:eastAsia="Times New Roman" w:hAnsi="Times New Roman"/>
                <w:sz w:val="21"/>
                <w:szCs w:val="21"/>
                <w:color w:val="auto"/>
              </w:rPr>
              <w:t>Inspection Rights</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gridSpan w:val="4"/>
          </w:tcPr>
          <w:p>
            <w:pPr>
              <w:jc w:val="right"/>
              <w:spacing w:after="0" w:line="232" w:lineRule="exact"/>
              <w:rPr>
                <w:sz w:val="20"/>
                <w:szCs w:val="20"/>
                <w:color w:val="auto"/>
              </w:rPr>
            </w:pPr>
            <w:r>
              <w:rPr>
                <w:rFonts w:ascii="Times New Roman" w:cs="Times New Roman" w:eastAsia="Times New Roman" w:hAnsi="Times New Roman"/>
                <w:sz w:val="21"/>
                <w:szCs w:val="21"/>
                <w:b w:val="1"/>
                <w:bCs w:val="1"/>
                <w:color w:val="FF0000"/>
                <w:strike w:val="1"/>
              </w:rPr>
              <w:t>125</w:t>
            </w:r>
          </w:p>
        </w:tc>
        <w:tc>
          <w:tcPr>
            <w:tcW w:w="320" w:type="dxa"/>
            <w:vAlign w:val="bottom"/>
            <w:tcBorders>
              <w:bottom w:val="single" w:sz="8" w:color="0000FF"/>
            </w:tcBorders>
            <w:gridSpan w:val="6"/>
          </w:tcPr>
          <w:p>
            <w:pPr>
              <w:spacing w:after="0" w:line="232" w:lineRule="exact"/>
              <w:rPr>
                <w:sz w:val="20"/>
                <w:szCs w:val="20"/>
                <w:color w:val="auto"/>
              </w:rPr>
            </w:pPr>
            <w:r>
              <w:rPr>
                <w:rFonts w:ascii="Times New Roman" w:cs="Times New Roman" w:eastAsia="Times New Roman" w:hAnsi="Times New Roman"/>
                <w:sz w:val="21"/>
                <w:szCs w:val="21"/>
                <w:b w:val="1"/>
                <w:bCs w:val="1"/>
                <w:color w:val="0000FF"/>
                <w:w w:val="88"/>
              </w:rPr>
              <w:t>127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1180" w:type="dxa"/>
            <w:vAlign w:val="bottom"/>
          </w:tcPr>
          <w:p>
            <w:pPr>
              <w:spacing w:after="0"/>
              <w:rPr>
                <w:sz w:val="20"/>
                <w:szCs w:val="20"/>
                <w:color w:val="auto"/>
              </w:rPr>
            </w:pPr>
            <w:r>
              <w:rPr>
                <w:rFonts w:ascii="Times New Roman" w:cs="Times New Roman" w:eastAsia="Times New Roman" w:hAnsi="Times New Roman"/>
                <w:sz w:val="21"/>
                <w:szCs w:val="21"/>
                <w:color w:val="auto"/>
              </w:rPr>
              <w:t>Section 6.10</w:t>
            </w:r>
          </w:p>
        </w:tc>
        <w:tc>
          <w:tcPr>
            <w:tcW w:w="1720" w:type="dxa"/>
            <w:vAlign w:val="bottom"/>
            <w:gridSpan w:val="9"/>
          </w:tcPr>
          <w:p>
            <w:pPr>
              <w:ind w:left="120"/>
              <w:spacing w:after="0"/>
              <w:rPr>
                <w:sz w:val="20"/>
                <w:szCs w:val="20"/>
                <w:color w:val="auto"/>
              </w:rPr>
            </w:pPr>
            <w:r>
              <w:rPr>
                <w:rFonts w:ascii="Times New Roman" w:cs="Times New Roman" w:eastAsia="Times New Roman" w:hAnsi="Times New Roman"/>
                <w:sz w:val="21"/>
                <w:szCs w:val="21"/>
                <w:color w:val="auto"/>
              </w:rPr>
              <w:t>Use of Proceeds</w:t>
            </w:r>
          </w:p>
        </w:tc>
        <w:tc>
          <w:tcPr>
            <w:tcW w:w="380" w:type="dxa"/>
            <w:vAlign w:val="bottom"/>
            <w:gridSpan w:val="5"/>
          </w:tcPr>
          <w:p>
            <w:pPr>
              <w:jc w:val="right"/>
              <w:spacing w:after="0"/>
              <w:rPr>
                <w:sz w:val="20"/>
                <w:szCs w:val="20"/>
                <w:color w:val="auto"/>
              </w:rPr>
            </w:pPr>
            <w:r>
              <w:rPr>
                <w:rFonts w:ascii="Times New Roman" w:cs="Times New Roman" w:eastAsia="Times New Roman" w:hAnsi="Times New Roman"/>
                <w:sz w:val="21"/>
                <w:szCs w:val="21"/>
                <w:b w:val="1"/>
                <w:bCs w:val="1"/>
                <w:color w:val="FF0000"/>
                <w:strike w:val="1"/>
                <w:w w:val="88"/>
              </w:rPr>
              <w:t>125</w:t>
            </w:r>
          </w:p>
        </w:tc>
        <w:tc>
          <w:tcPr>
            <w:tcW w:w="360" w:type="dxa"/>
            <w:vAlign w:val="bottom"/>
            <w:gridSpan w:val="7"/>
          </w:tcPr>
          <w:p>
            <w:pPr>
              <w:jc w:val="right"/>
              <w:ind w:right="14"/>
              <w:spacing w:after="0"/>
              <w:rPr>
                <w:sz w:val="20"/>
                <w:szCs w:val="20"/>
                <w:color w:val="auto"/>
              </w:rPr>
            </w:pPr>
            <w:r>
              <w:rPr>
                <w:rFonts w:ascii="Times New Roman" w:cs="Times New Roman" w:eastAsia="Times New Roman" w:hAnsi="Times New Roman"/>
                <w:sz w:val="20"/>
                <w:szCs w:val="20"/>
                <w:b w:val="1"/>
                <w:bCs w:val="1"/>
                <w:color w:val="0000FF"/>
                <w:w w:val="73"/>
              </w:rPr>
              <w:t>127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80" w:type="dxa"/>
            <w:vAlign w:val="bottom"/>
            <w:tcBorders>
              <w:right w:val="single" w:sz="8" w:color="0000FF"/>
            </w:tcBorders>
            <w:gridSpan w:val="15"/>
          </w:tcPr>
          <w:p>
            <w:pPr>
              <w:spacing w:after="0" w:line="20" w:lineRule="exact"/>
              <w:rPr>
                <w:sz w:val="1"/>
                <w:szCs w:val="1"/>
                <w:color w:val="auto"/>
              </w:rPr>
            </w:pPr>
          </w:p>
        </w:tc>
        <w:tc>
          <w:tcPr>
            <w:tcW w:w="240" w:type="dxa"/>
            <w:vAlign w:val="bottom"/>
            <w:tcBorders>
              <w:right w:val="single" w:sz="8" w:color="0000FF"/>
            </w:tcBorders>
            <w:gridSpan w:val="6"/>
            <w:shd w:val="clear" w:color="auto" w:fill="0000FF"/>
          </w:tcPr>
          <w:p>
            <w:pPr>
              <w:spacing w:after="0" w:line="20" w:lineRule="exact"/>
              <w:rPr>
                <w:sz w:val="1"/>
                <w:szCs w:val="1"/>
                <w:color w:val="auto"/>
              </w:rPr>
            </w:pPr>
          </w:p>
        </w:tc>
        <w:tc>
          <w:tcPr>
            <w:tcW w:w="3680" w:type="dxa"/>
            <w:vAlign w:val="bottom"/>
            <w:gridSpan w:val="4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180" w:type="dxa"/>
            <w:vAlign w:val="bottom"/>
          </w:tcPr>
          <w:p>
            <w:pPr>
              <w:spacing w:after="0" w:line="232" w:lineRule="exact"/>
              <w:rPr>
                <w:sz w:val="20"/>
                <w:szCs w:val="20"/>
                <w:color w:val="auto"/>
              </w:rPr>
            </w:pPr>
            <w:r>
              <w:rPr>
                <w:rFonts w:ascii="Times New Roman" w:cs="Times New Roman" w:eastAsia="Times New Roman" w:hAnsi="Times New Roman"/>
                <w:sz w:val="21"/>
                <w:szCs w:val="21"/>
                <w:color w:val="auto"/>
              </w:rPr>
              <w:t>Section 6.11</w:t>
            </w:r>
          </w:p>
        </w:tc>
        <w:tc>
          <w:tcPr>
            <w:tcW w:w="4880" w:type="dxa"/>
            <w:vAlign w:val="bottom"/>
            <w:gridSpan w:val="50"/>
          </w:tcPr>
          <w:p>
            <w:pPr>
              <w:ind w:left="100"/>
              <w:spacing w:after="0" w:line="232" w:lineRule="exact"/>
              <w:rPr>
                <w:sz w:val="20"/>
                <w:szCs w:val="20"/>
                <w:color w:val="auto"/>
              </w:rPr>
            </w:pPr>
            <w:r>
              <w:rPr>
                <w:rFonts w:ascii="Times New Roman" w:cs="Times New Roman" w:eastAsia="Times New Roman" w:hAnsi="Times New Roman"/>
                <w:sz w:val="21"/>
                <w:szCs w:val="21"/>
                <w:color w:val="auto"/>
              </w:rPr>
              <w:t>Covenant to Guarantee Obligations and Give Security</w:t>
            </w:r>
          </w:p>
        </w:tc>
        <w:tc>
          <w:tcPr>
            <w:tcW w:w="340" w:type="dxa"/>
            <w:vAlign w:val="bottom"/>
            <w:gridSpan w:val="4"/>
          </w:tcPr>
          <w:p>
            <w:pPr>
              <w:jc w:val="right"/>
              <w:spacing w:after="0" w:line="232" w:lineRule="exact"/>
              <w:rPr>
                <w:sz w:val="20"/>
                <w:szCs w:val="20"/>
                <w:color w:val="auto"/>
              </w:rPr>
            </w:pPr>
            <w:r>
              <w:rPr>
                <w:rFonts w:ascii="Times New Roman" w:cs="Times New Roman" w:eastAsia="Times New Roman" w:hAnsi="Times New Roman"/>
                <w:sz w:val="21"/>
                <w:szCs w:val="21"/>
                <w:b w:val="1"/>
                <w:bCs w:val="1"/>
                <w:color w:val="FF0000"/>
                <w:strike w:val="1"/>
              </w:rPr>
              <w:t>125</w:t>
            </w:r>
          </w:p>
        </w:tc>
        <w:tc>
          <w:tcPr>
            <w:tcW w:w="320" w:type="dxa"/>
            <w:vAlign w:val="bottom"/>
            <w:tcBorders>
              <w:bottom w:val="single" w:sz="8" w:color="0000FF"/>
            </w:tcBorders>
            <w:gridSpan w:val="5"/>
          </w:tcPr>
          <w:p>
            <w:pPr>
              <w:jc w:val="right"/>
              <w:spacing w:after="0" w:line="232" w:lineRule="exact"/>
              <w:rPr>
                <w:sz w:val="20"/>
                <w:szCs w:val="20"/>
                <w:color w:val="auto"/>
              </w:rPr>
            </w:pPr>
            <w:r>
              <w:rPr>
                <w:rFonts w:ascii="Times New Roman" w:cs="Times New Roman" w:eastAsia="Times New Roman" w:hAnsi="Times New Roman"/>
                <w:sz w:val="21"/>
                <w:szCs w:val="21"/>
                <w:b w:val="1"/>
                <w:bCs w:val="1"/>
                <w:color w:val="0000FF"/>
                <w:w w:val="95"/>
              </w:rPr>
              <w:t>127</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180" w:type="dxa"/>
            <w:vAlign w:val="bottom"/>
          </w:tcPr>
          <w:p>
            <w:pPr>
              <w:spacing w:after="0" w:line="232" w:lineRule="exact"/>
              <w:rPr>
                <w:sz w:val="20"/>
                <w:szCs w:val="20"/>
                <w:color w:val="auto"/>
              </w:rPr>
            </w:pPr>
            <w:r>
              <w:rPr>
                <w:rFonts w:ascii="Times New Roman" w:cs="Times New Roman" w:eastAsia="Times New Roman" w:hAnsi="Times New Roman"/>
                <w:sz w:val="21"/>
                <w:szCs w:val="21"/>
                <w:color w:val="auto"/>
              </w:rPr>
              <w:t>Section 6.12</w:t>
            </w:r>
          </w:p>
        </w:tc>
        <w:tc>
          <w:tcPr>
            <w:tcW w:w="3460" w:type="dxa"/>
            <w:vAlign w:val="bottom"/>
            <w:gridSpan w:val="37"/>
          </w:tcPr>
          <w:p>
            <w:pPr>
              <w:ind w:left="120"/>
              <w:spacing w:after="0" w:line="232" w:lineRule="exact"/>
              <w:rPr>
                <w:sz w:val="20"/>
                <w:szCs w:val="20"/>
                <w:color w:val="auto"/>
              </w:rPr>
            </w:pPr>
            <w:r>
              <w:rPr>
                <w:rFonts w:ascii="Times New Roman" w:cs="Times New Roman" w:eastAsia="Times New Roman" w:hAnsi="Times New Roman"/>
                <w:sz w:val="21"/>
                <w:szCs w:val="21"/>
                <w:color w:val="auto"/>
              </w:rPr>
              <w:t>Compliance with Environmental Laws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gridSpan w:val="4"/>
          </w:tcPr>
          <w:p>
            <w:pPr>
              <w:jc w:val="right"/>
              <w:spacing w:after="0" w:line="232" w:lineRule="exact"/>
              <w:rPr>
                <w:sz w:val="20"/>
                <w:szCs w:val="20"/>
                <w:color w:val="auto"/>
              </w:rPr>
            </w:pPr>
            <w:r>
              <w:rPr>
                <w:rFonts w:ascii="Times New Roman" w:cs="Times New Roman" w:eastAsia="Times New Roman" w:hAnsi="Times New Roman"/>
                <w:sz w:val="21"/>
                <w:szCs w:val="21"/>
                <w:b w:val="1"/>
                <w:bCs w:val="1"/>
                <w:color w:val="FF0000"/>
                <w:strike w:val="1"/>
                <w:w w:val="95"/>
              </w:rPr>
              <w:t>126</w:t>
            </w:r>
          </w:p>
        </w:tc>
        <w:tc>
          <w:tcPr>
            <w:tcW w:w="420" w:type="dxa"/>
            <w:vAlign w:val="bottom"/>
            <w:gridSpan w:val="4"/>
          </w:tcPr>
          <w:p>
            <w:pPr>
              <w:jc w:val="right"/>
              <w:ind w:right="100"/>
              <w:spacing w:after="0" w:line="232" w:lineRule="exact"/>
              <w:rPr>
                <w:sz w:val="20"/>
                <w:szCs w:val="20"/>
                <w:color w:val="auto"/>
              </w:rPr>
            </w:pPr>
            <w:r>
              <w:rPr>
                <w:rFonts w:ascii="Times New Roman" w:cs="Times New Roman" w:eastAsia="Times New Roman" w:hAnsi="Times New Roman"/>
                <w:sz w:val="21"/>
                <w:szCs w:val="21"/>
                <w:b w:val="1"/>
                <w:bCs w:val="1"/>
                <w:color w:val="0000FF"/>
                <w:w w:val="95"/>
              </w:rPr>
              <w:t>129</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180" w:type="dxa"/>
            <w:vAlign w:val="bottom"/>
          </w:tcPr>
          <w:p>
            <w:pPr>
              <w:spacing w:after="0" w:line="232" w:lineRule="exact"/>
              <w:rPr>
                <w:sz w:val="20"/>
                <w:szCs w:val="20"/>
                <w:color w:val="auto"/>
              </w:rPr>
            </w:pPr>
            <w:r>
              <w:rPr>
                <w:rFonts w:ascii="Times New Roman" w:cs="Times New Roman" w:eastAsia="Times New Roman" w:hAnsi="Times New Roman"/>
                <w:sz w:val="21"/>
                <w:szCs w:val="21"/>
                <w:color w:val="auto"/>
              </w:rPr>
              <w:t>Section 6.13</w:t>
            </w:r>
          </w:p>
        </w:tc>
        <w:tc>
          <w:tcPr>
            <w:tcW w:w="2460" w:type="dxa"/>
            <w:vAlign w:val="bottom"/>
            <w:gridSpan w:val="21"/>
          </w:tcPr>
          <w:p>
            <w:pPr>
              <w:ind w:left="120"/>
              <w:spacing w:after="0" w:line="232" w:lineRule="exact"/>
              <w:rPr>
                <w:sz w:val="20"/>
                <w:szCs w:val="20"/>
                <w:color w:val="auto"/>
              </w:rPr>
            </w:pPr>
            <w:r>
              <w:rPr>
                <w:rFonts w:ascii="Times New Roman" w:cs="Times New Roman" w:eastAsia="Times New Roman" w:hAnsi="Times New Roman"/>
                <w:sz w:val="21"/>
                <w:szCs w:val="21"/>
                <w:color w:val="auto"/>
              </w:rPr>
              <w:t>Environmental Disclosure</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gridSpan w:val="6"/>
          </w:tcPr>
          <w:p>
            <w:pPr>
              <w:jc w:val="right"/>
              <w:spacing w:after="0" w:line="232" w:lineRule="exact"/>
              <w:rPr>
                <w:sz w:val="20"/>
                <w:szCs w:val="20"/>
                <w:color w:val="auto"/>
              </w:rPr>
            </w:pPr>
            <w:r>
              <w:rPr>
                <w:rFonts w:ascii="Times New Roman" w:cs="Times New Roman" w:eastAsia="Times New Roman" w:hAnsi="Times New Roman"/>
                <w:sz w:val="21"/>
                <w:szCs w:val="21"/>
                <w:b w:val="1"/>
                <w:bCs w:val="1"/>
                <w:color w:val="FF0000"/>
                <w:strike w:val="1"/>
                <w:w w:val="88"/>
              </w:rPr>
              <w:t>127</w:t>
            </w:r>
          </w:p>
        </w:tc>
        <w:tc>
          <w:tcPr>
            <w:tcW w:w="460" w:type="dxa"/>
            <w:vAlign w:val="bottom"/>
            <w:gridSpan w:val="6"/>
          </w:tcPr>
          <w:p>
            <w:pPr>
              <w:jc w:val="right"/>
              <w:ind w:right="34"/>
              <w:spacing w:after="0" w:line="232" w:lineRule="exact"/>
              <w:rPr>
                <w:sz w:val="20"/>
                <w:szCs w:val="20"/>
                <w:color w:val="auto"/>
              </w:rPr>
            </w:pPr>
            <w:r>
              <w:rPr>
                <w:rFonts w:ascii="Times New Roman" w:cs="Times New Roman" w:eastAsia="Times New Roman" w:hAnsi="Times New Roman"/>
                <w:sz w:val="21"/>
                <w:szCs w:val="21"/>
                <w:b w:val="1"/>
                <w:bCs w:val="1"/>
                <w:color w:val="0000FF"/>
                <w:w w:val="95"/>
              </w:rPr>
              <w:t>129</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180" w:type="dxa"/>
            <w:vAlign w:val="bottom"/>
          </w:tcPr>
          <w:p>
            <w:pPr>
              <w:spacing w:after="0" w:line="232" w:lineRule="exact"/>
              <w:rPr>
                <w:sz w:val="20"/>
                <w:szCs w:val="20"/>
                <w:color w:val="auto"/>
              </w:rPr>
            </w:pPr>
            <w:r>
              <w:rPr>
                <w:rFonts w:ascii="Times New Roman" w:cs="Times New Roman" w:eastAsia="Times New Roman" w:hAnsi="Times New Roman"/>
                <w:sz w:val="21"/>
                <w:szCs w:val="21"/>
                <w:color w:val="auto"/>
              </w:rPr>
              <w:t>Section 6.14</w:t>
            </w:r>
          </w:p>
        </w:tc>
        <w:tc>
          <w:tcPr>
            <w:tcW w:w="1260" w:type="dxa"/>
            <w:vAlign w:val="bottom"/>
            <w:gridSpan w:val="4"/>
          </w:tcPr>
          <w:p>
            <w:pPr>
              <w:ind w:left="120"/>
              <w:spacing w:after="0" w:line="232" w:lineRule="exact"/>
              <w:rPr>
                <w:sz w:val="20"/>
                <w:szCs w:val="20"/>
                <w:color w:val="auto"/>
              </w:rPr>
            </w:pPr>
            <w:r>
              <w:rPr>
                <w:rFonts w:ascii="Times New Roman" w:cs="Times New Roman" w:eastAsia="Times New Roman" w:hAnsi="Times New Roman"/>
                <w:sz w:val="21"/>
                <w:szCs w:val="21"/>
                <w:color w:val="auto"/>
              </w:rPr>
              <w:t>Lender Calls</w:t>
            </w:r>
          </w:p>
        </w:tc>
        <w:tc>
          <w:tcPr>
            <w:tcW w:w="120" w:type="dxa"/>
            <w:vAlign w:val="bottom"/>
          </w:tcPr>
          <w:p>
            <w:pPr>
              <w:spacing w:after="0"/>
              <w:rPr>
                <w:sz w:val="20"/>
                <w:szCs w:val="20"/>
                <w:color w:val="auto"/>
              </w:rPr>
            </w:pPr>
          </w:p>
        </w:tc>
        <w:tc>
          <w:tcPr>
            <w:tcW w:w="360" w:type="dxa"/>
            <w:vAlign w:val="bottom"/>
            <w:gridSpan w:val="5"/>
          </w:tcPr>
          <w:p>
            <w:pPr>
              <w:jc w:val="right"/>
              <w:spacing w:after="0" w:line="232" w:lineRule="exact"/>
              <w:rPr>
                <w:sz w:val="20"/>
                <w:szCs w:val="20"/>
                <w:color w:val="auto"/>
              </w:rPr>
            </w:pPr>
            <w:r>
              <w:rPr>
                <w:rFonts w:ascii="Times New Roman" w:cs="Times New Roman" w:eastAsia="Times New Roman" w:hAnsi="Times New Roman"/>
                <w:sz w:val="21"/>
                <w:szCs w:val="21"/>
                <w:b w:val="1"/>
                <w:bCs w:val="1"/>
                <w:color w:val="FF0000"/>
                <w:strike w:val="1"/>
              </w:rPr>
              <w:t>128</w:t>
            </w:r>
          </w:p>
        </w:tc>
        <w:tc>
          <w:tcPr>
            <w:tcW w:w="360" w:type="dxa"/>
            <w:vAlign w:val="bottom"/>
            <w:tcBorders>
              <w:bottom w:val="single" w:sz="8" w:color="0000FF"/>
            </w:tcBorders>
            <w:gridSpan w:val="4"/>
          </w:tcPr>
          <w:p>
            <w:pPr>
              <w:jc w:val="right"/>
              <w:spacing w:after="0" w:line="232" w:lineRule="exact"/>
              <w:rPr>
                <w:sz w:val="20"/>
                <w:szCs w:val="20"/>
                <w:color w:val="auto"/>
              </w:rPr>
            </w:pPr>
            <w:r>
              <w:rPr>
                <w:rFonts w:ascii="Times New Roman" w:cs="Times New Roman" w:eastAsia="Times New Roman" w:hAnsi="Times New Roman"/>
                <w:sz w:val="21"/>
                <w:szCs w:val="21"/>
                <w:b w:val="1"/>
                <w:bCs w:val="1"/>
                <w:color w:val="0000FF"/>
                <w:w w:val="95"/>
              </w:rPr>
              <w:t>130</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1180" w:type="dxa"/>
            <w:vAlign w:val="bottom"/>
          </w:tcPr>
          <w:p>
            <w:pPr>
              <w:spacing w:after="0"/>
              <w:rPr>
                <w:sz w:val="20"/>
                <w:szCs w:val="20"/>
                <w:color w:val="auto"/>
              </w:rPr>
            </w:pPr>
            <w:r>
              <w:rPr>
                <w:rFonts w:ascii="Times New Roman" w:cs="Times New Roman" w:eastAsia="Times New Roman" w:hAnsi="Times New Roman"/>
                <w:sz w:val="21"/>
                <w:szCs w:val="21"/>
                <w:color w:val="auto"/>
              </w:rPr>
              <w:t>Section 6.15</w:t>
            </w:r>
          </w:p>
        </w:tc>
        <w:tc>
          <w:tcPr>
            <w:tcW w:w="1980" w:type="dxa"/>
            <w:vAlign w:val="bottom"/>
            <w:gridSpan w:val="13"/>
          </w:tcPr>
          <w:p>
            <w:pPr>
              <w:ind w:left="120"/>
              <w:spacing w:after="0"/>
              <w:rPr>
                <w:sz w:val="20"/>
                <w:szCs w:val="20"/>
                <w:color w:val="auto"/>
              </w:rPr>
            </w:pPr>
            <w:r>
              <w:rPr>
                <w:rFonts w:ascii="Times New Roman" w:cs="Times New Roman" w:eastAsia="Times New Roman" w:hAnsi="Times New Roman"/>
                <w:sz w:val="21"/>
                <w:szCs w:val="21"/>
                <w:color w:val="auto"/>
              </w:rPr>
              <w:t>Further Assurances</w:t>
            </w:r>
          </w:p>
        </w:tc>
        <w:tc>
          <w:tcPr>
            <w:tcW w:w="300" w:type="dxa"/>
            <w:vAlign w:val="bottom"/>
            <w:gridSpan w:val="6"/>
          </w:tcPr>
          <w:p>
            <w:pPr>
              <w:spacing w:after="0"/>
              <w:rPr>
                <w:sz w:val="20"/>
                <w:szCs w:val="20"/>
                <w:color w:val="auto"/>
              </w:rPr>
            </w:pPr>
            <w:r>
              <w:rPr>
                <w:rFonts w:ascii="Times New Roman" w:cs="Times New Roman" w:eastAsia="Times New Roman" w:hAnsi="Times New Roman"/>
                <w:sz w:val="21"/>
                <w:szCs w:val="21"/>
                <w:b w:val="1"/>
                <w:bCs w:val="1"/>
                <w:color w:val="FF0000"/>
                <w:strike w:val="1"/>
                <w:w w:val="88"/>
              </w:rPr>
              <w:t>128</w:t>
            </w:r>
          </w:p>
        </w:tc>
        <w:tc>
          <w:tcPr>
            <w:tcW w:w="340" w:type="dxa"/>
            <w:vAlign w:val="bottom"/>
            <w:gridSpan w:val="6"/>
          </w:tcPr>
          <w:p>
            <w:pPr>
              <w:jc w:val="right"/>
              <w:ind w:right="20"/>
              <w:spacing w:after="0"/>
              <w:rPr>
                <w:sz w:val="20"/>
                <w:szCs w:val="20"/>
                <w:color w:val="auto"/>
              </w:rPr>
            </w:pPr>
            <w:r>
              <w:rPr>
                <w:rFonts w:ascii="Times New Roman" w:cs="Times New Roman" w:eastAsia="Times New Roman" w:hAnsi="Times New Roman"/>
                <w:sz w:val="21"/>
                <w:szCs w:val="21"/>
                <w:b w:val="1"/>
                <w:bCs w:val="1"/>
                <w:color w:val="0000FF"/>
                <w:w w:val="95"/>
              </w:rPr>
              <w:t>130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1180" w:type="dxa"/>
            <w:vAlign w:val="bottom"/>
          </w:tcPr>
          <w:p>
            <w:pPr>
              <w:spacing w:after="0" w:line="232" w:lineRule="exact"/>
              <w:rPr>
                <w:sz w:val="20"/>
                <w:szCs w:val="20"/>
                <w:color w:val="auto"/>
              </w:rPr>
            </w:pPr>
            <w:r>
              <w:rPr>
                <w:rFonts w:ascii="Times New Roman" w:cs="Times New Roman" w:eastAsia="Times New Roman" w:hAnsi="Times New Roman"/>
                <w:sz w:val="21"/>
                <w:szCs w:val="21"/>
                <w:color w:val="auto"/>
              </w:rPr>
              <w:t>Section 6.16</w:t>
            </w:r>
          </w:p>
        </w:tc>
        <w:tc>
          <w:tcPr>
            <w:tcW w:w="1260" w:type="dxa"/>
            <w:vAlign w:val="bottom"/>
            <w:gridSpan w:val="4"/>
          </w:tcPr>
          <w:p>
            <w:pPr>
              <w:ind w:left="120"/>
              <w:spacing w:after="0" w:line="232" w:lineRule="exact"/>
              <w:rPr>
                <w:sz w:val="20"/>
                <w:szCs w:val="20"/>
                <w:color w:val="auto"/>
              </w:rPr>
            </w:pPr>
            <w:r>
              <w:rPr>
                <w:rFonts w:ascii="Times New Roman" w:cs="Times New Roman" w:eastAsia="Times New Roman" w:hAnsi="Times New Roman"/>
                <w:sz w:val="21"/>
                <w:szCs w:val="21"/>
                <w:color w:val="auto"/>
              </w:rPr>
              <w:t>[Reserved]</w:t>
            </w:r>
          </w:p>
        </w:tc>
        <w:tc>
          <w:tcPr>
            <w:tcW w:w="320" w:type="dxa"/>
            <w:vAlign w:val="bottom"/>
            <w:gridSpan w:val="3"/>
          </w:tcPr>
          <w:p>
            <w:pPr>
              <w:jc w:val="right"/>
              <w:spacing w:after="0" w:line="232" w:lineRule="exact"/>
              <w:rPr>
                <w:sz w:val="20"/>
                <w:szCs w:val="20"/>
                <w:color w:val="auto"/>
              </w:rPr>
            </w:pPr>
            <w:r>
              <w:rPr>
                <w:rFonts w:ascii="Times New Roman" w:cs="Times New Roman" w:eastAsia="Times New Roman" w:hAnsi="Times New Roman"/>
                <w:sz w:val="21"/>
                <w:szCs w:val="21"/>
                <w:b w:val="1"/>
                <w:bCs w:val="1"/>
                <w:color w:val="FF0000"/>
                <w:strike w:val="1"/>
                <w:w w:val="95"/>
              </w:rPr>
              <w:t>128</w:t>
            </w:r>
          </w:p>
        </w:tc>
        <w:tc>
          <w:tcPr>
            <w:tcW w:w="320" w:type="dxa"/>
            <w:vAlign w:val="bottom"/>
            <w:tcBorders>
              <w:bottom w:val="single" w:sz="8" w:color="0000FF"/>
            </w:tcBorders>
            <w:gridSpan w:val="5"/>
          </w:tcPr>
          <w:p>
            <w:pPr>
              <w:spacing w:after="0" w:line="232" w:lineRule="exact"/>
              <w:rPr>
                <w:sz w:val="20"/>
                <w:szCs w:val="20"/>
                <w:color w:val="auto"/>
              </w:rPr>
            </w:pPr>
            <w:r>
              <w:rPr>
                <w:rFonts w:ascii="Times New Roman" w:cs="Times New Roman" w:eastAsia="Times New Roman" w:hAnsi="Times New Roman"/>
                <w:sz w:val="21"/>
                <w:szCs w:val="21"/>
                <w:b w:val="1"/>
                <w:bCs w:val="1"/>
                <w:color w:val="0000FF"/>
                <w:w w:val="95"/>
              </w:rPr>
              <w:t>131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gridSpan w:val="5"/>
            <w:vMerge w:val="restart"/>
          </w:tcPr>
          <w:p>
            <w:pPr>
              <w:jc w:val="right"/>
              <w:spacing w:after="0"/>
              <w:rPr>
                <w:sz w:val="20"/>
                <w:szCs w:val="20"/>
                <w:color w:val="auto"/>
              </w:rPr>
            </w:pPr>
            <w:r>
              <w:rPr>
                <w:rFonts w:ascii="Times New Roman" w:cs="Times New Roman" w:eastAsia="Times New Roman" w:hAnsi="Times New Roman"/>
                <w:sz w:val="21"/>
                <w:szCs w:val="21"/>
                <w:b w:val="1"/>
                <w:bCs w:val="1"/>
                <w:color w:val="FF0000"/>
                <w:strike w:val="1"/>
                <w:w w:val="95"/>
              </w:rPr>
              <w:t>128</w:t>
            </w:r>
          </w:p>
        </w:tc>
        <w:tc>
          <w:tcPr>
            <w:tcW w:w="320" w:type="dxa"/>
            <w:vAlign w:val="bottom"/>
            <w:gridSpan w:val="5"/>
            <w:vMerge w:val="restart"/>
          </w:tcPr>
          <w:p>
            <w:pPr>
              <w:spacing w:after="0"/>
              <w:rPr>
                <w:sz w:val="20"/>
                <w:szCs w:val="20"/>
                <w:color w:val="auto"/>
              </w:rPr>
            </w:pPr>
            <w:r>
              <w:rPr>
                <w:rFonts w:ascii="Times New Roman" w:cs="Times New Roman" w:eastAsia="Times New Roman" w:hAnsi="Times New Roman"/>
                <w:sz w:val="21"/>
                <w:szCs w:val="21"/>
                <w:b w:val="1"/>
                <w:bCs w:val="1"/>
                <w:color w:val="0000FF"/>
                <w:w w:val="95"/>
              </w:rPr>
              <w:t>131</w:t>
            </w:r>
          </w:p>
        </w:tc>
        <w:tc>
          <w:tcPr>
            <w:tcW w:w="200" w:type="dxa"/>
            <w:vAlign w:val="bottom"/>
            <w:vMerge w:val="restart"/>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280" w:type="dxa"/>
            <w:vAlign w:val="bottom"/>
            <w:gridSpan w:val="53"/>
          </w:tcPr>
          <w:p>
            <w:pPr>
              <w:spacing w:after="0" w:line="232" w:lineRule="exact"/>
              <w:rPr>
                <w:sz w:val="20"/>
                <w:szCs w:val="20"/>
                <w:color w:val="auto"/>
              </w:rPr>
            </w:pPr>
            <w:r>
              <w:rPr>
                <w:rFonts w:ascii="Times New Roman" w:cs="Times New Roman" w:eastAsia="Times New Roman" w:hAnsi="Times New Roman"/>
                <w:sz w:val="21"/>
                <w:szCs w:val="21"/>
                <w:color w:val="auto"/>
              </w:rPr>
              <w:t>Section 6.17  Designation of Restricted and Unrestricted Subsidiaries.</w:t>
            </w:r>
          </w:p>
        </w:tc>
        <w:tc>
          <w:tcPr>
            <w:tcW w:w="320" w:type="dxa"/>
            <w:vAlign w:val="bottom"/>
            <w:gridSpan w:val="5"/>
            <w:vMerge w:val="continue"/>
          </w:tcPr>
          <w:p>
            <w:pPr>
              <w:spacing w:after="0"/>
              <w:rPr>
                <w:sz w:val="20"/>
                <w:szCs w:val="20"/>
                <w:color w:val="auto"/>
              </w:rPr>
            </w:pPr>
          </w:p>
        </w:tc>
        <w:tc>
          <w:tcPr>
            <w:tcW w:w="320" w:type="dxa"/>
            <w:vAlign w:val="bottom"/>
            <w:tcBorders>
              <w:bottom w:val="single" w:sz="8" w:color="0000FF"/>
            </w:tcBorders>
            <w:gridSpan w:val="5"/>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118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rPr>
              <w:t>Section 7.01</w:t>
            </w: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1"/>
                <w:szCs w:val="21"/>
                <w:color w:val="auto"/>
              </w:rPr>
              <w:t>Liens</w:t>
            </w: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1"/>
                <w:szCs w:val="21"/>
                <w:b w:val="1"/>
                <w:bCs w:val="1"/>
                <w:color w:val="FF0000"/>
                <w:strike w:val="1"/>
                <w:w w:val="95"/>
              </w:rPr>
              <w:t>130</w:t>
            </w:r>
          </w:p>
        </w:tc>
        <w:tc>
          <w:tcPr>
            <w:tcW w:w="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21"/>
                <w:szCs w:val="21"/>
                <w:b w:val="1"/>
                <w:bCs w:val="1"/>
                <w:color w:val="0000FF"/>
                <w:w w:val="95"/>
              </w:rPr>
              <w:t>132</w:t>
            </w:r>
          </w:p>
        </w:tc>
        <w:tc>
          <w:tcPr>
            <w:tcW w:w="160" w:type="dxa"/>
            <w:vAlign w:val="bottom"/>
            <w:gridSpan w:val="2"/>
            <w:vMerge w:val="restart"/>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80" w:type="dxa"/>
            <w:vAlign w:val="bottom"/>
            <w:gridSpan w:val="36"/>
          </w:tcPr>
          <w:p>
            <w:pPr>
              <w:spacing w:after="0"/>
              <w:rPr>
                <w:sz w:val="20"/>
                <w:szCs w:val="20"/>
                <w:color w:val="auto"/>
              </w:rPr>
            </w:pPr>
            <w:r>
              <w:rPr>
                <w:rFonts w:ascii="Times New Roman" w:cs="Times New Roman" w:eastAsia="Times New Roman" w:hAnsi="Times New Roman"/>
                <w:sz w:val="21"/>
                <w:szCs w:val="21"/>
                <w:color w:val="auto"/>
              </w:rPr>
              <w:t>Article 7. Negative Covenants</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21"/>
                <w:szCs w:val="21"/>
                <w:b w:val="1"/>
                <w:bCs w:val="1"/>
                <w:color w:val="FF0000"/>
                <w:strike w:val="1"/>
                <w:w w:val="95"/>
              </w:rPr>
              <w:t>130</w:t>
            </w:r>
          </w:p>
        </w:tc>
        <w:tc>
          <w:tcPr>
            <w:tcW w:w="340" w:type="dxa"/>
            <w:vAlign w:val="bottom"/>
            <w:gridSpan w:val="6"/>
          </w:tcPr>
          <w:p>
            <w:pPr>
              <w:jc w:val="right"/>
              <w:ind w:right="20"/>
              <w:spacing w:after="0"/>
              <w:rPr>
                <w:sz w:val="20"/>
                <w:szCs w:val="20"/>
                <w:color w:val="auto"/>
              </w:rPr>
            </w:pPr>
            <w:r>
              <w:rPr>
                <w:rFonts w:ascii="Times New Roman" w:cs="Times New Roman" w:eastAsia="Times New Roman" w:hAnsi="Times New Roman"/>
                <w:sz w:val="21"/>
                <w:szCs w:val="21"/>
                <w:b w:val="1"/>
                <w:bCs w:val="1"/>
                <w:color w:val="0000FF"/>
                <w:w w:val="95"/>
              </w:rPr>
              <w:t>132</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1180" w:type="dxa"/>
            <w:vAlign w:val="bottom"/>
            <w:vMerge w:val="continue"/>
          </w:tcPr>
          <w:p>
            <w:pPr>
              <w:spacing w:after="0"/>
              <w:rPr>
                <w:sz w:val="24"/>
                <w:szCs w:val="24"/>
                <w:color w:val="auto"/>
              </w:rPr>
            </w:pPr>
          </w:p>
        </w:tc>
        <w:tc>
          <w:tcPr>
            <w:tcW w:w="800" w:type="dxa"/>
            <w:vAlign w:val="bottom"/>
            <w:vMerge w:val="continue"/>
          </w:tcPr>
          <w:p>
            <w:pPr>
              <w:spacing w:after="0"/>
              <w:rPr>
                <w:sz w:val="24"/>
                <w:szCs w:val="24"/>
                <w:color w:val="auto"/>
              </w:rPr>
            </w:pPr>
          </w:p>
        </w:tc>
        <w:tc>
          <w:tcPr>
            <w:tcW w:w="320" w:type="dxa"/>
            <w:vAlign w:val="bottom"/>
            <w:gridSpan w:val="2"/>
            <w:vMerge w:val="continue"/>
          </w:tcPr>
          <w:p>
            <w:pPr>
              <w:spacing w:after="0"/>
              <w:rPr>
                <w:sz w:val="24"/>
                <w:szCs w:val="24"/>
                <w:color w:val="auto"/>
              </w:rPr>
            </w:pPr>
          </w:p>
        </w:tc>
        <w:tc>
          <w:tcPr>
            <w:tcW w:w="320" w:type="dxa"/>
            <w:vAlign w:val="bottom"/>
            <w:tcBorders>
              <w:bottom w:val="single" w:sz="8" w:color="0000FF"/>
            </w:tcBorders>
            <w:gridSpan w:val="3"/>
            <w:vMerge w:val="continue"/>
          </w:tcPr>
          <w:p>
            <w:pPr>
              <w:spacing w:after="0"/>
              <w:rPr>
                <w:sz w:val="24"/>
                <w:szCs w:val="24"/>
                <w:color w:val="auto"/>
              </w:rPr>
            </w:pPr>
          </w:p>
        </w:tc>
        <w:tc>
          <w:tcPr>
            <w:tcW w:w="160" w:type="dxa"/>
            <w:vAlign w:val="bottom"/>
            <w:gridSpan w:val="2"/>
            <w:vMerge w:val="continue"/>
          </w:tcPr>
          <w:p>
            <w:pPr>
              <w:spacing w:after="0"/>
              <w:rPr>
                <w:sz w:val="24"/>
                <w:szCs w:val="24"/>
                <w:color w:val="auto"/>
              </w:rPr>
            </w:pPr>
          </w:p>
        </w:tc>
        <w:tc>
          <w:tcPr>
            <w:tcW w:w="3600" w:type="dxa"/>
            <w:vAlign w:val="bottom"/>
            <w:gridSpan w:val="45"/>
          </w:tcPr>
          <w:p>
            <w:pPr>
              <w:spacing w:after="0"/>
              <w:rPr>
                <w:sz w:val="24"/>
                <w:szCs w:val="24"/>
                <w:color w:val="auto"/>
              </w:rPr>
            </w:pPr>
          </w:p>
        </w:tc>
        <w:tc>
          <w:tcPr>
            <w:tcW w:w="320" w:type="dxa"/>
            <w:vAlign w:val="bottom"/>
            <w:tcBorders>
              <w:top w:val="single" w:sz="8" w:color="0000FF"/>
            </w:tcBorders>
            <w:gridSpan w:val="5"/>
          </w:tcPr>
          <w:p>
            <w:pPr>
              <w:spacing w:after="0"/>
              <w:rPr>
                <w:sz w:val="24"/>
                <w:szCs w:val="24"/>
                <w:color w:val="auto"/>
              </w:rPr>
            </w:pPr>
          </w:p>
        </w:tc>
        <w:tc>
          <w:tcPr>
            <w:tcW w:w="5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180" w:type="dxa"/>
            <w:vAlign w:val="bottom"/>
          </w:tcPr>
          <w:p>
            <w:pPr>
              <w:spacing w:after="0" w:line="232" w:lineRule="exact"/>
              <w:rPr>
                <w:sz w:val="20"/>
                <w:szCs w:val="20"/>
                <w:color w:val="auto"/>
              </w:rPr>
            </w:pPr>
            <w:r>
              <w:rPr>
                <w:rFonts w:ascii="Times New Roman" w:cs="Times New Roman" w:eastAsia="Times New Roman" w:hAnsi="Times New Roman"/>
                <w:sz w:val="21"/>
                <w:szCs w:val="21"/>
                <w:color w:val="auto"/>
              </w:rPr>
              <w:t>Section 7.02</w:t>
            </w:r>
          </w:p>
        </w:tc>
        <w:tc>
          <w:tcPr>
            <w:tcW w:w="1260" w:type="dxa"/>
            <w:vAlign w:val="bottom"/>
            <w:gridSpan w:val="4"/>
          </w:tcPr>
          <w:p>
            <w:pPr>
              <w:ind w:left="120"/>
              <w:spacing w:after="0" w:line="232" w:lineRule="exact"/>
              <w:rPr>
                <w:sz w:val="20"/>
                <w:szCs w:val="20"/>
                <w:color w:val="auto"/>
              </w:rPr>
            </w:pPr>
            <w:r>
              <w:rPr>
                <w:rFonts w:ascii="Times New Roman" w:cs="Times New Roman" w:eastAsia="Times New Roman" w:hAnsi="Times New Roman"/>
                <w:sz w:val="21"/>
                <w:szCs w:val="21"/>
                <w:color w:val="auto"/>
              </w:rPr>
              <w:t>Investments</w:t>
            </w:r>
          </w:p>
        </w:tc>
        <w:tc>
          <w:tcPr>
            <w:tcW w:w="460" w:type="dxa"/>
            <w:vAlign w:val="bottom"/>
            <w:gridSpan w:val="5"/>
          </w:tcPr>
          <w:p>
            <w:pPr>
              <w:jc w:val="right"/>
              <w:spacing w:after="0" w:line="232" w:lineRule="exact"/>
              <w:rPr>
                <w:sz w:val="20"/>
                <w:szCs w:val="20"/>
                <w:color w:val="auto"/>
              </w:rPr>
            </w:pPr>
            <w:r>
              <w:rPr>
                <w:rFonts w:ascii="Times New Roman" w:cs="Times New Roman" w:eastAsia="Times New Roman" w:hAnsi="Times New Roman"/>
                <w:sz w:val="21"/>
                <w:szCs w:val="21"/>
                <w:b w:val="1"/>
                <w:bCs w:val="1"/>
                <w:color w:val="FF0000"/>
                <w:strike w:val="1"/>
              </w:rPr>
              <w:t>134</w:t>
            </w:r>
          </w:p>
        </w:tc>
        <w:tc>
          <w:tcPr>
            <w:tcW w:w="380" w:type="dxa"/>
            <w:vAlign w:val="bottom"/>
            <w:gridSpan w:val="5"/>
          </w:tcPr>
          <w:p>
            <w:pPr>
              <w:jc w:val="right"/>
              <w:ind w:right="14"/>
              <w:spacing w:after="0" w:line="232" w:lineRule="exact"/>
              <w:rPr>
                <w:sz w:val="20"/>
                <w:szCs w:val="20"/>
                <w:color w:val="auto"/>
              </w:rPr>
            </w:pPr>
            <w:r>
              <w:rPr>
                <w:rFonts w:ascii="Times New Roman" w:cs="Times New Roman" w:eastAsia="Times New Roman" w:hAnsi="Times New Roman"/>
                <w:sz w:val="21"/>
                <w:szCs w:val="21"/>
                <w:b w:val="1"/>
                <w:bCs w:val="1"/>
                <w:color w:val="0000FF"/>
                <w:w w:val="76"/>
              </w:rPr>
              <w:t>136</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00" w:type="dxa"/>
            <w:vAlign w:val="bottom"/>
            <w:tcBorders>
              <w:right w:val="single" w:sz="8" w:color="0000FF"/>
            </w:tcBorders>
            <w:gridSpan w:val="10"/>
          </w:tcPr>
          <w:p>
            <w:pPr>
              <w:spacing w:after="0" w:line="20" w:lineRule="exact"/>
              <w:rPr>
                <w:sz w:val="1"/>
                <w:szCs w:val="1"/>
                <w:color w:val="auto"/>
              </w:rPr>
            </w:pPr>
          </w:p>
        </w:tc>
        <w:tc>
          <w:tcPr>
            <w:tcW w:w="260" w:type="dxa"/>
            <w:vAlign w:val="bottom"/>
            <w:tcBorders>
              <w:right w:val="single" w:sz="8" w:color="0000FF"/>
            </w:tcBorders>
            <w:gridSpan w:val="4"/>
            <w:shd w:val="clear" w:color="auto" w:fill="0000FF"/>
          </w:tcPr>
          <w:p>
            <w:pPr>
              <w:spacing w:after="0" w:line="20" w:lineRule="exact"/>
              <w:rPr>
                <w:sz w:val="1"/>
                <w:szCs w:val="1"/>
                <w:color w:val="auto"/>
              </w:rPr>
            </w:pPr>
          </w:p>
        </w:tc>
        <w:tc>
          <w:tcPr>
            <w:tcW w:w="4040" w:type="dxa"/>
            <w:vAlign w:val="bottom"/>
            <w:gridSpan w:val="5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180" w:type="dxa"/>
            <w:vAlign w:val="bottom"/>
          </w:tcPr>
          <w:p>
            <w:pPr>
              <w:spacing w:after="0"/>
              <w:rPr>
                <w:sz w:val="20"/>
                <w:szCs w:val="20"/>
                <w:color w:val="auto"/>
              </w:rPr>
            </w:pPr>
            <w:r>
              <w:rPr>
                <w:rFonts w:ascii="Times New Roman" w:cs="Times New Roman" w:eastAsia="Times New Roman" w:hAnsi="Times New Roman"/>
                <w:sz w:val="21"/>
                <w:szCs w:val="21"/>
                <w:color w:val="auto"/>
              </w:rPr>
              <w:t>Section 7.03</w:t>
            </w:r>
          </w:p>
        </w:tc>
        <w:tc>
          <w:tcPr>
            <w:tcW w:w="1260" w:type="dxa"/>
            <w:vAlign w:val="bottom"/>
            <w:gridSpan w:val="4"/>
          </w:tcPr>
          <w:p>
            <w:pPr>
              <w:ind w:left="120"/>
              <w:spacing w:after="0"/>
              <w:rPr>
                <w:sz w:val="20"/>
                <w:szCs w:val="20"/>
                <w:color w:val="auto"/>
              </w:rPr>
            </w:pPr>
            <w:r>
              <w:rPr>
                <w:rFonts w:ascii="Times New Roman" w:cs="Times New Roman" w:eastAsia="Times New Roman" w:hAnsi="Times New Roman"/>
                <w:sz w:val="21"/>
                <w:szCs w:val="21"/>
                <w:color w:val="auto"/>
              </w:rPr>
              <w:t>Indebtedness</w:t>
            </w:r>
          </w:p>
        </w:tc>
        <w:tc>
          <w:tcPr>
            <w:tcW w:w="120" w:type="dxa"/>
            <w:vAlign w:val="bottom"/>
          </w:tcPr>
          <w:p>
            <w:pPr>
              <w:spacing w:after="0"/>
              <w:rPr>
                <w:sz w:val="21"/>
                <w:szCs w:val="21"/>
                <w:color w:val="auto"/>
              </w:rPr>
            </w:pPr>
          </w:p>
        </w:tc>
        <w:tc>
          <w:tcPr>
            <w:tcW w:w="380" w:type="dxa"/>
            <w:vAlign w:val="bottom"/>
            <w:gridSpan w:val="6"/>
          </w:tcPr>
          <w:p>
            <w:pPr>
              <w:jc w:val="right"/>
              <w:spacing w:after="0"/>
              <w:rPr>
                <w:sz w:val="20"/>
                <w:szCs w:val="20"/>
                <w:color w:val="auto"/>
              </w:rPr>
            </w:pPr>
            <w:r>
              <w:rPr>
                <w:rFonts w:ascii="Times New Roman" w:cs="Times New Roman" w:eastAsia="Times New Roman" w:hAnsi="Times New Roman"/>
                <w:sz w:val="21"/>
                <w:szCs w:val="21"/>
                <w:b w:val="1"/>
                <w:bCs w:val="1"/>
                <w:color w:val="FF0000"/>
                <w:strike w:val="1"/>
              </w:rPr>
              <w:t>137</w:t>
            </w:r>
          </w:p>
        </w:tc>
        <w:tc>
          <w:tcPr>
            <w:tcW w:w="34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21"/>
                <w:szCs w:val="21"/>
                <w:b w:val="1"/>
                <w:bCs w:val="1"/>
                <w:color w:val="0000FF"/>
                <w:w w:val="95"/>
              </w:rPr>
              <w:t>139</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gridSpan w:val="5"/>
            <w:vMerge w:val="restart"/>
          </w:tcPr>
          <w:p>
            <w:pPr>
              <w:jc w:val="right"/>
              <w:spacing w:after="0"/>
              <w:rPr>
                <w:sz w:val="20"/>
                <w:szCs w:val="20"/>
                <w:color w:val="auto"/>
              </w:rPr>
            </w:pPr>
            <w:r>
              <w:rPr>
                <w:rFonts w:ascii="Times New Roman" w:cs="Times New Roman" w:eastAsia="Times New Roman" w:hAnsi="Times New Roman"/>
                <w:sz w:val="21"/>
                <w:szCs w:val="21"/>
                <w:b w:val="1"/>
                <w:bCs w:val="1"/>
                <w:color w:val="FF0000"/>
                <w:strike w:val="1"/>
                <w:w w:val="95"/>
              </w:rPr>
              <w:t>143</w:t>
            </w:r>
          </w:p>
        </w:tc>
        <w:tc>
          <w:tcPr>
            <w:tcW w:w="320" w:type="dxa"/>
            <w:vAlign w:val="bottom"/>
            <w:gridSpan w:val="7"/>
            <w:vMerge w:val="restart"/>
          </w:tcPr>
          <w:p>
            <w:pPr>
              <w:jc w:val="right"/>
              <w:spacing w:after="0"/>
              <w:rPr>
                <w:sz w:val="20"/>
                <w:szCs w:val="20"/>
                <w:color w:val="auto"/>
              </w:rPr>
            </w:pPr>
            <w:r>
              <w:rPr>
                <w:rFonts w:ascii="Times New Roman" w:cs="Times New Roman" w:eastAsia="Times New Roman" w:hAnsi="Times New Roman"/>
                <w:sz w:val="21"/>
                <w:szCs w:val="21"/>
                <w:b w:val="1"/>
                <w:bCs w:val="1"/>
                <w:color w:val="0000FF"/>
                <w:w w:val="95"/>
              </w:rPr>
              <w:t>145</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180" w:type="dxa"/>
            <w:vAlign w:val="bottom"/>
          </w:tcPr>
          <w:p>
            <w:pPr>
              <w:spacing w:after="0" w:line="232" w:lineRule="exact"/>
              <w:rPr>
                <w:sz w:val="20"/>
                <w:szCs w:val="20"/>
                <w:color w:val="auto"/>
              </w:rPr>
            </w:pPr>
            <w:r>
              <w:rPr>
                <w:rFonts w:ascii="Times New Roman" w:cs="Times New Roman" w:eastAsia="Times New Roman" w:hAnsi="Times New Roman"/>
                <w:sz w:val="21"/>
                <w:szCs w:val="21"/>
                <w:color w:val="auto"/>
              </w:rPr>
              <w:t>Section 7.04</w:t>
            </w:r>
          </w:p>
        </w:tc>
        <w:tc>
          <w:tcPr>
            <w:tcW w:w="2140" w:type="dxa"/>
            <w:vAlign w:val="bottom"/>
            <w:gridSpan w:val="15"/>
          </w:tcPr>
          <w:p>
            <w:pPr>
              <w:ind w:left="120"/>
              <w:spacing w:after="0" w:line="232" w:lineRule="exact"/>
              <w:rPr>
                <w:sz w:val="20"/>
                <w:szCs w:val="20"/>
                <w:color w:val="auto"/>
              </w:rPr>
            </w:pPr>
            <w:r>
              <w:rPr>
                <w:rFonts w:ascii="Times New Roman" w:cs="Times New Roman" w:eastAsia="Times New Roman" w:hAnsi="Times New Roman"/>
                <w:sz w:val="21"/>
                <w:szCs w:val="21"/>
                <w:color w:val="auto"/>
              </w:rPr>
              <w:t>Fundamental Changes</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gridSpan w:val="5"/>
            <w:vMerge w:val="continue"/>
          </w:tcPr>
          <w:p>
            <w:pPr>
              <w:spacing w:after="0"/>
              <w:rPr>
                <w:sz w:val="20"/>
                <w:szCs w:val="20"/>
                <w:color w:val="auto"/>
              </w:rPr>
            </w:pPr>
          </w:p>
        </w:tc>
        <w:tc>
          <w:tcPr>
            <w:tcW w:w="320" w:type="dxa"/>
            <w:vAlign w:val="bottom"/>
            <w:tcBorders>
              <w:bottom w:val="single" w:sz="8" w:color="0000FF"/>
            </w:tcBorders>
            <w:gridSpan w:val="7"/>
            <w:vMerge w:val="continue"/>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180" w:type="dxa"/>
            <w:vAlign w:val="bottom"/>
          </w:tcPr>
          <w:p>
            <w:pPr>
              <w:spacing w:after="0" w:line="232" w:lineRule="exact"/>
              <w:rPr>
                <w:sz w:val="20"/>
                <w:szCs w:val="20"/>
                <w:color w:val="auto"/>
              </w:rPr>
            </w:pPr>
            <w:r>
              <w:rPr>
                <w:rFonts w:ascii="Times New Roman" w:cs="Times New Roman" w:eastAsia="Times New Roman" w:hAnsi="Times New Roman"/>
                <w:sz w:val="21"/>
                <w:szCs w:val="21"/>
                <w:color w:val="auto"/>
              </w:rPr>
              <w:t>Section 7.05</w:t>
            </w:r>
          </w:p>
        </w:tc>
        <w:tc>
          <w:tcPr>
            <w:tcW w:w="1260" w:type="dxa"/>
            <w:vAlign w:val="bottom"/>
            <w:gridSpan w:val="4"/>
          </w:tcPr>
          <w:p>
            <w:pPr>
              <w:ind w:left="120"/>
              <w:spacing w:after="0" w:line="232" w:lineRule="exact"/>
              <w:rPr>
                <w:sz w:val="20"/>
                <w:szCs w:val="20"/>
                <w:color w:val="auto"/>
              </w:rPr>
            </w:pPr>
            <w:r>
              <w:rPr>
                <w:rFonts w:ascii="Times New Roman" w:cs="Times New Roman" w:eastAsia="Times New Roman" w:hAnsi="Times New Roman"/>
                <w:sz w:val="21"/>
                <w:szCs w:val="21"/>
                <w:color w:val="auto"/>
              </w:rPr>
              <w:t>Dispositions</w:t>
            </w:r>
          </w:p>
        </w:tc>
        <w:tc>
          <w:tcPr>
            <w:tcW w:w="120" w:type="dxa"/>
            <w:vAlign w:val="bottom"/>
          </w:tcPr>
          <w:p>
            <w:pPr>
              <w:spacing w:after="0"/>
              <w:rPr>
                <w:sz w:val="20"/>
                <w:szCs w:val="20"/>
                <w:color w:val="auto"/>
              </w:rPr>
            </w:pPr>
          </w:p>
        </w:tc>
        <w:tc>
          <w:tcPr>
            <w:tcW w:w="340" w:type="dxa"/>
            <w:vAlign w:val="bottom"/>
            <w:gridSpan w:val="4"/>
          </w:tcPr>
          <w:p>
            <w:pPr>
              <w:jc w:val="right"/>
              <w:spacing w:after="0" w:line="232" w:lineRule="exact"/>
              <w:rPr>
                <w:sz w:val="20"/>
                <w:szCs w:val="20"/>
                <w:color w:val="auto"/>
              </w:rPr>
            </w:pPr>
            <w:r>
              <w:rPr>
                <w:rFonts w:ascii="Times New Roman" w:cs="Times New Roman" w:eastAsia="Times New Roman" w:hAnsi="Times New Roman"/>
                <w:sz w:val="21"/>
                <w:szCs w:val="21"/>
                <w:b w:val="1"/>
                <w:bCs w:val="1"/>
                <w:color w:val="FF0000"/>
                <w:strike w:val="1"/>
                <w:w w:val="95"/>
              </w:rPr>
              <w:t>144</w:t>
            </w:r>
          </w:p>
        </w:tc>
        <w:tc>
          <w:tcPr>
            <w:tcW w:w="380" w:type="dxa"/>
            <w:vAlign w:val="bottom"/>
            <w:tcBorders>
              <w:bottom w:val="single" w:sz="8" w:color="0000FF"/>
            </w:tcBorders>
            <w:gridSpan w:val="5"/>
          </w:tcPr>
          <w:p>
            <w:pPr>
              <w:jc w:val="right"/>
              <w:spacing w:after="0" w:line="232" w:lineRule="exact"/>
              <w:rPr>
                <w:sz w:val="20"/>
                <w:szCs w:val="20"/>
                <w:color w:val="auto"/>
              </w:rPr>
            </w:pPr>
            <w:r>
              <w:rPr>
                <w:rFonts w:ascii="Times New Roman" w:cs="Times New Roman" w:eastAsia="Times New Roman" w:hAnsi="Times New Roman"/>
                <w:sz w:val="21"/>
                <w:szCs w:val="21"/>
                <w:b w:val="1"/>
                <w:bCs w:val="1"/>
                <w:color w:val="0000FF"/>
                <w:w w:val="88"/>
              </w:rPr>
              <w:t>146</w:t>
            </w:r>
          </w:p>
        </w:tc>
        <w:tc>
          <w:tcPr>
            <w:tcW w:w="360" w:type="dxa"/>
            <w:vAlign w:val="bottom"/>
            <w:gridSpan w:val="7"/>
            <w:vMerge w:val="restart"/>
          </w:tcPr>
          <w:p>
            <w:pPr>
              <w:jc w:val="right"/>
              <w:spacing w:after="0"/>
              <w:rPr>
                <w:sz w:val="20"/>
                <w:szCs w:val="20"/>
                <w:color w:val="auto"/>
              </w:rPr>
            </w:pPr>
            <w:r>
              <w:rPr>
                <w:rFonts w:ascii="Times New Roman" w:cs="Times New Roman" w:eastAsia="Times New Roman" w:hAnsi="Times New Roman"/>
                <w:sz w:val="21"/>
                <w:szCs w:val="21"/>
                <w:b w:val="1"/>
                <w:bCs w:val="1"/>
                <w:color w:val="FF0000"/>
                <w:strike w:val="1"/>
                <w:w w:val="82"/>
              </w:rPr>
              <w:t>147</w:t>
            </w:r>
          </w:p>
        </w:tc>
        <w:tc>
          <w:tcPr>
            <w:tcW w:w="240" w:type="dxa"/>
            <w:vAlign w:val="bottom"/>
            <w:gridSpan w:val="5"/>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0000FF"/>
                <w:w w:val="73"/>
              </w:rPr>
              <w:t>149</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180" w:type="dxa"/>
            <w:vAlign w:val="bottom"/>
          </w:tcPr>
          <w:p>
            <w:pPr>
              <w:spacing w:after="0" w:line="232" w:lineRule="exact"/>
              <w:rPr>
                <w:sz w:val="20"/>
                <w:szCs w:val="20"/>
                <w:color w:val="auto"/>
              </w:rPr>
            </w:pPr>
            <w:r>
              <w:rPr>
                <w:rFonts w:ascii="Times New Roman" w:cs="Times New Roman" w:eastAsia="Times New Roman" w:hAnsi="Times New Roman"/>
                <w:sz w:val="21"/>
                <w:szCs w:val="21"/>
                <w:color w:val="auto"/>
              </w:rPr>
              <w:t>Section 7.06</w:t>
            </w:r>
          </w:p>
        </w:tc>
        <w:tc>
          <w:tcPr>
            <w:tcW w:w="1980" w:type="dxa"/>
            <w:vAlign w:val="bottom"/>
            <w:gridSpan w:val="13"/>
          </w:tcPr>
          <w:p>
            <w:pPr>
              <w:ind w:left="120"/>
              <w:spacing w:after="0" w:line="232" w:lineRule="exact"/>
              <w:rPr>
                <w:sz w:val="20"/>
                <w:szCs w:val="20"/>
                <w:color w:val="auto"/>
              </w:rPr>
            </w:pPr>
            <w:r>
              <w:rPr>
                <w:rFonts w:ascii="Times New Roman" w:cs="Times New Roman" w:eastAsia="Times New Roman" w:hAnsi="Times New Roman"/>
                <w:sz w:val="21"/>
                <w:szCs w:val="21"/>
                <w:color w:val="auto"/>
              </w:rPr>
              <w:t>Restricted Payments</w:t>
            </w:r>
          </w:p>
        </w:tc>
        <w:tc>
          <w:tcPr>
            <w:tcW w:w="120" w:type="dxa"/>
            <w:vAlign w:val="bottom"/>
          </w:tcPr>
          <w:p>
            <w:pPr>
              <w:spacing w:after="0"/>
              <w:rPr>
                <w:sz w:val="20"/>
                <w:szCs w:val="20"/>
                <w:color w:val="auto"/>
              </w:rPr>
            </w:pPr>
          </w:p>
        </w:tc>
        <w:tc>
          <w:tcPr>
            <w:tcW w:w="360" w:type="dxa"/>
            <w:vAlign w:val="bottom"/>
            <w:gridSpan w:val="7"/>
            <w:vMerge w:val="continue"/>
          </w:tcPr>
          <w:p>
            <w:pPr>
              <w:spacing w:after="0"/>
              <w:rPr>
                <w:sz w:val="20"/>
                <w:szCs w:val="20"/>
                <w:color w:val="auto"/>
              </w:rPr>
            </w:pPr>
          </w:p>
        </w:tc>
        <w:tc>
          <w:tcPr>
            <w:tcW w:w="240" w:type="dxa"/>
            <w:vAlign w:val="bottom"/>
            <w:gridSpan w:val="5"/>
            <w:vMerge w:val="continue"/>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gridSpan w:val="5"/>
            <w:vMerge w:val="restart"/>
          </w:tcPr>
          <w:p>
            <w:pPr>
              <w:jc w:val="right"/>
              <w:spacing w:after="0"/>
              <w:rPr>
                <w:sz w:val="20"/>
                <w:szCs w:val="20"/>
                <w:color w:val="auto"/>
              </w:rPr>
            </w:pPr>
            <w:r>
              <w:rPr>
                <w:rFonts w:ascii="Times New Roman" w:cs="Times New Roman" w:eastAsia="Times New Roman" w:hAnsi="Times New Roman"/>
                <w:sz w:val="21"/>
                <w:szCs w:val="21"/>
                <w:b w:val="1"/>
                <w:bCs w:val="1"/>
                <w:color w:val="FF0000"/>
                <w:strike w:val="1"/>
                <w:w w:val="95"/>
              </w:rPr>
              <w:t>150</w:t>
            </w:r>
          </w:p>
        </w:tc>
        <w:tc>
          <w:tcPr>
            <w:tcW w:w="420" w:type="dxa"/>
            <w:vAlign w:val="bottom"/>
            <w:gridSpan w:val="5"/>
            <w:vMerge w:val="restart"/>
          </w:tcPr>
          <w:p>
            <w:pPr>
              <w:jc w:val="right"/>
              <w:spacing w:after="0"/>
              <w:rPr>
                <w:sz w:val="20"/>
                <w:szCs w:val="20"/>
                <w:color w:val="auto"/>
              </w:rPr>
            </w:pPr>
            <w:r>
              <w:rPr>
                <w:rFonts w:ascii="Times New Roman" w:cs="Times New Roman" w:eastAsia="Times New Roman" w:hAnsi="Times New Roman"/>
                <w:sz w:val="21"/>
                <w:szCs w:val="21"/>
                <w:b w:val="1"/>
                <w:bCs w:val="1"/>
                <w:color w:val="0000FF"/>
                <w:w w:val="95"/>
              </w:rPr>
              <w:t>152</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24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5"/>
            <w:vMerge w:val="continue"/>
          </w:tcPr>
          <w:p>
            <w:pPr>
              <w:spacing w:after="0" w:line="20" w:lineRule="exact"/>
              <w:rPr>
                <w:sz w:val="1"/>
                <w:szCs w:val="1"/>
                <w:color w:val="auto"/>
              </w:rPr>
            </w:pPr>
          </w:p>
        </w:tc>
        <w:tc>
          <w:tcPr>
            <w:tcW w:w="420" w:type="dxa"/>
            <w:vAlign w:val="bottom"/>
            <w:gridSpan w:val="5"/>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180" w:type="dxa"/>
            <w:vAlign w:val="bottom"/>
          </w:tcPr>
          <w:p>
            <w:pPr>
              <w:spacing w:after="0" w:line="232" w:lineRule="exact"/>
              <w:rPr>
                <w:sz w:val="20"/>
                <w:szCs w:val="20"/>
                <w:color w:val="auto"/>
              </w:rPr>
            </w:pPr>
            <w:r>
              <w:rPr>
                <w:rFonts w:ascii="Times New Roman" w:cs="Times New Roman" w:eastAsia="Times New Roman" w:hAnsi="Times New Roman"/>
                <w:sz w:val="21"/>
                <w:szCs w:val="21"/>
                <w:color w:val="auto"/>
              </w:rPr>
              <w:t>Section 7.07</w:t>
            </w:r>
          </w:p>
        </w:tc>
        <w:tc>
          <w:tcPr>
            <w:tcW w:w="2700" w:type="dxa"/>
            <w:vAlign w:val="bottom"/>
            <w:gridSpan w:val="26"/>
          </w:tcPr>
          <w:p>
            <w:pPr>
              <w:ind w:left="120"/>
              <w:spacing w:after="0" w:line="232" w:lineRule="exact"/>
              <w:rPr>
                <w:sz w:val="20"/>
                <w:szCs w:val="20"/>
                <w:color w:val="auto"/>
              </w:rPr>
            </w:pPr>
            <w:r>
              <w:rPr>
                <w:rFonts w:ascii="Times New Roman" w:cs="Times New Roman" w:eastAsia="Times New Roman" w:hAnsi="Times New Roman"/>
                <w:sz w:val="21"/>
                <w:szCs w:val="21"/>
                <w:color w:val="auto"/>
              </w:rPr>
              <w:t>Change in Nature of Business</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gridSpan w:val="5"/>
            <w:vMerge w:val="continue"/>
          </w:tcPr>
          <w:p>
            <w:pPr>
              <w:spacing w:after="0"/>
              <w:rPr>
                <w:sz w:val="20"/>
                <w:szCs w:val="20"/>
                <w:color w:val="auto"/>
              </w:rPr>
            </w:pPr>
          </w:p>
        </w:tc>
        <w:tc>
          <w:tcPr>
            <w:tcW w:w="420" w:type="dxa"/>
            <w:vAlign w:val="bottom"/>
            <w:gridSpan w:val="5"/>
            <w:vMerge w:val="continue"/>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180" w:type="dxa"/>
            <w:vAlign w:val="bottom"/>
          </w:tcPr>
          <w:p>
            <w:pPr>
              <w:spacing w:after="0"/>
              <w:rPr>
                <w:sz w:val="20"/>
                <w:szCs w:val="20"/>
                <w:color w:val="auto"/>
              </w:rPr>
            </w:pPr>
            <w:r>
              <w:rPr>
                <w:rFonts w:ascii="Times New Roman" w:cs="Times New Roman" w:eastAsia="Times New Roman" w:hAnsi="Times New Roman"/>
                <w:sz w:val="21"/>
                <w:szCs w:val="21"/>
                <w:color w:val="auto"/>
              </w:rPr>
              <w:t>Section 7.08</w:t>
            </w:r>
          </w:p>
        </w:tc>
        <w:tc>
          <w:tcPr>
            <w:tcW w:w="2700" w:type="dxa"/>
            <w:vAlign w:val="bottom"/>
            <w:gridSpan w:val="26"/>
          </w:tcPr>
          <w:p>
            <w:pPr>
              <w:ind w:left="120"/>
              <w:spacing w:after="0"/>
              <w:rPr>
                <w:sz w:val="20"/>
                <w:szCs w:val="20"/>
                <w:color w:val="auto"/>
              </w:rPr>
            </w:pPr>
            <w:r>
              <w:rPr>
                <w:rFonts w:ascii="Times New Roman" w:cs="Times New Roman" w:eastAsia="Times New Roman" w:hAnsi="Times New Roman"/>
                <w:sz w:val="21"/>
                <w:szCs w:val="21"/>
                <w:color w:val="auto"/>
              </w:rPr>
              <w:t>Transactions with Affiliates</w:t>
            </w:r>
          </w:p>
        </w:tc>
        <w:tc>
          <w:tcPr>
            <w:tcW w:w="320" w:type="dxa"/>
            <w:vAlign w:val="bottom"/>
            <w:gridSpan w:val="6"/>
          </w:tcPr>
          <w:p>
            <w:pPr>
              <w:jc w:val="right"/>
              <w:spacing w:after="0"/>
              <w:rPr>
                <w:sz w:val="20"/>
                <w:szCs w:val="20"/>
                <w:color w:val="auto"/>
              </w:rPr>
            </w:pPr>
            <w:r>
              <w:rPr>
                <w:rFonts w:ascii="Times New Roman" w:cs="Times New Roman" w:eastAsia="Times New Roman" w:hAnsi="Times New Roman"/>
                <w:sz w:val="21"/>
                <w:szCs w:val="21"/>
                <w:b w:val="1"/>
                <w:bCs w:val="1"/>
                <w:color w:val="FF0000"/>
                <w:strike w:val="1"/>
                <w:w w:val="88"/>
              </w:rPr>
              <w:t>150</w:t>
            </w:r>
          </w:p>
        </w:tc>
        <w:tc>
          <w:tcPr>
            <w:tcW w:w="420" w:type="dxa"/>
            <w:vAlign w:val="bottom"/>
            <w:gridSpan w:val="4"/>
          </w:tcPr>
          <w:p>
            <w:pPr>
              <w:jc w:val="right"/>
              <w:ind w:right="120"/>
              <w:spacing w:after="0"/>
              <w:rPr>
                <w:sz w:val="20"/>
                <w:szCs w:val="20"/>
                <w:color w:val="auto"/>
              </w:rPr>
            </w:pPr>
            <w:r>
              <w:rPr>
                <w:rFonts w:ascii="Times New Roman" w:cs="Times New Roman" w:eastAsia="Times New Roman" w:hAnsi="Times New Roman"/>
                <w:sz w:val="21"/>
                <w:szCs w:val="21"/>
                <w:b w:val="1"/>
                <w:bCs w:val="1"/>
                <w:color w:val="0000FF"/>
                <w:w w:val="88"/>
              </w:rPr>
              <w:t>152</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1180" w:type="dxa"/>
            <w:vAlign w:val="bottom"/>
          </w:tcPr>
          <w:p>
            <w:pPr>
              <w:spacing w:after="0" w:line="232" w:lineRule="exact"/>
              <w:rPr>
                <w:sz w:val="20"/>
                <w:szCs w:val="20"/>
                <w:color w:val="auto"/>
              </w:rPr>
            </w:pPr>
            <w:r>
              <w:rPr>
                <w:rFonts w:ascii="Times New Roman" w:cs="Times New Roman" w:eastAsia="Times New Roman" w:hAnsi="Times New Roman"/>
                <w:sz w:val="21"/>
                <w:szCs w:val="21"/>
                <w:color w:val="auto"/>
              </w:rPr>
              <w:t>Section 7.09</w:t>
            </w:r>
          </w:p>
        </w:tc>
        <w:tc>
          <w:tcPr>
            <w:tcW w:w="2140" w:type="dxa"/>
            <w:vAlign w:val="bottom"/>
            <w:gridSpan w:val="15"/>
          </w:tcPr>
          <w:p>
            <w:pPr>
              <w:ind w:left="120"/>
              <w:spacing w:after="0" w:line="232" w:lineRule="exact"/>
              <w:rPr>
                <w:sz w:val="20"/>
                <w:szCs w:val="20"/>
                <w:color w:val="auto"/>
              </w:rPr>
            </w:pPr>
            <w:r>
              <w:rPr>
                <w:rFonts w:ascii="Times New Roman" w:cs="Times New Roman" w:eastAsia="Times New Roman" w:hAnsi="Times New Roman"/>
                <w:sz w:val="21"/>
                <w:szCs w:val="21"/>
                <w:color w:val="auto"/>
              </w:rPr>
              <w:t>Restrictive Agreements</w:t>
            </w:r>
          </w:p>
        </w:tc>
        <w:tc>
          <w:tcPr>
            <w:tcW w:w="20" w:type="dxa"/>
            <w:vAlign w:val="bottom"/>
          </w:tcPr>
          <w:p>
            <w:pPr>
              <w:spacing w:after="0"/>
              <w:rPr>
                <w:sz w:val="20"/>
                <w:szCs w:val="20"/>
                <w:color w:val="auto"/>
              </w:rPr>
            </w:pPr>
          </w:p>
        </w:tc>
        <w:tc>
          <w:tcPr>
            <w:tcW w:w="80" w:type="dxa"/>
            <w:vAlign w:val="bottom"/>
            <w:gridSpan w:val="2"/>
          </w:tcPr>
          <w:p>
            <w:pPr>
              <w:spacing w:after="0"/>
              <w:rPr>
                <w:sz w:val="20"/>
                <w:szCs w:val="20"/>
                <w:color w:val="auto"/>
              </w:rPr>
            </w:pPr>
          </w:p>
        </w:tc>
        <w:tc>
          <w:tcPr>
            <w:tcW w:w="100" w:type="dxa"/>
            <w:vAlign w:val="bottom"/>
            <w:gridSpan w:val="2"/>
          </w:tcPr>
          <w:p>
            <w:pPr>
              <w:spacing w:after="0"/>
              <w:rPr>
                <w:sz w:val="20"/>
                <w:szCs w:val="20"/>
                <w:color w:val="auto"/>
              </w:rPr>
            </w:pPr>
          </w:p>
        </w:tc>
        <w:tc>
          <w:tcPr>
            <w:tcW w:w="360" w:type="dxa"/>
            <w:vAlign w:val="bottom"/>
            <w:gridSpan w:val="6"/>
          </w:tcPr>
          <w:p>
            <w:pPr>
              <w:spacing w:after="0" w:line="232" w:lineRule="exact"/>
              <w:rPr>
                <w:sz w:val="20"/>
                <w:szCs w:val="20"/>
                <w:color w:val="auto"/>
              </w:rPr>
            </w:pPr>
            <w:r>
              <w:rPr>
                <w:rFonts w:ascii="Times New Roman" w:cs="Times New Roman" w:eastAsia="Times New Roman" w:hAnsi="Times New Roman"/>
                <w:sz w:val="21"/>
                <w:szCs w:val="21"/>
                <w:b w:val="1"/>
                <w:bCs w:val="1"/>
                <w:color w:val="FF0000"/>
                <w:strike w:val="1"/>
              </w:rPr>
              <w:t>152</w:t>
            </w:r>
          </w:p>
        </w:tc>
        <w:tc>
          <w:tcPr>
            <w:tcW w:w="300" w:type="dxa"/>
            <w:vAlign w:val="bottom"/>
            <w:gridSpan w:val="5"/>
          </w:tcPr>
          <w:p>
            <w:pPr>
              <w:spacing w:after="0" w:line="232" w:lineRule="exact"/>
              <w:rPr>
                <w:sz w:val="20"/>
                <w:szCs w:val="20"/>
                <w:color w:val="auto"/>
              </w:rPr>
            </w:pPr>
            <w:r>
              <w:rPr>
                <w:rFonts w:ascii="Times New Roman" w:cs="Times New Roman" w:eastAsia="Times New Roman" w:hAnsi="Times New Roman"/>
                <w:sz w:val="21"/>
                <w:szCs w:val="21"/>
                <w:b w:val="1"/>
                <w:bCs w:val="1"/>
                <w:color w:val="0000FF"/>
                <w:w w:val="88"/>
              </w:rPr>
              <w:t>154</w:t>
            </w:r>
          </w:p>
        </w:tc>
        <w:tc>
          <w:tcPr>
            <w:tcW w:w="20" w:type="dxa"/>
            <w:vAlign w:val="bottom"/>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80" w:type="dxa"/>
            <w:vAlign w:val="bottom"/>
            <w:tcBorders>
              <w:right w:val="single" w:sz="8" w:color="0000FF"/>
            </w:tcBorders>
            <w:gridSpan w:val="27"/>
          </w:tcPr>
          <w:p>
            <w:pPr>
              <w:spacing w:after="0" w:line="20" w:lineRule="exact"/>
              <w:rPr>
                <w:sz w:val="1"/>
                <w:szCs w:val="1"/>
                <w:color w:val="auto"/>
              </w:rPr>
            </w:pPr>
          </w:p>
        </w:tc>
        <w:tc>
          <w:tcPr>
            <w:tcW w:w="240" w:type="dxa"/>
            <w:vAlign w:val="bottom"/>
            <w:tcBorders>
              <w:left w:val="single" w:sz="8" w:color="0000FF"/>
            </w:tcBorders>
            <w:gridSpan w:val="4"/>
            <w:shd w:val="clear" w:color="auto" w:fill="0000FF"/>
          </w:tcPr>
          <w:p>
            <w:pPr>
              <w:spacing w:after="0" w:line="20" w:lineRule="exact"/>
              <w:rPr>
                <w:sz w:val="1"/>
                <w:szCs w:val="1"/>
                <w:color w:val="auto"/>
              </w:rPr>
            </w:pPr>
          </w:p>
        </w:tc>
        <w:tc>
          <w:tcPr>
            <w:tcW w:w="3080" w:type="dxa"/>
            <w:vAlign w:val="bottom"/>
            <w:tcBorders>
              <w:left w:val="single" w:sz="8" w:color="0000FF"/>
            </w:tcBorders>
            <w:gridSpan w:val="3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180" w:type="dxa"/>
            <w:vAlign w:val="bottom"/>
          </w:tcPr>
          <w:p>
            <w:pPr>
              <w:spacing w:after="0" w:line="232" w:lineRule="exact"/>
              <w:rPr>
                <w:sz w:val="20"/>
                <w:szCs w:val="20"/>
                <w:color w:val="auto"/>
              </w:rPr>
            </w:pPr>
            <w:r>
              <w:rPr>
                <w:rFonts w:ascii="Times New Roman" w:cs="Times New Roman" w:eastAsia="Times New Roman" w:hAnsi="Times New Roman"/>
                <w:sz w:val="21"/>
                <w:szCs w:val="21"/>
                <w:color w:val="auto"/>
              </w:rPr>
              <w:t>Section 7.10</w:t>
            </w:r>
          </w:p>
        </w:tc>
        <w:tc>
          <w:tcPr>
            <w:tcW w:w="1720" w:type="dxa"/>
            <w:vAlign w:val="bottom"/>
            <w:gridSpan w:val="9"/>
          </w:tcPr>
          <w:p>
            <w:pPr>
              <w:ind w:left="120"/>
              <w:spacing w:after="0" w:line="232" w:lineRule="exact"/>
              <w:rPr>
                <w:sz w:val="20"/>
                <w:szCs w:val="20"/>
                <w:color w:val="auto"/>
              </w:rPr>
            </w:pPr>
            <w:r>
              <w:rPr>
                <w:rFonts w:ascii="Times New Roman" w:cs="Times New Roman" w:eastAsia="Times New Roman" w:hAnsi="Times New Roman"/>
                <w:sz w:val="21"/>
                <w:szCs w:val="21"/>
                <w:color w:val="auto"/>
              </w:rPr>
              <w:t>Use of Proceeds</w:t>
            </w:r>
          </w:p>
        </w:tc>
        <w:tc>
          <w:tcPr>
            <w:tcW w:w="380" w:type="dxa"/>
            <w:vAlign w:val="bottom"/>
            <w:gridSpan w:val="5"/>
          </w:tcPr>
          <w:p>
            <w:pPr>
              <w:jc w:val="right"/>
              <w:spacing w:after="0" w:line="232" w:lineRule="exact"/>
              <w:rPr>
                <w:sz w:val="20"/>
                <w:szCs w:val="20"/>
                <w:color w:val="auto"/>
              </w:rPr>
            </w:pPr>
            <w:r>
              <w:rPr>
                <w:rFonts w:ascii="Times New Roman" w:cs="Times New Roman" w:eastAsia="Times New Roman" w:hAnsi="Times New Roman"/>
                <w:sz w:val="21"/>
                <w:szCs w:val="21"/>
                <w:b w:val="1"/>
                <w:bCs w:val="1"/>
                <w:color w:val="FF0000"/>
                <w:strike w:val="1"/>
                <w:w w:val="88"/>
              </w:rPr>
              <w:t>153</w:t>
            </w:r>
          </w:p>
        </w:tc>
        <w:tc>
          <w:tcPr>
            <w:tcW w:w="360" w:type="dxa"/>
            <w:vAlign w:val="bottom"/>
            <w:gridSpan w:val="7"/>
          </w:tcPr>
          <w:p>
            <w:pPr>
              <w:jc w:val="right"/>
              <w:ind w:right="14"/>
              <w:spacing w:after="0"/>
              <w:rPr>
                <w:sz w:val="20"/>
                <w:szCs w:val="20"/>
                <w:color w:val="auto"/>
              </w:rPr>
            </w:pPr>
            <w:r>
              <w:rPr>
                <w:rFonts w:ascii="Times New Roman" w:cs="Times New Roman" w:eastAsia="Times New Roman" w:hAnsi="Times New Roman"/>
                <w:sz w:val="20"/>
                <w:szCs w:val="20"/>
                <w:b w:val="1"/>
                <w:bCs w:val="1"/>
                <w:color w:val="0000FF"/>
                <w:w w:val="73"/>
              </w:rPr>
              <w:t>155</w:t>
            </w:r>
          </w:p>
        </w:tc>
        <w:tc>
          <w:tcPr>
            <w:tcW w:w="320" w:type="dxa"/>
            <w:vAlign w:val="bottom"/>
            <w:gridSpan w:val="6"/>
            <w:vMerge w:val="restart"/>
          </w:tcPr>
          <w:p>
            <w:pPr>
              <w:jc w:val="right"/>
              <w:spacing w:after="0"/>
              <w:rPr>
                <w:sz w:val="20"/>
                <w:szCs w:val="20"/>
                <w:color w:val="auto"/>
              </w:rPr>
            </w:pPr>
            <w:r>
              <w:rPr>
                <w:rFonts w:ascii="Times New Roman" w:cs="Times New Roman" w:eastAsia="Times New Roman" w:hAnsi="Times New Roman"/>
                <w:sz w:val="21"/>
                <w:szCs w:val="21"/>
                <w:b w:val="1"/>
                <w:bCs w:val="1"/>
                <w:color w:val="FF0000"/>
                <w:strike w:val="1"/>
                <w:w w:val="95"/>
              </w:rPr>
              <w:t>153</w:t>
            </w:r>
          </w:p>
        </w:tc>
        <w:tc>
          <w:tcPr>
            <w:tcW w:w="320" w:type="dxa"/>
            <w:vAlign w:val="bottom"/>
            <w:gridSpan w:val="6"/>
            <w:vMerge w:val="restart"/>
          </w:tcPr>
          <w:p>
            <w:pPr>
              <w:jc w:val="right"/>
              <w:spacing w:after="0"/>
              <w:rPr>
                <w:sz w:val="20"/>
                <w:szCs w:val="20"/>
                <w:color w:val="auto"/>
              </w:rPr>
            </w:pPr>
            <w:r>
              <w:rPr>
                <w:rFonts w:ascii="Times New Roman" w:cs="Times New Roman" w:eastAsia="Times New Roman" w:hAnsi="Times New Roman"/>
                <w:sz w:val="21"/>
                <w:szCs w:val="21"/>
                <w:b w:val="1"/>
                <w:bCs w:val="1"/>
                <w:color w:val="0000FF"/>
                <w:w w:val="95"/>
              </w:rPr>
              <w:t>155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6"/>
            <w:vMerge w:val="continue"/>
          </w:tcPr>
          <w:p>
            <w:pPr>
              <w:spacing w:after="0" w:line="20" w:lineRule="exact"/>
              <w:rPr>
                <w:sz w:val="1"/>
                <w:szCs w:val="1"/>
                <w:color w:val="auto"/>
              </w:rPr>
            </w:pPr>
          </w:p>
        </w:tc>
        <w:tc>
          <w:tcPr>
            <w:tcW w:w="320" w:type="dxa"/>
            <w:vAlign w:val="bottom"/>
            <w:gridSpan w:val="6"/>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80" w:type="dxa"/>
            <w:vAlign w:val="bottom"/>
          </w:tcPr>
          <w:p>
            <w:pPr>
              <w:spacing w:after="0" w:line="232" w:lineRule="exact"/>
              <w:rPr>
                <w:sz w:val="20"/>
                <w:szCs w:val="20"/>
                <w:color w:val="auto"/>
              </w:rPr>
            </w:pPr>
            <w:r>
              <w:rPr>
                <w:rFonts w:ascii="Times New Roman" w:cs="Times New Roman" w:eastAsia="Times New Roman" w:hAnsi="Times New Roman"/>
                <w:sz w:val="21"/>
                <w:szCs w:val="21"/>
                <w:color w:val="auto"/>
              </w:rPr>
              <w:t>Section 7.11</w:t>
            </w:r>
          </w:p>
        </w:tc>
        <w:tc>
          <w:tcPr>
            <w:tcW w:w="2460" w:type="dxa"/>
            <w:vAlign w:val="bottom"/>
            <w:gridSpan w:val="21"/>
          </w:tcPr>
          <w:p>
            <w:pPr>
              <w:ind w:left="100"/>
              <w:spacing w:after="0" w:line="232" w:lineRule="exact"/>
              <w:rPr>
                <w:sz w:val="20"/>
                <w:szCs w:val="20"/>
                <w:color w:val="auto"/>
              </w:rPr>
            </w:pPr>
            <w:r>
              <w:rPr>
                <w:rFonts w:ascii="Times New Roman" w:cs="Times New Roman" w:eastAsia="Times New Roman" w:hAnsi="Times New Roman"/>
                <w:sz w:val="21"/>
                <w:szCs w:val="21"/>
                <w:color w:val="auto"/>
              </w:rPr>
              <w:t>Total Net Leverage Ratio</w:t>
            </w:r>
          </w:p>
        </w:tc>
        <w:tc>
          <w:tcPr>
            <w:tcW w:w="320" w:type="dxa"/>
            <w:vAlign w:val="bottom"/>
            <w:gridSpan w:val="6"/>
            <w:vMerge w:val="continue"/>
          </w:tcPr>
          <w:p>
            <w:pPr>
              <w:spacing w:after="0"/>
              <w:rPr>
                <w:sz w:val="20"/>
                <w:szCs w:val="20"/>
                <w:color w:val="auto"/>
              </w:rPr>
            </w:pPr>
          </w:p>
        </w:tc>
        <w:tc>
          <w:tcPr>
            <w:tcW w:w="320" w:type="dxa"/>
            <w:vAlign w:val="bottom"/>
            <w:tcBorders>
              <w:bottom w:val="single" w:sz="8" w:color="0000FF"/>
            </w:tcBorders>
            <w:gridSpan w:val="6"/>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21"/>
                <w:szCs w:val="21"/>
                <w:b w:val="1"/>
                <w:bCs w:val="1"/>
                <w:color w:val="FF0000"/>
                <w:strike w:val="1"/>
                <w:w w:val="95"/>
              </w:rPr>
              <w:t>153</w:t>
            </w:r>
          </w:p>
        </w:tc>
        <w:tc>
          <w:tcPr>
            <w:tcW w:w="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21"/>
                <w:szCs w:val="21"/>
                <w:b w:val="1"/>
                <w:bCs w:val="1"/>
                <w:color w:val="0000FF"/>
                <w:w w:val="95"/>
              </w:rPr>
              <w:t>155</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80" w:type="dxa"/>
            <w:vAlign w:val="bottom"/>
          </w:tcPr>
          <w:p>
            <w:pPr>
              <w:spacing w:after="0" w:line="232" w:lineRule="exact"/>
              <w:rPr>
                <w:sz w:val="20"/>
                <w:szCs w:val="20"/>
                <w:color w:val="auto"/>
              </w:rPr>
            </w:pPr>
            <w:r>
              <w:rPr>
                <w:rFonts w:ascii="Times New Roman" w:cs="Times New Roman" w:eastAsia="Times New Roman" w:hAnsi="Times New Roman"/>
                <w:sz w:val="21"/>
                <w:szCs w:val="21"/>
                <w:color w:val="auto"/>
              </w:rPr>
              <w:t>Section 7.12</w:t>
            </w:r>
          </w:p>
        </w:tc>
        <w:tc>
          <w:tcPr>
            <w:tcW w:w="3860" w:type="dxa"/>
            <w:vAlign w:val="bottom"/>
            <w:gridSpan w:val="42"/>
          </w:tcPr>
          <w:p>
            <w:pPr>
              <w:ind w:left="120"/>
              <w:spacing w:after="0" w:line="232" w:lineRule="exact"/>
              <w:rPr>
                <w:sz w:val="20"/>
                <w:szCs w:val="20"/>
                <w:color w:val="auto"/>
              </w:rPr>
            </w:pPr>
            <w:r>
              <w:rPr>
                <w:rFonts w:ascii="Times New Roman" w:cs="Times New Roman" w:eastAsia="Times New Roman" w:hAnsi="Times New Roman"/>
                <w:sz w:val="21"/>
                <w:szCs w:val="21"/>
                <w:color w:val="auto"/>
              </w:rPr>
              <w:t>Amendments of Organization Documents</w:t>
            </w:r>
          </w:p>
        </w:tc>
        <w:tc>
          <w:tcPr>
            <w:tcW w:w="320" w:type="dxa"/>
            <w:vAlign w:val="bottom"/>
            <w:gridSpan w:val="3"/>
            <w:vMerge w:val="continue"/>
          </w:tcPr>
          <w:p>
            <w:pPr>
              <w:spacing w:after="0"/>
              <w:rPr>
                <w:sz w:val="20"/>
                <w:szCs w:val="20"/>
                <w:color w:val="auto"/>
              </w:rPr>
            </w:pPr>
          </w:p>
        </w:tc>
        <w:tc>
          <w:tcPr>
            <w:tcW w:w="320" w:type="dxa"/>
            <w:vAlign w:val="bottom"/>
            <w:tcBorders>
              <w:bottom w:val="single" w:sz="8" w:color="0000FF"/>
            </w:tcBorders>
            <w:gridSpan w:val="3"/>
            <w:vMerge w:val="continue"/>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1180" w:type="dxa"/>
            <w:vAlign w:val="bottom"/>
          </w:tcPr>
          <w:p>
            <w:pPr>
              <w:spacing w:after="0"/>
              <w:rPr>
                <w:sz w:val="20"/>
                <w:szCs w:val="20"/>
                <w:color w:val="auto"/>
              </w:rPr>
            </w:pPr>
            <w:r>
              <w:rPr>
                <w:rFonts w:ascii="Times New Roman" w:cs="Times New Roman" w:eastAsia="Times New Roman" w:hAnsi="Times New Roman"/>
                <w:sz w:val="21"/>
                <w:szCs w:val="21"/>
                <w:color w:val="auto"/>
              </w:rPr>
              <w:t>Section 7.13</w:t>
            </w:r>
          </w:p>
        </w:tc>
        <w:tc>
          <w:tcPr>
            <w:tcW w:w="1260" w:type="dxa"/>
            <w:vAlign w:val="bottom"/>
            <w:gridSpan w:val="4"/>
          </w:tcPr>
          <w:p>
            <w:pPr>
              <w:ind w:left="120"/>
              <w:spacing w:after="0"/>
              <w:rPr>
                <w:sz w:val="20"/>
                <w:szCs w:val="20"/>
                <w:color w:val="auto"/>
              </w:rPr>
            </w:pPr>
            <w:r>
              <w:rPr>
                <w:rFonts w:ascii="Times New Roman" w:cs="Times New Roman" w:eastAsia="Times New Roman" w:hAnsi="Times New Roman"/>
                <w:sz w:val="21"/>
                <w:szCs w:val="21"/>
                <w:color w:val="auto"/>
              </w:rPr>
              <w:t>Fiscal Year</w:t>
            </w:r>
          </w:p>
        </w:tc>
        <w:tc>
          <w:tcPr>
            <w:tcW w:w="340" w:type="dxa"/>
            <w:vAlign w:val="bottom"/>
            <w:gridSpan w:val="4"/>
          </w:tcPr>
          <w:p>
            <w:pPr>
              <w:jc w:val="right"/>
              <w:spacing w:after="0"/>
              <w:rPr>
                <w:sz w:val="20"/>
                <w:szCs w:val="20"/>
                <w:color w:val="auto"/>
              </w:rPr>
            </w:pPr>
            <w:r>
              <w:rPr>
                <w:rFonts w:ascii="Times New Roman" w:cs="Times New Roman" w:eastAsia="Times New Roman" w:hAnsi="Times New Roman"/>
                <w:sz w:val="21"/>
                <w:szCs w:val="21"/>
                <w:b w:val="1"/>
                <w:bCs w:val="1"/>
                <w:color w:val="FF0000"/>
                <w:strike w:val="1"/>
              </w:rPr>
              <w:t>153</w:t>
            </w:r>
          </w:p>
        </w:tc>
        <w:tc>
          <w:tcPr>
            <w:tcW w:w="3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21"/>
                <w:szCs w:val="21"/>
                <w:b w:val="1"/>
                <w:bCs w:val="1"/>
                <w:color w:val="0000FF"/>
              </w:rPr>
              <w:t>156</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gridSpan w:val="6"/>
            <w:vMerge w:val="restart"/>
          </w:tcPr>
          <w:p>
            <w:pPr>
              <w:jc w:val="right"/>
              <w:spacing w:after="0"/>
              <w:rPr>
                <w:sz w:val="20"/>
                <w:szCs w:val="20"/>
                <w:color w:val="auto"/>
              </w:rPr>
            </w:pPr>
            <w:r>
              <w:rPr>
                <w:rFonts w:ascii="Times New Roman" w:cs="Times New Roman" w:eastAsia="Times New Roman" w:hAnsi="Times New Roman"/>
                <w:sz w:val="21"/>
                <w:szCs w:val="21"/>
                <w:b w:val="1"/>
                <w:bCs w:val="1"/>
                <w:color w:val="FF0000"/>
                <w:strike w:val="1"/>
                <w:w w:val="95"/>
              </w:rPr>
              <w:t>154</w:t>
            </w:r>
          </w:p>
        </w:tc>
        <w:tc>
          <w:tcPr>
            <w:tcW w:w="28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21"/>
                <w:szCs w:val="21"/>
                <w:b w:val="1"/>
                <w:bCs w:val="1"/>
                <w:color w:val="0000FF"/>
                <w:w w:val="76"/>
              </w:rPr>
              <w:t>156</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1180" w:type="dxa"/>
            <w:vAlign w:val="bottom"/>
          </w:tcPr>
          <w:p>
            <w:pPr>
              <w:spacing w:after="0" w:line="232" w:lineRule="exact"/>
              <w:rPr>
                <w:sz w:val="20"/>
                <w:szCs w:val="20"/>
                <w:color w:val="auto"/>
              </w:rPr>
            </w:pPr>
            <w:r>
              <w:rPr>
                <w:rFonts w:ascii="Times New Roman" w:cs="Times New Roman" w:eastAsia="Times New Roman" w:hAnsi="Times New Roman"/>
                <w:sz w:val="21"/>
                <w:szCs w:val="21"/>
                <w:color w:val="auto"/>
              </w:rPr>
              <w:t>Section 7.14</w:t>
            </w:r>
          </w:p>
        </w:tc>
        <w:tc>
          <w:tcPr>
            <w:tcW w:w="2700" w:type="dxa"/>
            <w:vAlign w:val="bottom"/>
            <w:gridSpan w:val="26"/>
          </w:tcPr>
          <w:p>
            <w:pPr>
              <w:ind w:left="120"/>
              <w:spacing w:after="0" w:line="232" w:lineRule="exact"/>
              <w:rPr>
                <w:sz w:val="20"/>
                <w:szCs w:val="20"/>
                <w:color w:val="auto"/>
              </w:rPr>
            </w:pPr>
            <w:r>
              <w:rPr>
                <w:rFonts w:ascii="Times New Roman" w:cs="Times New Roman" w:eastAsia="Times New Roman" w:hAnsi="Times New Roman"/>
                <w:sz w:val="21"/>
                <w:szCs w:val="21"/>
                <w:color w:val="auto"/>
              </w:rPr>
              <w:t>Prepayments of Indebtedness</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gridSpan w:val="6"/>
            <w:vMerge w:val="continue"/>
          </w:tcPr>
          <w:p>
            <w:pPr>
              <w:spacing w:after="0"/>
              <w:rPr>
                <w:sz w:val="20"/>
                <w:szCs w:val="20"/>
                <w:color w:val="auto"/>
              </w:rPr>
            </w:pPr>
          </w:p>
        </w:tc>
        <w:tc>
          <w:tcPr>
            <w:tcW w:w="280" w:type="dxa"/>
            <w:vAlign w:val="bottom"/>
            <w:gridSpan w:val="3"/>
            <w:vMerge w:val="continue"/>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180" w:type="dxa"/>
            <w:vAlign w:val="bottom"/>
          </w:tcPr>
          <w:p>
            <w:pPr>
              <w:spacing w:after="0" w:line="232" w:lineRule="exact"/>
              <w:rPr>
                <w:sz w:val="20"/>
                <w:szCs w:val="20"/>
                <w:color w:val="auto"/>
              </w:rPr>
            </w:pPr>
            <w:r>
              <w:rPr>
                <w:rFonts w:ascii="Times New Roman" w:cs="Times New Roman" w:eastAsia="Times New Roman" w:hAnsi="Times New Roman"/>
                <w:sz w:val="21"/>
                <w:szCs w:val="21"/>
                <w:color w:val="auto"/>
              </w:rPr>
              <w:t>Section 7.15</w:t>
            </w:r>
          </w:p>
        </w:tc>
        <w:tc>
          <w:tcPr>
            <w:tcW w:w="2700" w:type="dxa"/>
            <w:vAlign w:val="bottom"/>
            <w:gridSpan w:val="26"/>
          </w:tcPr>
          <w:p>
            <w:pPr>
              <w:ind w:left="120"/>
              <w:spacing w:after="0" w:line="232" w:lineRule="exact"/>
              <w:rPr>
                <w:sz w:val="20"/>
                <w:szCs w:val="20"/>
                <w:color w:val="auto"/>
              </w:rPr>
            </w:pPr>
            <w:r>
              <w:rPr>
                <w:rFonts w:ascii="Times New Roman" w:cs="Times New Roman" w:eastAsia="Times New Roman" w:hAnsi="Times New Roman"/>
                <w:sz w:val="21"/>
                <w:szCs w:val="21"/>
                <w:color w:val="auto"/>
              </w:rPr>
              <w:t>Sale-Leaseback Transactions</w:t>
            </w:r>
          </w:p>
        </w:tc>
        <w:tc>
          <w:tcPr>
            <w:tcW w:w="80" w:type="dxa"/>
            <w:vAlign w:val="bottom"/>
          </w:tcPr>
          <w:p>
            <w:pPr>
              <w:spacing w:after="0"/>
              <w:rPr>
                <w:sz w:val="20"/>
                <w:szCs w:val="20"/>
                <w:color w:val="auto"/>
              </w:rPr>
            </w:pPr>
          </w:p>
        </w:tc>
        <w:tc>
          <w:tcPr>
            <w:tcW w:w="320" w:type="dxa"/>
            <w:vAlign w:val="bottom"/>
            <w:gridSpan w:val="6"/>
          </w:tcPr>
          <w:p>
            <w:pPr>
              <w:jc w:val="right"/>
              <w:spacing w:after="0" w:line="232" w:lineRule="exact"/>
              <w:rPr>
                <w:sz w:val="20"/>
                <w:szCs w:val="20"/>
                <w:color w:val="auto"/>
              </w:rPr>
            </w:pPr>
            <w:r>
              <w:rPr>
                <w:rFonts w:ascii="Times New Roman" w:cs="Times New Roman" w:eastAsia="Times New Roman" w:hAnsi="Times New Roman"/>
                <w:sz w:val="21"/>
                <w:szCs w:val="21"/>
                <w:b w:val="1"/>
                <w:bCs w:val="1"/>
                <w:color w:val="FF0000"/>
                <w:strike w:val="1"/>
                <w:w w:val="95"/>
              </w:rPr>
              <w:t>154</w:t>
            </w:r>
          </w:p>
        </w:tc>
        <w:tc>
          <w:tcPr>
            <w:tcW w:w="340" w:type="dxa"/>
            <w:vAlign w:val="bottom"/>
            <w:tcBorders>
              <w:bottom w:val="single" w:sz="8" w:color="0000FF"/>
            </w:tcBorders>
            <w:gridSpan w:val="3"/>
          </w:tcPr>
          <w:p>
            <w:pPr>
              <w:jc w:val="right"/>
              <w:ind w:right="20"/>
              <w:spacing w:after="0" w:line="232" w:lineRule="exact"/>
              <w:rPr>
                <w:sz w:val="20"/>
                <w:szCs w:val="20"/>
                <w:color w:val="auto"/>
              </w:rPr>
            </w:pPr>
            <w:r>
              <w:rPr>
                <w:rFonts w:ascii="Times New Roman" w:cs="Times New Roman" w:eastAsia="Times New Roman" w:hAnsi="Times New Roman"/>
                <w:sz w:val="21"/>
                <w:szCs w:val="21"/>
                <w:b w:val="1"/>
                <w:bCs w:val="1"/>
                <w:color w:val="0000FF"/>
                <w:w w:val="95"/>
              </w:rPr>
              <w:t>157</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180" w:type="dxa"/>
            <w:vAlign w:val="bottom"/>
          </w:tcPr>
          <w:p>
            <w:pPr>
              <w:spacing w:after="0" w:line="232" w:lineRule="exact"/>
              <w:rPr>
                <w:sz w:val="20"/>
                <w:szCs w:val="20"/>
                <w:color w:val="auto"/>
              </w:rPr>
            </w:pPr>
            <w:r>
              <w:rPr>
                <w:rFonts w:ascii="Times New Roman" w:cs="Times New Roman" w:eastAsia="Times New Roman" w:hAnsi="Times New Roman"/>
                <w:sz w:val="21"/>
                <w:szCs w:val="21"/>
                <w:color w:val="auto"/>
              </w:rPr>
              <w:t>Section 7.16</w:t>
            </w:r>
          </w:p>
        </w:tc>
        <w:tc>
          <w:tcPr>
            <w:tcW w:w="2700" w:type="dxa"/>
            <w:vAlign w:val="bottom"/>
            <w:gridSpan w:val="26"/>
          </w:tcPr>
          <w:p>
            <w:pPr>
              <w:ind w:left="120"/>
              <w:spacing w:after="0" w:line="232" w:lineRule="exact"/>
              <w:rPr>
                <w:sz w:val="20"/>
                <w:szCs w:val="20"/>
                <w:color w:val="auto"/>
              </w:rPr>
            </w:pPr>
            <w:r>
              <w:rPr>
                <w:rFonts w:ascii="Times New Roman" w:cs="Times New Roman" w:eastAsia="Times New Roman" w:hAnsi="Times New Roman"/>
                <w:sz w:val="21"/>
                <w:szCs w:val="21"/>
                <w:color w:val="auto"/>
              </w:rPr>
              <w:t>Amendments of Indebtedness</w:t>
            </w:r>
          </w:p>
        </w:tc>
        <w:tc>
          <w:tcPr>
            <w:tcW w:w="120" w:type="dxa"/>
            <w:vAlign w:val="bottom"/>
            <w:gridSpan w:val="2"/>
          </w:tcPr>
          <w:p>
            <w:pPr>
              <w:spacing w:after="0"/>
              <w:rPr>
                <w:sz w:val="20"/>
                <w:szCs w:val="20"/>
                <w:color w:val="auto"/>
              </w:rPr>
            </w:pPr>
          </w:p>
        </w:tc>
        <w:tc>
          <w:tcPr>
            <w:tcW w:w="360" w:type="dxa"/>
            <w:vAlign w:val="bottom"/>
            <w:gridSpan w:val="6"/>
          </w:tcPr>
          <w:p>
            <w:pPr>
              <w:jc w:val="right"/>
              <w:spacing w:after="0" w:line="232" w:lineRule="exact"/>
              <w:rPr>
                <w:sz w:val="20"/>
                <w:szCs w:val="20"/>
                <w:color w:val="auto"/>
              </w:rPr>
            </w:pPr>
            <w:r>
              <w:rPr>
                <w:rFonts w:ascii="Times New Roman" w:cs="Times New Roman" w:eastAsia="Times New Roman" w:hAnsi="Times New Roman"/>
                <w:sz w:val="21"/>
                <w:szCs w:val="21"/>
                <w:b w:val="1"/>
                <w:bCs w:val="1"/>
                <w:color w:val="FF0000"/>
                <w:strike w:val="1"/>
              </w:rPr>
              <w:t>155</w:t>
            </w:r>
          </w:p>
        </w:tc>
        <w:tc>
          <w:tcPr>
            <w:tcW w:w="300" w:type="dxa"/>
            <w:vAlign w:val="bottom"/>
            <w:gridSpan w:val="4"/>
          </w:tcPr>
          <w:p>
            <w:pPr>
              <w:jc w:val="right"/>
              <w:spacing w:after="0" w:line="232" w:lineRule="exact"/>
              <w:rPr>
                <w:sz w:val="20"/>
                <w:szCs w:val="20"/>
                <w:color w:val="auto"/>
              </w:rPr>
            </w:pPr>
            <w:r>
              <w:rPr>
                <w:rFonts w:ascii="Times New Roman" w:cs="Times New Roman" w:eastAsia="Times New Roman" w:hAnsi="Times New Roman"/>
                <w:sz w:val="21"/>
                <w:szCs w:val="21"/>
                <w:b w:val="1"/>
                <w:bCs w:val="1"/>
                <w:color w:val="0000FF"/>
                <w:w w:val="88"/>
              </w:rPr>
              <w:t>157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gridSpan w:val="5"/>
            <w:vMerge w:val="restart"/>
          </w:tcPr>
          <w:p>
            <w:pPr>
              <w:spacing w:after="0"/>
              <w:rPr>
                <w:sz w:val="20"/>
                <w:szCs w:val="20"/>
                <w:color w:val="auto"/>
              </w:rPr>
            </w:pPr>
            <w:r>
              <w:rPr>
                <w:rFonts w:ascii="Times New Roman" w:cs="Times New Roman" w:eastAsia="Times New Roman" w:hAnsi="Times New Roman"/>
                <w:sz w:val="21"/>
                <w:szCs w:val="21"/>
                <w:b w:val="1"/>
                <w:bCs w:val="1"/>
                <w:color w:val="FF0000"/>
                <w:strike w:val="1"/>
                <w:w w:val="88"/>
              </w:rPr>
              <w:t>155</w:t>
            </w:r>
          </w:p>
        </w:tc>
        <w:tc>
          <w:tcPr>
            <w:tcW w:w="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21"/>
                <w:szCs w:val="21"/>
                <w:b w:val="1"/>
                <w:bCs w:val="1"/>
                <w:color w:val="0000FF"/>
                <w:w w:val="95"/>
              </w:rPr>
              <w:t>157</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right w:val="single" w:sz="8" w:color="0000FF"/>
            </w:tcBorders>
            <w:gridSpan w:val="3"/>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5"/>
            <w:vMerge w:val="continue"/>
          </w:tcPr>
          <w:p>
            <w:pPr>
              <w:spacing w:after="0" w:line="20" w:lineRule="exact"/>
              <w:rPr>
                <w:sz w:val="1"/>
                <w:szCs w:val="1"/>
                <w:color w:val="auto"/>
              </w:rPr>
            </w:pPr>
          </w:p>
        </w:tc>
        <w:tc>
          <w:tcPr>
            <w:tcW w:w="3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9"/>
        </w:trPr>
        <w:tc>
          <w:tcPr>
            <w:tcW w:w="1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40" w:type="dxa"/>
            <w:vAlign w:val="bottom"/>
            <w:gridSpan w:val="47"/>
          </w:tcPr>
          <w:p>
            <w:pPr>
              <w:spacing w:after="0"/>
              <w:rPr>
                <w:sz w:val="20"/>
                <w:szCs w:val="20"/>
                <w:color w:val="auto"/>
              </w:rPr>
            </w:pPr>
            <w:r>
              <w:rPr>
                <w:rFonts w:ascii="Times New Roman" w:cs="Times New Roman" w:eastAsia="Times New Roman" w:hAnsi="Times New Roman"/>
                <w:sz w:val="21"/>
                <w:szCs w:val="21"/>
                <w:color w:val="auto"/>
              </w:rPr>
              <w:t>Article 8. Events of Default and Remedies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gridSpan w:val="5"/>
            <w:vMerge w:val="continue"/>
          </w:tcPr>
          <w:p>
            <w:pPr>
              <w:spacing w:after="0"/>
              <w:rPr>
                <w:sz w:val="24"/>
                <w:szCs w:val="24"/>
                <w:color w:val="auto"/>
              </w:rPr>
            </w:pPr>
          </w:p>
        </w:tc>
        <w:tc>
          <w:tcPr>
            <w:tcW w:w="320" w:type="dxa"/>
            <w:vAlign w:val="bottom"/>
            <w:tcBorders>
              <w:bottom w:val="single" w:sz="8" w:color="0000FF"/>
            </w:tcBorders>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44"/>
        </w:trPr>
        <w:tc>
          <w:tcPr>
            <w:tcW w:w="1180" w:type="dxa"/>
            <w:vAlign w:val="bottom"/>
          </w:tcPr>
          <w:p>
            <w:pPr>
              <w:spacing w:after="0"/>
              <w:rPr>
                <w:sz w:val="20"/>
                <w:szCs w:val="20"/>
                <w:color w:val="auto"/>
              </w:rPr>
            </w:pPr>
            <w:r>
              <w:rPr>
                <w:rFonts w:ascii="Times New Roman" w:cs="Times New Roman" w:eastAsia="Times New Roman" w:hAnsi="Times New Roman"/>
                <w:sz w:val="21"/>
                <w:szCs w:val="21"/>
                <w:color w:val="auto"/>
              </w:rPr>
              <w:t>Section 8.01</w:t>
            </w:r>
          </w:p>
        </w:tc>
        <w:tc>
          <w:tcPr>
            <w:tcW w:w="1720" w:type="dxa"/>
            <w:vAlign w:val="bottom"/>
            <w:gridSpan w:val="9"/>
          </w:tcPr>
          <w:p>
            <w:pPr>
              <w:ind w:left="120"/>
              <w:spacing w:after="0"/>
              <w:rPr>
                <w:sz w:val="20"/>
                <w:szCs w:val="20"/>
                <w:color w:val="auto"/>
              </w:rPr>
            </w:pPr>
            <w:r>
              <w:rPr>
                <w:rFonts w:ascii="Times New Roman" w:cs="Times New Roman" w:eastAsia="Times New Roman" w:hAnsi="Times New Roman"/>
                <w:sz w:val="21"/>
                <w:szCs w:val="21"/>
                <w:color w:val="auto"/>
              </w:rPr>
              <w:t>Events of Default</w:t>
            </w:r>
          </w:p>
        </w:tc>
        <w:tc>
          <w:tcPr>
            <w:tcW w:w="40" w:type="dxa"/>
            <w:vAlign w:val="bottom"/>
            <w:gridSpan w:val="2"/>
          </w:tcPr>
          <w:p>
            <w:pPr>
              <w:spacing w:after="0"/>
              <w:rPr>
                <w:sz w:val="24"/>
                <w:szCs w:val="24"/>
                <w:color w:val="auto"/>
              </w:rPr>
            </w:pPr>
          </w:p>
        </w:tc>
        <w:tc>
          <w:tcPr>
            <w:tcW w:w="400" w:type="dxa"/>
            <w:vAlign w:val="bottom"/>
            <w:gridSpan w:val="5"/>
          </w:tcPr>
          <w:p>
            <w:pPr>
              <w:jc w:val="right"/>
              <w:spacing w:after="0"/>
              <w:rPr>
                <w:sz w:val="20"/>
                <w:szCs w:val="20"/>
                <w:color w:val="auto"/>
              </w:rPr>
            </w:pPr>
            <w:r>
              <w:rPr>
                <w:rFonts w:ascii="Times New Roman" w:cs="Times New Roman" w:eastAsia="Times New Roman" w:hAnsi="Times New Roman"/>
                <w:sz w:val="21"/>
                <w:szCs w:val="21"/>
                <w:b w:val="1"/>
                <w:bCs w:val="1"/>
                <w:color w:val="FF0000"/>
                <w:strike w:val="1"/>
              </w:rPr>
              <w:t>155</w:t>
            </w:r>
          </w:p>
        </w:tc>
        <w:tc>
          <w:tcPr>
            <w:tcW w:w="3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21"/>
                <w:szCs w:val="21"/>
                <w:b w:val="1"/>
                <w:bCs w:val="1"/>
                <w:color w:val="0000FF"/>
                <w:w w:val="82"/>
              </w:rPr>
              <w:t>157</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gridSpan w:val="4"/>
            <w:vMerge w:val="restart"/>
          </w:tcPr>
          <w:p>
            <w:pPr>
              <w:jc w:val="right"/>
              <w:spacing w:after="0"/>
              <w:rPr>
                <w:sz w:val="20"/>
                <w:szCs w:val="20"/>
                <w:color w:val="auto"/>
              </w:rPr>
            </w:pPr>
            <w:r>
              <w:rPr>
                <w:rFonts w:ascii="Times New Roman" w:cs="Times New Roman" w:eastAsia="Times New Roman" w:hAnsi="Times New Roman"/>
                <w:sz w:val="21"/>
                <w:szCs w:val="21"/>
                <w:b w:val="1"/>
                <w:bCs w:val="1"/>
                <w:color w:val="FF0000"/>
                <w:strike w:val="1"/>
                <w:w w:val="88"/>
              </w:rPr>
              <w:t>157</w:t>
            </w:r>
          </w:p>
        </w:tc>
        <w:tc>
          <w:tcPr>
            <w:tcW w:w="620" w:type="dxa"/>
            <w:vAlign w:val="bottom"/>
            <w:gridSpan w:val="6"/>
            <w:vMerge w:val="restart"/>
          </w:tcPr>
          <w:p>
            <w:pPr>
              <w:jc w:val="right"/>
              <w:ind w:right="194"/>
              <w:spacing w:after="0"/>
              <w:rPr>
                <w:sz w:val="20"/>
                <w:szCs w:val="20"/>
                <w:color w:val="auto"/>
              </w:rPr>
            </w:pPr>
            <w:r>
              <w:rPr>
                <w:rFonts w:ascii="Times New Roman" w:cs="Times New Roman" w:eastAsia="Times New Roman" w:hAnsi="Times New Roman"/>
                <w:sz w:val="21"/>
                <w:szCs w:val="21"/>
                <w:b w:val="1"/>
                <w:bCs w:val="1"/>
                <w:color w:val="0000FF"/>
                <w:w w:val="95"/>
              </w:rPr>
              <w:t>159</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180" w:type="dxa"/>
            <w:vAlign w:val="bottom"/>
          </w:tcPr>
          <w:p>
            <w:pPr>
              <w:spacing w:after="0"/>
              <w:rPr>
                <w:sz w:val="20"/>
                <w:szCs w:val="20"/>
                <w:color w:val="auto"/>
              </w:rPr>
            </w:pPr>
            <w:r>
              <w:rPr>
                <w:rFonts w:ascii="Times New Roman" w:cs="Times New Roman" w:eastAsia="Times New Roman" w:hAnsi="Times New Roman"/>
                <w:sz w:val="21"/>
                <w:szCs w:val="21"/>
                <w:color w:val="auto"/>
              </w:rPr>
              <w:t>Section 8.02</w:t>
            </w:r>
          </w:p>
        </w:tc>
        <w:tc>
          <w:tcPr>
            <w:tcW w:w="3180" w:type="dxa"/>
            <w:vAlign w:val="bottom"/>
            <w:gridSpan w:val="34"/>
          </w:tcPr>
          <w:p>
            <w:pPr>
              <w:ind w:left="120"/>
              <w:spacing w:after="0"/>
              <w:rPr>
                <w:sz w:val="20"/>
                <w:szCs w:val="20"/>
                <w:color w:val="auto"/>
              </w:rPr>
            </w:pPr>
            <w:r>
              <w:rPr>
                <w:rFonts w:ascii="Times New Roman" w:cs="Times New Roman" w:eastAsia="Times New Roman" w:hAnsi="Times New Roman"/>
                <w:sz w:val="21"/>
                <w:szCs w:val="21"/>
                <w:color w:val="auto"/>
              </w:rPr>
              <w:t>Remedies Upon Event of Default</w:t>
            </w:r>
          </w:p>
        </w:tc>
        <w:tc>
          <w:tcPr>
            <w:tcW w:w="300" w:type="dxa"/>
            <w:vAlign w:val="bottom"/>
            <w:gridSpan w:val="4"/>
            <w:vMerge w:val="continue"/>
          </w:tcPr>
          <w:p>
            <w:pPr>
              <w:spacing w:after="0"/>
              <w:rPr>
                <w:sz w:val="21"/>
                <w:szCs w:val="21"/>
                <w:color w:val="auto"/>
              </w:rPr>
            </w:pPr>
          </w:p>
        </w:tc>
        <w:tc>
          <w:tcPr>
            <w:tcW w:w="620" w:type="dxa"/>
            <w:vAlign w:val="bottom"/>
            <w:gridSpan w:val="6"/>
            <w:vMerge w:val="continue"/>
          </w:tcPr>
          <w:p>
            <w:pPr>
              <w:spacing w:after="0"/>
              <w:rPr>
                <w:sz w:val="21"/>
                <w:szCs w:val="21"/>
                <w:color w:val="auto"/>
              </w:rPr>
            </w:pPr>
          </w:p>
        </w:tc>
        <w:tc>
          <w:tcPr>
            <w:tcW w:w="240" w:type="dxa"/>
            <w:vAlign w:val="bottom"/>
            <w:gridSpan w:val="3"/>
          </w:tcPr>
          <w:p>
            <w:pPr>
              <w:spacing w:after="0"/>
              <w:rPr>
                <w:sz w:val="21"/>
                <w:szCs w:val="21"/>
                <w:color w:val="auto"/>
              </w:rPr>
            </w:pPr>
          </w:p>
        </w:tc>
        <w:tc>
          <w:tcPr>
            <w:tcW w:w="320" w:type="dxa"/>
            <w:vAlign w:val="bottom"/>
            <w:gridSpan w:val="2"/>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1180" w:type="dxa"/>
            <w:vAlign w:val="bottom"/>
          </w:tcPr>
          <w:p>
            <w:pPr>
              <w:spacing w:after="0" w:line="232" w:lineRule="exact"/>
              <w:rPr>
                <w:sz w:val="20"/>
                <w:szCs w:val="20"/>
                <w:color w:val="auto"/>
              </w:rPr>
            </w:pPr>
            <w:r>
              <w:rPr>
                <w:rFonts w:ascii="Times New Roman" w:cs="Times New Roman" w:eastAsia="Times New Roman" w:hAnsi="Times New Roman"/>
                <w:sz w:val="21"/>
                <w:szCs w:val="21"/>
                <w:color w:val="auto"/>
              </w:rPr>
              <w:t>Section 8.03</w:t>
            </w:r>
          </w:p>
        </w:tc>
        <w:tc>
          <w:tcPr>
            <w:tcW w:w="2140" w:type="dxa"/>
            <w:vAlign w:val="bottom"/>
            <w:gridSpan w:val="15"/>
          </w:tcPr>
          <w:p>
            <w:pPr>
              <w:ind w:left="120"/>
              <w:spacing w:after="0" w:line="232" w:lineRule="exact"/>
              <w:rPr>
                <w:sz w:val="20"/>
                <w:szCs w:val="20"/>
                <w:color w:val="auto"/>
              </w:rPr>
            </w:pPr>
            <w:r>
              <w:rPr>
                <w:rFonts w:ascii="Times New Roman" w:cs="Times New Roman" w:eastAsia="Times New Roman" w:hAnsi="Times New Roman"/>
                <w:sz w:val="21"/>
                <w:szCs w:val="21"/>
                <w:color w:val="auto"/>
              </w:rPr>
              <w:t>Application of Funds</w:t>
            </w:r>
          </w:p>
        </w:tc>
        <w:tc>
          <w:tcPr>
            <w:tcW w:w="320" w:type="dxa"/>
            <w:vAlign w:val="bottom"/>
            <w:gridSpan w:val="6"/>
          </w:tcPr>
          <w:p>
            <w:pPr>
              <w:spacing w:after="0" w:line="232" w:lineRule="exact"/>
              <w:rPr>
                <w:sz w:val="20"/>
                <w:szCs w:val="20"/>
                <w:color w:val="auto"/>
              </w:rPr>
            </w:pPr>
            <w:r>
              <w:rPr>
                <w:rFonts w:ascii="Times New Roman" w:cs="Times New Roman" w:eastAsia="Times New Roman" w:hAnsi="Times New Roman"/>
                <w:sz w:val="21"/>
                <w:szCs w:val="21"/>
                <w:b w:val="1"/>
                <w:bCs w:val="1"/>
                <w:color w:val="FF0000"/>
                <w:strike w:val="1"/>
                <w:w w:val="88"/>
              </w:rPr>
              <w:t>158</w:t>
            </w:r>
          </w:p>
        </w:tc>
        <w:tc>
          <w:tcPr>
            <w:tcW w:w="320" w:type="dxa"/>
            <w:vAlign w:val="bottom"/>
            <w:gridSpan w:val="6"/>
          </w:tcPr>
          <w:p>
            <w:pPr>
              <w:jc w:val="right"/>
              <w:spacing w:after="0" w:line="232" w:lineRule="exact"/>
              <w:rPr>
                <w:sz w:val="20"/>
                <w:szCs w:val="20"/>
                <w:color w:val="auto"/>
              </w:rPr>
            </w:pPr>
            <w:r>
              <w:rPr>
                <w:rFonts w:ascii="Times New Roman" w:cs="Times New Roman" w:eastAsia="Times New Roman" w:hAnsi="Times New Roman"/>
                <w:sz w:val="21"/>
                <w:szCs w:val="21"/>
                <w:b w:val="1"/>
                <w:bCs w:val="1"/>
                <w:color w:val="0000FF"/>
                <w:w w:val="88"/>
              </w:rPr>
              <w:t>160</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1"/>
                <w:szCs w:val="21"/>
                <w:b w:val="1"/>
                <w:bCs w:val="1"/>
                <w:color w:val="FF0000"/>
                <w:strike w:val="1"/>
                <w:w w:val="95"/>
              </w:rPr>
              <w:t>158</w:t>
            </w: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1"/>
                <w:szCs w:val="21"/>
                <w:b w:val="1"/>
                <w:bCs w:val="1"/>
                <w:color w:val="0000FF"/>
                <w:w w:val="95"/>
              </w:rPr>
              <w:t>160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20" w:type="dxa"/>
            <w:vAlign w:val="bottom"/>
            <w:gridSpan w:val="2"/>
            <w:vMerge w:val="continue"/>
          </w:tcPr>
          <w:p>
            <w:pPr>
              <w:spacing w:after="0" w:line="20" w:lineRule="exact"/>
              <w:rPr>
                <w:sz w:val="1"/>
                <w:szCs w:val="1"/>
                <w:color w:val="auto"/>
              </w:rPr>
            </w:pPr>
          </w:p>
        </w:tc>
        <w:tc>
          <w:tcPr>
            <w:tcW w:w="320" w:type="dxa"/>
            <w:vAlign w:val="bottom"/>
            <w:gridSpan w:val="2"/>
            <w:vMerge w:val="continu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9"/>
        </w:trPr>
        <w:tc>
          <w:tcPr>
            <w:tcW w:w="1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gridSpan w:val="22"/>
          </w:tcPr>
          <w:p>
            <w:pPr>
              <w:spacing w:after="0"/>
              <w:rPr>
                <w:sz w:val="20"/>
                <w:szCs w:val="20"/>
                <w:color w:val="auto"/>
              </w:rPr>
            </w:pPr>
            <w:r>
              <w:rPr>
                <w:rFonts w:ascii="Times New Roman" w:cs="Times New Roman" w:eastAsia="Times New Roman" w:hAnsi="Times New Roman"/>
                <w:sz w:val="21"/>
                <w:szCs w:val="21"/>
                <w:color w:val="auto"/>
              </w:rPr>
              <w:t>Article 9. Agency</w:t>
            </w:r>
          </w:p>
        </w:tc>
        <w:tc>
          <w:tcPr>
            <w:tcW w:w="320" w:type="dxa"/>
            <w:vAlign w:val="bottom"/>
            <w:gridSpan w:val="2"/>
            <w:vMerge w:val="continue"/>
          </w:tcPr>
          <w:p>
            <w:pPr>
              <w:spacing w:after="0"/>
              <w:rPr>
                <w:sz w:val="24"/>
                <w:szCs w:val="24"/>
                <w:color w:val="auto"/>
              </w:rPr>
            </w:pPr>
          </w:p>
        </w:tc>
        <w:tc>
          <w:tcPr>
            <w:tcW w:w="320" w:type="dxa"/>
            <w:vAlign w:val="bottom"/>
            <w:tcBorders>
              <w:bottom w:val="single" w:sz="8" w:color="0000FF"/>
            </w:tcBorders>
            <w:gridSpan w:val="2"/>
            <w:vMerge w:val="continue"/>
          </w:tcPr>
          <w:p>
            <w:pPr>
              <w:spacing w:after="0"/>
              <w:rPr>
                <w:sz w:val="24"/>
                <w:szCs w:val="24"/>
                <w:color w:val="auto"/>
              </w:rPr>
            </w:pPr>
          </w:p>
        </w:tc>
        <w:tc>
          <w:tcPr>
            <w:tcW w:w="24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4"/>
        </w:trPr>
        <w:tc>
          <w:tcPr>
            <w:tcW w:w="1180" w:type="dxa"/>
            <w:vAlign w:val="bottom"/>
          </w:tcPr>
          <w:p>
            <w:pPr>
              <w:spacing w:after="0"/>
              <w:rPr>
                <w:sz w:val="20"/>
                <w:szCs w:val="20"/>
                <w:color w:val="auto"/>
              </w:rPr>
            </w:pPr>
            <w:r>
              <w:rPr>
                <w:rFonts w:ascii="Times New Roman" w:cs="Times New Roman" w:eastAsia="Times New Roman" w:hAnsi="Times New Roman"/>
                <w:sz w:val="21"/>
                <w:szCs w:val="21"/>
                <w:color w:val="auto"/>
              </w:rPr>
              <w:t>Section 9.01</w:t>
            </w:r>
          </w:p>
        </w:tc>
        <w:tc>
          <w:tcPr>
            <w:tcW w:w="2700" w:type="dxa"/>
            <w:vAlign w:val="bottom"/>
            <w:gridSpan w:val="26"/>
          </w:tcPr>
          <w:p>
            <w:pPr>
              <w:ind w:left="120"/>
              <w:spacing w:after="0"/>
              <w:rPr>
                <w:sz w:val="20"/>
                <w:szCs w:val="20"/>
                <w:color w:val="auto"/>
              </w:rPr>
            </w:pPr>
            <w:r>
              <w:rPr>
                <w:rFonts w:ascii="Times New Roman" w:cs="Times New Roman" w:eastAsia="Times New Roman" w:hAnsi="Times New Roman"/>
                <w:sz w:val="21"/>
                <w:szCs w:val="21"/>
                <w:color w:val="auto"/>
              </w:rPr>
              <w:t>Appointment and Authority</w:t>
            </w:r>
          </w:p>
        </w:tc>
        <w:tc>
          <w:tcPr>
            <w:tcW w:w="300" w:type="dxa"/>
            <w:vAlign w:val="bottom"/>
            <w:gridSpan w:val="5"/>
          </w:tcPr>
          <w:p>
            <w:pPr>
              <w:jc w:val="right"/>
              <w:spacing w:after="0"/>
              <w:rPr>
                <w:sz w:val="20"/>
                <w:szCs w:val="20"/>
                <w:color w:val="auto"/>
              </w:rPr>
            </w:pPr>
            <w:r>
              <w:rPr>
                <w:rFonts w:ascii="Times New Roman" w:cs="Times New Roman" w:eastAsia="Times New Roman" w:hAnsi="Times New Roman"/>
                <w:sz w:val="21"/>
                <w:szCs w:val="21"/>
                <w:b w:val="1"/>
                <w:bCs w:val="1"/>
                <w:color w:val="FF0000"/>
                <w:strike w:val="1"/>
                <w:w w:val="88"/>
              </w:rPr>
              <w:t>158</w:t>
            </w:r>
          </w:p>
        </w:tc>
        <w:tc>
          <w:tcPr>
            <w:tcW w:w="32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21"/>
                <w:szCs w:val="21"/>
                <w:b w:val="1"/>
                <w:bCs w:val="1"/>
                <w:color w:val="0000FF"/>
                <w:w w:val="95"/>
              </w:rPr>
              <w:t>160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180" w:type="dxa"/>
            <w:vAlign w:val="bottom"/>
          </w:tcPr>
          <w:p>
            <w:pPr>
              <w:spacing w:after="0" w:line="232" w:lineRule="exact"/>
              <w:rPr>
                <w:sz w:val="20"/>
                <w:szCs w:val="20"/>
                <w:color w:val="auto"/>
              </w:rPr>
            </w:pPr>
            <w:r>
              <w:rPr>
                <w:rFonts w:ascii="Times New Roman" w:cs="Times New Roman" w:eastAsia="Times New Roman" w:hAnsi="Times New Roman"/>
                <w:sz w:val="21"/>
                <w:szCs w:val="21"/>
                <w:color w:val="auto"/>
              </w:rPr>
              <w:t>Section 9.02</w:t>
            </w:r>
          </w:p>
        </w:tc>
        <w:tc>
          <w:tcPr>
            <w:tcW w:w="1720" w:type="dxa"/>
            <w:vAlign w:val="bottom"/>
            <w:gridSpan w:val="9"/>
          </w:tcPr>
          <w:p>
            <w:pPr>
              <w:ind w:left="120"/>
              <w:spacing w:after="0" w:line="232" w:lineRule="exact"/>
              <w:rPr>
                <w:sz w:val="20"/>
                <w:szCs w:val="20"/>
                <w:color w:val="auto"/>
              </w:rPr>
            </w:pPr>
            <w:r>
              <w:rPr>
                <w:rFonts w:ascii="Times New Roman" w:cs="Times New Roman" w:eastAsia="Times New Roman" w:hAnsi="Times New Roman"/>
                <w:sz w:val="21"/>
                <w:szCs w:val="21"/>
                <w:color w:val="auto"/>
                <w:w w:val="99"/>
              </w:rPr>
              <w:t>Rights as a Lender</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gridSpan w:val="5"/>
          </w:tcPr>
          <w:p>
            <w:pPr>
              <w:jc w:val="right"/>
              <w:spacing w:after="0" w:line="232" w:lineRule="exact"/>
              <w:rPr>
                <w:sz w:val="20"/>
                <w:szCs w:val="20"/>
                <w:color w:val="auto"/>
              </w:rPr>
            </w:pPr>
            <w:r>
              <w:rPr>
                <w:rFonts w:ascii="Times New Roman" w:cs="Times New Roman" w:eastAsia="Times New Roman" w:hAnsi="Times New Roman"/>
                <w:sz w:val="21"/>
                <w:szCs w:val="21"/>
                <w:b w:val="1"/>
                <w:bCs w:val="1"/>
                <w:color w:val="FF0000"/>
                <w:strike w:val="1"/>
                <w:w w:val="76"/>
              </w:rPr>
              <w:t>159</w:t>
            </w:r>
          </w:p>
        </w:tc>
        <w:tc>
          <w:tcPr>
            <w:tcW w:w="320" w:type="dxa"/>
            <w:vAlign w:val="bottom"/>
            <w:tcBorders>
              <w:bottom w:val="single" w:sz="8" w:color="0000FF"/>
            </w:tcBorders>
            <w:gridSpan w:val="5"/>
          </w:tcPr>
          <w:p>
            <w:pPr>
              <w:jc w:val="right"/>
              <w:spacing w:after="0" w:line="232" w:lineRule="exact"/>
              <w:rPr>
                <w:sz w:val="20"/>
                <w:szCs w:val="20"/>
                <w:color w:val="auto"/>
              </w:rPr>
            </w:pPr>
            <w:r>
              <w:rPr>
                <w:rFonts w:ascii="Times New Roman" w:cs="Times New Roman" w:eastAsia="Times New Roman" w:hAnsi="Times New Roman"/>
                <w:sz w:val="21"/>
                <w:szCs w:val="21"/>
                <w:b w:val="1"/>
                <w:bCs w:val="1"/>
                <w:color w:val="0000FF"/>
                <w:w w:val="88"/>
              </w:rPr>
              <w:t>161</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1180" w:type="dxa"/>
            <w:vAlign w:val="bottom"/>
          </w:tcPr>
          <w:p>
            <w:pPr>
              <w:spacing w:after="0"/>
              <w:rPr>
                <w:sz w:val="20"/>
                <w:szCs w:val="20"/>
                <w:color w:val="auto"/>
              </w:rPr>
            </w:pPr>
            <w:r>
              <w:rPr>
                <w:rFonts w:ascii="Times New Roman" w:cs="Times New Roman" w:eastAsia="Times New Roman" w:hAnsi="Times New Roman"/>
                <w:sz w:val="21"/>
                <w:szCs w:val="21"/>
                <w:color w:val="auto"/>
              </w:rPr>
              <w:t>Section 9.03</w:t>
            </w:r>
          </w:p>
        </w:tc>
        <w:tc>
          <w:tcPr>
            <w:tcW w:w="2140" w:type="dxa"/>
            <w:vAlign w:val="bottom"/>
            <w:gridSpan w:val="15"/>
          </w:tcPr>
          <w:p>
            <w:pPr>
              <w:ind w:left="120"/>
              <w:spacing w:after="0"/>
              <w:rPr>
                <w:sz w:val="20"/>
                <w:szCs w:val="20"/>
                <w:color w:val="auto"/>
              </w:rPr>
            </w:pPr>
            <w:r>
              <w:rPr>
                <w:rFonts w:ascii="Times New Roman" w:cs="Times New Roman" w:eastAsia="Times New Roman" w:hAnsi="Times New Roman"/>
                <w:sz w:val="21"/>
                <w:szCs w:val="21"/>
                <w:color w:val="auto"/>
              </w:rPr>
              <w:t>Exculpatory Provisions</w:t>
            </w:r>
          </w:p>
        </w:tc>
        <w:tc>
          <w:tcPr>
            <w:tcW w:w="200" w:type="dxa"/>
            <w:vAlign w:val="bottom"/>
            <w:gridSpan w:val="5"/>
          </w:tcPr>
          <w:p>
            <w:pPr>
              <w:spacing w:after="0"/>
              <w:rPr>
                <w:sz w:val="21"/>
                <w:szCs w:val="21"/>
                <w:color w:val="auto"/>
              </w:rPr>
            </w:pPr>
          </w:p>
        </w:tc>
        <w:tc>
          <w:tcPr>
            <w:tcW w:w="360" w:type="dxa"/>
            <w:vAlign w:val="bottom"/>
            <w:gridSpan w:val="6"/>
          </w:tcPr>
          <w:p>
            <w:pPr>
              <w:spacing w:after="0"/>
              <w:rPr>
                <w:sz w:val="20"/>
                <w:szCs w:val="20"/>
                <w:color w:val="auto"/>
              </w:rPr>
            </w:pPr>
            <w:r>
              <w:rPr>
                <w:rFonts w:ascii="Times New Roman" w:cs="Times New Roman" w:eastAsia="Times New Roman" w:hAnsi="Times New Roman"/>
                <w:sz w:val="21"/>
                <w:szCs w:val="21"/>
                <w:b w:val="1"/>
                <w:bCs w:val="1"/>
                <w:color w:val="FF0000"/>
                <w:strike w:val="1"/>
              </w:rPr>
              <w:t>159</w:t>
            </w:r>
          </w:p>
        </w:tc>
        <w:tc>
          <w:tcPr>
            <w:tcW w:w="240" w:type="dxa"/>
            <w:vAlign w:val="bottom"/>
            <w:gridSpan w:val="4"/>
          </w:tcPr>
          <w:p>
            <w:pPr>
              <w:spacing w:after="0"/>
              <w:rPr>
                <w:sz w:val="20"/>
                <w:szCs w:val="20"/>
                <w:color w:val="auto"/>
              </w:rPr>
            </w:pPr>
            <w:r>
              <w:rPr>
                <w:rFonts w:ascii="Times New Roman" w:cs="Times New Roman" w:eastAsia="Times New Roman" w:hAnsi="Times New Roman"/>
                <w:sz w:val="19"/>
                <w:szCs w:val="19"/>
                <w:b w:val="1"/>
                <w:bCs w:val="1"/>
                <w:color w:val="0000FF"/>
                <w:w w:val="70"/>
              </w:rPr>
              <w:t>161</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8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rPr>
              <w:t>Section 9.04</w:t>
            </w:r>
          </w:p>
        </w:tc>
        <w:tc>
          <w:tcPr>
            <w:tcW w:w="10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1"/>
                <w:szCs w:val="21"/>
                <w:color w:val="auto"/>
              </w:rPr>
              <w:t>Reliance</w:t>
            </w:r>
          </w:p>
        </w:tc>
        <w:tc>
          <w:tcPr>
            <w:tcW w:w="300" w:type="dxa"/>
            <w:vAlign w:val="bottom"/>
            <w:gridSpan w:val="3"/>
            <w:vMerge w:val="restart"/>
          </w:tcPr>
          <w:p>
            <w:pPr>
              <w:jc w:val="right"/>
              <w:spacing w:after="0"/>
              <w:rPr>
                <w:sz w:val="20"/>
                <w:szCs w:val="20"/>
                <w:color w:val="auto"/>
              </w:rPr>
            </w:pPr>
            <w:r>
              <w:rPr>
                <w:rFonts w:ascii="Times New Roman" w:cs="Times New Roman" w:eastAsia="Times New Roman" w:hAnsi="Times New Roman"/>
                <w:sz w:val="21"/>
                <w:szCs w:val="21"/>
                <w:b w:val="1"/>
                <w:bCs w:val="1"/>
                <w:color w:val="FF0000"/>
                <w:strike w:val="1"/>
                <w:w w:val="88"/>
              </w:rPr>
              <w:t>160</w:t>
            </w:r>
          </w:p>
        </w:tc>
        <w:tc>
          <w:tcPr>
            <w:tcW w:w="340" w:type="dxa"/>
            <w:vAlign w:val="bottom"/>
            <w:gridSpan w:val="4"/>
            <w:vMerge w:val="restart"/>
          </w:tcPr>
          <w:p>
            <w:pPr>
              <w:jc w:val="right"/>
              <w:spacing w:after="0"/>
              <w:rPr>
                <w:sz w:val="20"/>
                <w:szCs w:val="20"/>
                <w:color w:val="auto"/>
              </w:rPr>
            </w:pPr>
            <w:r>
              <w:rPr>
                <w:rFonts w:ascii="Times New Roman" w:cs="Times New Roman" w:eastAsia="Times New Roman" w:hAnsi="Times New Roman"/>
                <w:sz w:val="21"/>
                <w:szCs w:val="21"/>
                <w:b w:val="1"/>
                <w:bCs w:val="1"/>
                <w:color w:val="0000FF"/>
                <w:w w:val="95"/>
              </w:rPr>
              <w:t>162</w:t>
            </w:r>
          </w:p>
        </w:tc>
        <w:tc>
          <w:tcPr>
            <w:tcW w:w="980" w:type="dxa"/>
            <w:vAlign w:val="bottom"/>
            <w:tcBorders>
              <w:right w:val="single" w:sz="8" w:color="0000FF"/>
            </w:tcBorders>
            <w:gridSpan w:val="17"/>
          </w:tcPr>
          <w:p>
            <w:pPr>
              <w:spacing w:after="0" w:line="20" w:lineRule="exact"/>
              <w:rPr>
                <w:sz w:val="1"/>
                <w:szCs w:val="1"/>
                <w:color w:val="auto"/>
              </w:rPr>
            </w:pPr>
          </w:p>
        </w:tc>
        <w:tc>
          <w:tcPr>
            <w:tcW w:w="3320" w:type="dxa"/>
            <w:vAlign w:val="bottom"/>
            <w:tcBorders>
              <w:left w:val="single" w:sz="8" w:color="0000FF"/>
            </w:tcBorders>
            <w:gridSpan w:val="38"/>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80" w:type="dxa"/>
            <w:vAlign w:val="bottom"/>
            <w:vMerge w:val="continue"/>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300" w:type="dxa"/>
            <w:vAlign w:val="bottom"/>
            <w:gridSpan w:val="3"/>
            <w:vMerge w:val="continue"/>
          </w:tcPr>
          <w:p>
            <w:pPr>
              <w:spacing w:after="0"/>
              <w:rPr>
                <w:sz w:val="20"/>
                <w:szCs w:val="20"/>
                <w:color w:val="auto"/>
              </w:rPr>
            </w:pPr>
          </w:p>
        </w:tc>
        <w:tc>
          <w:tcPr>
            <w:tcW w:w="340" w:type="dxa"/>
            <w:vAlign w:val="bottom"/>
            <w:tcBorders>
              <w:bottom w:val="single" w:sz="8" w:color="0000FF"/>
            </w:tcBorders>
            <w:gridSpan w:val="4"/>
            <w:vMerge w:val="continue"/>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gridSpan w:val="7"/>
            <w:vMerge w:val="restart"/>
          </w:tcPr>
          <w:p>
            <w:pPr>
              <w:spacing w:after="0"/>
              <w:rPr>
                <w:sz w:val="20"/>
                <w:szCs w:val="20"/>
                <w:color w:val="auto"/>
              </w:rPr>
            </w:pPr>
            <w:r>
              <w:rPr>
                <w:rFonts w:ascii="Times New Roman" w:cs="Times New Roman" w:eastAsia="Times New Roman" w:hAnsi="Times New Roman"/>
                <w:sz w:val="21"/>
                <w:szCs w:val="21"/>
                <w:b w:val="1"/>
                <w:bCs w:val="1"/>
                <w:color w:val="FF0000"/>
                <w:strike w:val="1"/>
              </w:rPr>
              <w:t>160</w:t>
            </w:r>
          </w:p>
        </w:tc>
        <w:tc>
          <w:tcPr>
            <w:tcW w:w="240" w:type="dxa"/>
            <w:vAlign w:val="bottom"/>
            <w:gridSpan w:val="5"/>
            <w:vMerge w:val="restart"/>
          </w:tcPr>
          <w:p>
            <w:pPr>
              <w:jc w:val="right"/>
              <w:spacing w:after="0"/>
              <w:rPr>
                <w:sz w:val="20"/>
                <w:szCs w:val="20"/>
                <w:color w:val="auto"/>
              </w:rPr>
            </w:pPr>
            <w:r>
              <w:rPr>
                <w:rFonts w:ascii="Times New Roman" w:cs="Times New Roman" w:eastAsia="Times New Roman" w:hAnsi="Times New Roman"/>
                <w:sz w:val="21"/>
                <w:szCs w:val="21"/>
                <w:b w:val="1"/>
                <w:bCs w:val="1"/>
                <w:color w:val="0000FF"/>
                <w:w w:val="82"/>
              </w:rPr>
              <w:t>163</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80" w:type="dxa"/>
            <w:vAlign w:val="bottom"/>
          </w:tcPr>
          <w:p>
            <w:pPr>
              <w:spacing w:after="0" w:line="232" w:lineRule="exact"/>
              <w:rPr>
                <w:sz w:val="20"/>
                <w:szCs w:val="20"/>
                <w:color w:val="auto"/>
              </w:rPr>
            </w:pPr>
            <w:r>
              <w:rPr>
                <w:rFonts w:ascii="Times New Roman" w:cs="Times New Roman" w:eastAsia="Times New Roman" w:hAnsi="Times New Roman"/>
                <w:sz w:val="21"/>
                <w:szCs w:val="21"/>
                <w:color w:val="auto"/>
              </w:rPr>
              <w:t>Section 9.05</w:t>
            </w:r>
          </w:p>
        </w:tc>
        <w:tc>
          <w:tcPr>
            <w:tcW w:w="1980" w:type="dxa"/>
            <w:vAlign w:val="bottom"/>
            <w:gridSpan w:val="13"/>
          </w:tcPr>
          <w:p>
            <w:pPr>
              <w:ind w:left="120"/>
              <w:spacing w:after="0" w:line="232" w:lineRule="exact"/>
              <w:rPr>
                <w:sz w:val="20"/>
                <w:szCs w:val="20"/>
                <w:color w:val="auto"/>
              </w:rPr>
            </w:pPr>
            <w:r>
              <w:rPr>
                <w:rFonts w:ascii="Times New Roman" w:cs="Times New Roman" w:eastAsia="Times New Roman" w:hAnsi="Times New Roman"/>
                <w:sz w:val="21"/>
                <w:szCs w:val="21"/>
                <w:color w:val="auto"/>
              </w:rPr>
              <w:t>Delegation of Duties</w:t>
            </w:r>
          </w:p>
        </w:tc>
        <w:tc>
          <w:tcPr>
            <w:tcW w:w="120" w:type="dxa"/>
            <w:vAlign w:val="bottom"/>
          </w:tcPr>
          <w:p>
            <w:pPr>
              <w:spacing w:after="0"/>
              <w:rPr>
                <w:sz w:val="20"/>
                <w:szCs w:val="20"/>
                <w:color w:val="auto"/>
              </w:rPr>
            </w:pPr>
          </w:p>
        </w:tc>
        <w:tc>
          <w:tcPr>
            <w:tcW w:w="360" w:type="dxa"/>
            <w:vAlign w:val="bottom"/>
            <w:gridSpan w:val="7"/>
            <w:vMerge w:val="continue"/>
          </w:tcPr>
          <w:p>
            <w:pPr>
              <w:spacing w:after="0"/>
              <w:rPr>
                <w:sz w:val="20"/>
                <w:szCs w:val="20"/>
                <w:color w:val="auto"/>
              </w:rPr>
            </w:pPr>
          </w:p>
        </w:tc>
        <w:tc>
          <w:tcPr>
            <w:tcW w:w="240" w:type="dxa"/>
            <w:vAlign w:val="bottom"/>
            <w:tcBorders>
              <w:bottom w:val="single" w:sz="8" w:color="0000FF"/>
            </w:tcBorders>
            <w:gridSpan w:val="5"/>
            <w:vMerge w:val="continue"/>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21"/>
                <w:szCs w:val="21"/>
                <w:b w:val="1"/>
                <w:bCs w:val="1"/>
                <w:color w:val="FF0000"/>
                <w:strike w:val="1"/>
                <w:w w:val="95"/>
              </w:rPr>
              <w:t>161</w:t>
            </w:r>
          </w:p>
        </w:tc>
        <w:tc>
          <w:tcPr>
            <w:tcW w:w="400" w:type="dxa"/>
            <w:vAlign w:val="bottom"/>
            <w:gridSpan w:val="5"/>
            <w:vMerge w:val="restart"/>
          </w:tcPr>
          <w:p>
            <w:pPr>
              <w:jc w:val="right"/>
              <w:ind w:right="80"/>
              <w:spacing w:after="0"/>
              <w:rPr>
                <w:sz w:val="20"/>
                <w:szCs w:val="20"/>
                <w:color w:val="auto"/>
              </w:rPr>
            </w:pPr>
            <w:r>
              <w:rPr>
                <w:rFonts w:ascii="Times New Roman" w:cs="Times New Roman" w:eastAsia="Times New Roman" w:hAnsi="Times New Roman"/>
                <w:sz w:val="21"/>
                <w:szCs w:val="21"/>
                <w:b w:val="1"/>
                <w:bCs w:val="1"/>
                <w:color w:val="0000FF"/>
                <w:w w:val="95"/>
              </w:rPr>
              <w:t>163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180" w:type="dxa"/>
            <w:vAlign w:val="bottom"/>
          </w:tcPr>
          <w:p>
            <w:pPr>
              <w:spacing w:after="0" w:line="232" w:lineRule="exact"/>
              <w:rPr>
                <w:sz w:val="20"/>
                <w:szCs w:val="20"/>
                <w:color w:val="auto"/>
              </w:rPr>
            </w:pPr>
            <w:r>
              <w:rPr>
                <w:rFonts w:ascii="Times New Roman" w:cs="Times New Roman" w:eastAsia="Times New Roman" w:hAnsi="Times New Roman"/>
                <w:sz w:val="21"/>
                <w:szCs w:val="21"/>
                <w:color w:val="auto"/>
              </w:rPr>
              <w:t>Section 9.06</w:t>
            </w:r>
          </w:p>
        </w:tc>
        <w:tc>
          <w:tcPr>
            <w:tcW w:w="3460" w:type="dxa"/>
            <w:vAlign w:val="bottom"/>
            <w:gridSpan w:val="37"/>
          </w:tcPr>
          <w:p>
            <w:pPr>
              <w:ind w:left="120"/>
              <w:spacing w:after="0" w:line="232" w:lineRule="exact"/>
              <w:rPr>
                <w:sz w:val="20"/>
                <w:szCs w:val="20"/>
                <w:color w:val="auto"/>
              </w:rPr>
            </w:pPr>
            <w:r>
              <w:rPr>
                <w:rFonts w:ascii="Times New Roman" w:cs="Times New Roman" w:eastAsia="Times New Roman" w:hAnsi="Times New Roman"/>
                <w:sz w:val="21"/>
                <w:szCs w:val="21"/>
                <w:color w:val="auto"/>
              </w:rPr>
              <w:t>Resignation of Administrative Agent</w:t>
            </w:r>
          </w:p>
        </w:tc>
        <w:tc>
          <w:tcPr>
            <w:tcW w:w="320" w:type="dxa"/>
            <w:vAlign w:val="bottom"/>
            <w:gridSpan w:val="3"/>
            <w:vMerge w:val="continue"/>
          </w:tcPr>
          <w:p>
            <w:pPr>
              <w:spacing w:after="0"/>
              <w:rPr>
                <w:sz w:val="20"/>
                <w:szCs w:val="20"/>
                <w:color w:val="auto"/>
              </w:rPr>
            </w:pPr>
          </w:p>
        </w:tc>
        <w:tc>
          <w:tcPr>
            <w:tcW w:w="400" w:type="dxa"/>
            <w:vAlign w:val="bottom"/>
            <w:gridSpan w:val="5"/>
            <w:vMerge w:val="continue"/>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gridSpan w:val="5"/>
            <w:vMerge w:val="restart"/>
          </w:tcPr>
          <w:p>
            <w:pPr>
              <w:jc w:val="right"/>
              <w:spacing w:after="0"/>
              <w:rPr>
                <w:sz w:val="20"/>
                <w:szCs w:val="20"/>
                <w:color w:val="auto"/>
              </w:rPr>
            </w:pPr>
            <w:r>
              <w:rPr>
                <w:rFonts w:ascii="Times New Roman" w:cs="Times New Roman" w:eastAsia="Times New Roman" w:hAnsi="Times New Roman"/>
                <w:sz w:val="21"/>
                <w:szCs w:val="21"/>
                <w:b w:val="1"/>
                <w:bCs w:val="1"/>
                <w:color w:val="FF0000"/>
                <w:strike w:val="1"/>
                <w:w w:val="95"/>
              </w:rPr>
              <w:t>162</w:t>
            </w:r>
          </w:p>
        </w:tc>
        <w:tc>
          <w:tcPr>
            <w:tcW w:w="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21"/>
                <w:szCs w:val="21"/>
                <w:b w:val="1"/>
                <w:bCs w:val="1"/>
                <w:color w:val="0000FF"/>
                <w:w w:val="95"/>
              </w:rPr>
              <w:t>164</w:t>
            </w:r>
          </w:p>
        </w:tc>
        <w:tc>
          <w:tcPr>
            <w:tcW w:w="8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gridSpan w:val="35"/>
          </w:tcPr>
          <w:p>
            <w:pPr>
              <w:spacing w:after="0" w:line="20" w:lineRule="exact"/>
              <w:rPr>
                <w:sz w:val="1"/>
                <w:szCs w:val="1"/>
                <w:color w:val="auto"/>
              </w:rPr>
            </w:pPr>
          </w:p>
        </w:tc>
        <w:tc>
          <w:tcPr>
            <w:tcW w:w="320" w:type="dxa"/>
            <w:vAlign w:val="bottom"/>
            <w:gridSpan w:val="4"/>
            <w:shd w:val="clear" w:color="auto" w:fill="0000FF"/>
          </w:tcPr>
          <w:p>
            <w:pPr>
              <w:spacing w:after="0" w:line="20" w:lineRule="exact"/>
              <w:rPr>
                <w:sz w:val="1"/>
                <w:szCs w:val="1"/>
                <w:color w:val="auto"/>
              </w:rPr>
            </w:pPr>
          </w:p>
        </w:tc>
        <w:tc>
          <w:tcPr>
            <w:tcW w:w="1120" w:type="dxa"/>
            <w:vAlign w:val="bottom"/>
            <w:gridSpan w:val="1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5"/>
            <w:vMerge w:val="continue"/>
          </w:tcPr>
          <w:p>
            <w:pPr>
              <w:spacing w:after="0" w:line="20" w:lineRule="exact"/>
              <w:rPr>
                <w:sz w:val="1"/>
                <w:szCs w:val="1"/>
                <w:color w:val="auto"/>
              </w:rPr>
            </w:pPr>
          </w:p>
        </w:tc>
        <w:tc>
          <w:tcPr>
            <w:tcW w:w="320" w:type="dxa"/>
            <w:vAlign w:val="bottom"/>
            <w:gridSpan w:val="3"/>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80" w:type="dxa"/>
            <w:vAlign w:val="bottom"/>
          </w:tcPr>
          <w:p>
            <w:pPr>
              <w:spacing w:after="0" w:line="232" w:lineRule="exact"/>
              <w:rPr>
                <w:sz w:val="20"/>
                <w:szCs w:val="20"/>
                <w:color w:val="auto"/>
              </w:rPr>
            </w:pPr>
            <w:r>
              <w:rPr>
                <w:rFonts w:ascii="Times New Roman" w:cs="Times New Roman" w:eastAsia="Times New Roman" w:hAnsi="Times New Roman"/>
                <w:sz w:val="21"/>
                <w:szCs w:val="21"/>
                <w:color w:val="auto"/>
              </w:rPr>
              <w:t>Section 9.07</w:t>
            </w:r>
          </w:p>
        </w:tc>
        <w:tc>
          <w:tcPr>
            <w:tcW w:w="5220" w:type="dxa"/>
            <w:vAlign w:val="bottom"/>
            <w:gridSpan w:val="54"/>
          </w:tcPr>
          <w:p>
            <w:pPr>
              <w:ind w:left="120"/>
              <w:spacing w:after="0" w:line="232" w:lineRule="exact"/>
              <w:rPr>
                <w:sz w:val="20"/>
                <w:szCs w:val="20"/>
                <w:color w:val="auto"/>
              </w:rPr>
            </w:pPr>
            <w:r>
              <w:rPr>
                <w:rFonts w:ascii="Times New Roman" w:cs="Times New Roman" w:eastAsia="Times New Roman" w:hAnsi="Times New Roman"/>
                <w:sz w:val="21"/>
                <w:szCs w:val="21"/>
                <w:color w:val="auto"/>
              </w:rPr>
              <w:t>Non-Reliance on Administrative Agent and Other Lenders</w:t>
            </w:r>
          </w:p>
        </w:tc>
        <w:tc>
          <w:tcPr>
            <w:tcW w:w="80" w:type="dxa"/>
            <w:vAlign w:val="bottom"/>
          </w:tcPr>
          <w:p>
            <w:pPr>
              <w:spacing w:after="0"/>
              <w:rPr>
                <w:sz w:val="20"/>
                <w:szCs w:val="20"/>
                <w:color w:val="auto"/>
              </w:rPr>
            </w:pPr>
          </w:p>
        </w:tc>
        <w:tc>
          <w:tcPr>
            <w:tcW w:w="320" w:type="dxa"/>
            <w:vAlign w:val="bottom"/>
            <w:gridSpan w:val="5"/>
            <w:vMerge w:val="continue"/>
          </w:tcPr>
          <w:p>
            <w:pPr>
              <w:spacing w:after="0"/>
              <w:rPr>
                <w:sz w:val="20"/>
                <w:szCs w:val="20"/>
                <w:color w:val="auto"/>
              </w:rPr>
            </w:pPr>
          </w:p>
        </w:tc>
        <w:tc>
          <w:tcPr>
            <w:tcW w:w="320" w:type="dxa"/>
            <w:vAlign w:val="bottom"/>
            <w:tcBorders>
              <w:bottom w:val="single" w:sz="8" w:color="0000FF"/>
            </w:tcBorders>
            <w:gridSpan w:val="3"/>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499"/>
          </w:cols>
          <w:pgMar w:left="960" w:top="1382"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0"/>
          <w:szCs w:val="20"/>
          <w:color w:val="auto"/>
        </w:rPr>
        <w:t>iv</w:t>
      </w:r>
    </w:p>
    <w:p>
      <w:pPr>
        <w:sectPr>
          <w:pgSz w:w="11900" w:h="16838" w:orient="portrait"/>
          <w:cols w:equalWidth="0" w:num="1">
            <w:col w:w="9499"/>
          </w:cols>
          <w:pgMar w:left="960" w:top="1382" w:right="1440" w:bottom="1440" w:gutter="0" w:footer="0" w:header="0"/>
          <w:type w:val="continuous"/>
        </w:sectPr>
      </w:pPr>
    </w:p>
    <w:bookmarkStart w:id="104" w:name="page105"/>
    <w:bookmarkEnd w:id="104"/>
    <w:tbl>
      <w:tblPr>
        <w:tblLayout w:type="fixed"/>
        <w:tblInd w:w="0" w:type="dxa"/>
        <w:tblCellMar>
          <w:top w:w="0" w:type="dxa"/>
          <w:left w:w="0" w:type="dxa"/>
          <w:bottom w:w="0" w:type="dxa"/>
          <w:right w:w="0" w:type="dxa"/>
        </w:tblCellMar>
      </w:tblPr>
      <w:tr>
        <w:trPr>
          <w:trHeight w:val="39"/>
        </w:trPr>
        <w:tc>
          <w:tcPr>
            <w:tcW w:w="3360" w:type="dxa"/>
            <w:vAlign w:val="bottom"/>
            <w:gridSpan w:val="2"/>
            <w:vMerge w:val="restart"/>
          </w:tcPr>
          <w:p>
            <w:pPr>
              <w:spacing w:after="0"/>
              <w:rPr>
                <w:sz w:val="20"/>
                <w:szCs w:val="20"/>
                <w:color w:val="auto"/>
              </w:rPr>
            </w:pPr>
            <w:r>
              <w:rPr>
                <w:rFonts w:ascii="Times New Roman" w:cs="Times New Roman" w:eastAsia="Times New Roman" w:hAnsi="Times New Roman"/>
                <w:sz w:val="21"/>
                <w:szCs w:val="21"/>
                <w:color w:val="auto"/>
              </w:rPr>
              <w:t>Section 9.08  No Other Duties, Etc.</w:t>
            </w: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1"/>
                <w:szCs w:val="21"/>
                <w:b w:val="1"/>
                <w:bCs w:val="1"/>
                <w:color w:val="FF0000"/>
                <w:strike w:val="1"/>
                <w:w w:val="95"/>
              </w:rPr>
              <w:t>162</w:t>
            </w:r>
          </w:p>
        </w:tc>
        <w:tc>
          <w:tcPr>
            <w:tcW w:w="420" w:type="dxa"/>
            <w:vAlign w:val="bottom"/>
            <w:gridSpan w:val="4"/>
            <w:vMerge w:val="restart"/>
          </w:tcPr>
          <w:p>
            <w:pPr>
              <w:jc w:val="right"/>
              <w:ind w:right="120"/>
              <w:spacing w:after="0"/>
              <w:rPr>
                <w:sz w:val="20"/>
                <w:szCs w:val="20"/>
                <w:color w:val="auto"/>
              </w:rPr>
            </w:pPr>
            <w:r>
              <w:rPr>
                <w:rFonts w:ascii="Times New Roman" w:cs="Times New Roman" w:eastAsia="Times New Roman" w:hAnsi="Times New Roman"/>
                <w:sz w:val="21"/>
                <w:szCs w:val="21"/>
                <w:b w:val="1"/>
                <w:bCs w:val="1"/>
                <w:color w:val="0000FF"/>
                <w:w w:val="88"/>
              </w:rPr>
              <w:t>164</w:t>
            </w:r>
          </w:p>
        </w:tc>
        <w:tc>
          <w:tcPr>
            <w:tcW w:w="40" w:type="dxa"/>
            <w:vAlign w:val="bottom"/>
            <w:vMerge w:val="restart"/>
          </w:tcPr>
          <w:p>
            <w:pPr>
              <w:spacing w:after="0"/>
              <w:rPr>
                <w:sz w:val="3"/>
                <w:szCs w:val="3"/>
                <w:color w:val="auto"/>
              </w:rPr>
            </w:pPr>
          </w:p>
        </w:tc>
        <w:tc>
          <w:tcPr>
            <w:tcW w:w="100" w:type="dxa"/>
            <w:vAlign w:val="bottom"/>
            <w:vMerge w:val="restart"/>
          </w:tcPr>
          <w:p>
            <w:pPr>
              <w:spacing w:after="0"/>
              <w:rPr>
                <w:sz w:val="3"/>
                <w:szCs w:val="3"/>
                <w:color w:val="auto"/>
              </w:rPr>
            </w:pPr>
          </w:p>
        </w:tc>
        <w:tc>
          <w:tcPr>
            <w:tcW w:w="180" w:type="dxa"/>
            <w:vAlign w:val="bottom"/>
            <w:vMerge w:val="restart"/>
          </w:tcPr>
          <w:p>
            <w:pPr>
              <w:spacing w:after="0"/>
              <w:rPr>
                <w:sz w:val="3"/>
                <w:szCs w:val="3"/>
                <w:color w:val="auto"/>
              </w:rPr>
            </w:pPr>
          </w:p>
        </w:tc>
        <w:tc>
          <w:tcPr>
            <w:tcW w:w="140" w:type="dxa"/>
            <w:vAlign w:val="bottom"/>
            <w:vMerge w:val="restart"/>
          </w:tcPr>
          <w:p>
            <w:pPr>
              <w:spacing w:after="0"/>
              <w:rPr>
                <w:sz w:val="3"/>
                <w:szCs w:val="3"/>
                <w:color w:val="auto"/>
              </w:rPr>
            </w:pPr>
          </w:p>
        </w:tc>
        <w:tc>
          <w:tcPr>
            <w:tcW w:w="320" w:type="dxa"/>
            <w:vAlign w:val="bottom"/>
            <w:vMerge w:val="restart"/>
          </w:tcPr>
          <w:p>
            <w:pPr>
              <w:spacing w:after="0"/>
              <w:rPr>
                <w:sz w:val="3"/>
                <w:szCs w:val="3"/>
                <w:color w:val="auto"/>
              </w:rPr>
            </w:pPr>
          </w:p>
        </w:tc>
        <w:tc>
          <w:tcPr>
            <w:tcW w:w="700" w:type="dxa"/>
            <w:vAlign w:val="bottom"/>
            <w:vMerge w:val="restart"/>
          </w:tcPr>
          <w:p>
            <w:pPr>
              <w:spacing w:after="0"/>
              <w:rPr>
                <w:sz w:val="3"/>
                <w:szCs w:val="3"/>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21"/>
                <w:szCs w:val="21"/>
                <w:b w:val="1"/>
                <w:bCs w:val="1"/>
                <w:color w:val="FF0000"/>
                <w:strike w:val="1"/>
                <w:w w:val="95"/>
              </w:rPr>
              <w:t>162</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21"/>
                <w:szCs w:val="21"/>
                <w:b w:val="1"/>
                <w:bCs w:val="1"/>
                <w:color w:val="0000FF"/>
                <w:w w:val="95"/>
              </w:rPr>
              <w:t>164</w:t>
            </w:r>
          </w:p>
        </w:tc>
        <w:tc>
          <w:tcPr>
            <w:tcW w:w="0" w:type="dxa"/>
            <w:vAlign w:val="bottom"/>
          </w:tcPr>
          <w:p>
            <w:pPr>
              <w:spacing w:after="0" w:line="20" w:lineRule="exact"/>
              <w:rPr>
                <w:sz w:val="1"/>
                <w:szCs w:val="1"/>
                <w:color w:val="auto"/>
              </w:rPr>
            </w:pPr>
          </w:p>
        </w:tc>
      </w:tr>
      <w:tr>
        <w:trPr>
          <w:trHeight w:val="202"/>
        </w:trPr>
        <w:tc>
          <w:tcPr>
            <w:tcW w:w="3360" w:type="dxa"/>
            <w:vAlign w:val="bottom"/>
            <w:gridSpan w:val="2"/>
            <w:vMerge w:val="continue"/>
          </w:tcPr>
          <w:p>
            <w:pPr>
              <w:spacing w:after="0"/>
              <w:rPr>
                <w:sz w:val="17"/>
                <w:szCs w:val="17"/>
                <w:color w:val="auto"/>
              </w:rPr>
            </w:pPr>
          </w:p>
        </w:tc>
        <w:tc>
          <w:tcPr>
            <w:tcW w:w="320" w:type="dxa"/>
            <w:vAlign w:val="bottom"/>
            <w:gridSpan w:val="2"/>
            <w:vMerge w:val="continue"/>
          </w:tcPr>
          <w:p>
            <w:pPr>
              <w:spacing w:after="0"/>
              <w:rPr>
                <w:sz w:val="17"/>
                <w:szCs w:val="17"/>
                <w:color w:val="auto"/>
              </w:rPr>
            </w:pPr>
          </w:p>
        </w:tc>
        <w:tc>
          <w:tcPr>
            <w:tcW w:w="420" w:type="dxa"/>
            <w:vAlign w:val="bottom"/>
            <w:gridSpan w:val="4"/>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80" w:type="dxa"/>
            <w:vAlign w:val="bottom"/>
          </w:tcPr>
          <w:p>
            <w:pPr>
              <w:spacing w:after="0" w:line="232" w:lineRule="exact"/>
              <w:rPr>
                <w:sz w:val="20"/>
                <w:szCs w:val="20"/>
                <w:color w:val="auto"/>
              </w:rPr>
            </w:pPr>
            <w:r>
              <w:rPr>
                <w:rFonts w:ascii="Times New Roman" w:cs="Times New Roman" w:eastAsia="Times New Roman" w:hAnsi="Times New Roman"/>
                <w:sz w:val="21"/>
                <w:szCs w:val="21"/>
                <w:color w:val="auto"/>
              </w:rPr>
              <w:t>Section 9.09</w:t>
            </w:r>
          </w:p>
        </w:tc>
        <w:tc>
          <w:tcPr>
            <w:tcW w:w="4400" w:type="dxa"/>
            <w:vAlign w:val="bottom"/>
            <w:gridSpan w:val="13"/>
          </w:tcPr>
          <w:p>
            <w:pPr>
              <w:ind w:left="120"/>
              <w:spacing w:after="0" w:line="232" w:lineRule="exact"/>
              <w:rPr>
                <w:sz w:val="20"/>
                <w:szCs w:val="20"/>
                <w:color w:val="auto"/>
              </w:rPr>
            </w:pPr>
            <w:r>
              <w:rPr>
                <w:rFonts w:ascii="Times New Roman" w:cs="Times New Roman" w:eastAsia="Times New Roman" w:hAnsi="Times New Roman"/>
                <w:sz w:val="21"/>
                <w:szCs w:val="21"/>
                <w:color w:val="auto"/>
              </w:rPr>
              <w:t>Administrative Agent May File Proofs of Claim</w:t>
            </w:r>
          </w:p>
        </w:tc>
        <w:tc>
          <w:tcPr>
            <w:tcW w:w="320" w:type="dxa"/>
            <w:vAlign w:val="bottom"/>
            <w:vMerge w:val="continue"/>
          </w:tcPr>
          <w:p>
            <w:pPr>
              <w:spacing w:after="0"/>
              <w:rPr>
                <w:sz w:val="20"/>
                <w:szCs w:val="20"/>
                <w:color w:val="auto"/>
              </w:rPr>
            </w:pPr>
          </w:p>
        </w:tc>
        <w:tc>
          <w:tcPr>
            <w:tcW w:w="320" w:type="dxa"/>
            <w:vAlign w:val="bottom"/>
            <w:tcBorders>
              <w:bottom w:val="single" w:sz="8" w:color="0000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180" w:type="dxa"/>
            <w:vAlign w:val="bottom"/>
          </w:tcPr>
          <w:p>
            <w:pPr>
              <w:spacing w:after="0" w:line="232" w:lineRule="exact"/>
              <w:rPr>
                <w:sz w:val="20"/>
                <w:szCs w:val="20"/>
                <w:color w:val="auto"/>
              </w:rPr>
            </w:pPr>
            <w:r>
              <w:rPr>
                <w:rFonts w:ascii="Times New Roman" w:cs="Times New Roman" w:eastAsia="Times New Roman" w:hAnsi="Times New Roman"/>
                <w:sz w:val="21"/>
                <w:szCs w:val="21"/>
                <w:color w:val="auto"/>
              </w:rPr>
              <w:t>Section 9.10</w:t>
            </w:r>
          </w:p>
        </w:tc>
        <w:tc>
          <w:tcPr>
            <w:tcW w:w="3060" w:type="dxa"/>
            <w:vAlign w:val="bottom"/>
            <w:gridSpan w:val="9"/>
          </w:tcPr>
          <w:p>
            <w:pPr>
              <w:ind w:left="120"/>
              <w:spacing w:after="0" w:line="232" w:lineRule="exact"/>
              <w:rPr>
                <w:sz w:val="20"/>
                <w:szCs w:val="20"/>
                <w:color w:val="auto"/>
              </w:rPr>
            </w:pPr>
            <w:r>
              <w:rPr>
                <w:rFonts w:ascii="Times New Roman" w:cs="Times New Roman" w:eastAsia="Times New Roman" w:hAnsi="Times New Roman"/>
                <w:sz w:val="21"/>
                <w:szCs w:val="21"/>
                <w:color w:val="auto"/>
              </w:rPr>
              <w:t>Collateral and Guaranty Matters</w:t>
            </w:r>
          </w:p>
        </w:tc>
        <w:tc>
          <w:tcPr>
            <w:tcW w:w="320" w:type="dxa"/>
            <w:vAlign w:val="bottom"/>
            <w:gridSpan w:val="2"/>
          </w:tcPr>
          <w:p>
            <w:pPr>
              <w:jc w:val="right"/>
              <w:spacing w:after="0" w:line="232" w:lineRule="exact"/>
              <w:rPr>
                <w:sz w:val="20"/>
                <w:szCs w:val="20"/>
                <w:color w:val="auto"/>
              </w:rPr>
            </w:pPr>
            <w:r>
              <w:rPr>
                <w:rFonts w:ascii="Times New Roman" w:cs="Times New Roman" w:eastAsia="Times New Roman" w:hAnsi="Times New Roman"/>
                <w:sz w:val="21"/>
                <w:szCs w:val="21"/>
                <w:b w:val="1"/>
                <w:bCs w:val="1"/>
                <w:color w:val="FF0000"/>
                <w:strike w:val="1"/>
                <w:w w:val="95"/>
              </w:rPr>
              <w:t>163</w:t>
            </w:r>
          </w:p>
        </w:tc>
        <w:tc>
          <w:tcPr>
            <w:tcW w:w="1660" w:type="dxa"/>
            <w:vAlign w:val="bottom"/>
            <w:gridSpan w:val="4"/>
          </w:tcPr>
          <w:p>
            <w:pPr>
              <w:jc w:val="right"/>
              <w:ind w:right="1234"/>
              <w:spacing w:after="0" w:line="232" w:lineRule="exact"/>
              <w:rPr>
                <w:sz w:val="20"/>
                <w:szCs w:val="20"/>
                <w:color w:val="auto"/>
              </w:rPr>
            </w:pPr>
            <w:r>
              <w:rPr>
                <w:rFonts w:ascii="Times New Roman" w:cs="Times New Roman" w:eastAsia="Times New Roman" w:hAnsi="Times New Roman"/>
                <w:sz w:val="21"/>
                <w:szCs w:val="21"/>
                <w:b w:val="1"/>
                <w:bCs w:val="1"/>
                <w:color w:val="0000FF"/>
                <w:w w:val="95"/>
              </w:rPr>
              <w:t>165</w:t>
            </w:r>
          </w:p>
        </w:tc>
        <w:tc>
          <w:tcPr>
            <w:tcW w:w="0" w:type="dxa"/>
            <w:vAlign w:val="bottom"/>
          </w:tcPr>
          <w:p>
            <w:pPr>
              <w:spacing w:after="0"/>
              <w:rPr>
                <w:sz w:val="1"/>
                <w:szCs w:val="1"/>
                <w:color w:val="auto"/>
              </w:rPr>
            </w:pPr>
          </w:p>
        </w:tc>
      </w:tr>
      <w:tr>
        <w:trPr>
          <w:trHeight w:val="245"/>
        </w:trPr>
        <w:tc>
          <w:tcPr>
            <w:tcW w:w="1180" w:type="dxa"/>
            <w:vAlign w:val="bottom"/>
          </w:tcPr>
          <w:p>
            <w:pPr>
              <w:spacing w:after="0"/>
              <w:rPr>
                <w:sz w:val="20"/>
                <w:szCs w:val="20"/>
                <w:color w:val="auto"/>
              </w:rPr>
            </w:pPr>
            <w:r>
              <w:rPr>
                <w:rFonts w:ascii="Times New Roman" w:cs="Times New Roman" w:eastAsia="Times New Roman" w:hAnsi="Times New Roman"/>
                <w:sz w:val="21"/>
                <w:szCs w:val="21"/>
                <w:color w:val="auto"/>
              </w:rPr>
              <w:t>Section 9.11</w:t>
            </w:r>
          </w:p>
        </w:tc>
        <w:tc>
          <w:tcPr>
            <w:tcW w:w="2600" w:type="dxa"/>
            <w:vAlign w:val="bottom"/>
            <w:gridSpan w:val="4"/>
          </w:tcPr>
          <w:p>
            <w:pPr>
              <w:ind w:left="100"/>
              <w:spacing w:after="0"/>
              <w:rPr>
                <w:sz w:val="20"/>
                <w:szCs w:val="20"/>
                <w:color w:val="auto"/>
              </w:rPr>
            </w:pPr>
            <w:r>
              <w:rPr>
                <w:rFonts w:ascii="Times New Roman" w:cs="Times New Roman" w:eastAsia="Times New Roman" w:hAnsi="Times New Roman"/>
                <w:sz w:val="21"/>
                <w:szCs w:val="21"/>
                <w:color w:val="auto"/>
              </w:rPr>
              <w:t>Additional Secured Parties</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21"/>
                <w:szCs w:val="21"/>
                <w:b w:val="1"/>
                <w:bCs w:val="1"/>
                <w:color w:val="FF0000"/>
                <w:strike w:val="1"/>
                <w:w w:val="95"/>
              </w:rPr>
              <w:t>165</w:t>
            </w:r>
          </w:p>
        </w:tc>
        <w:tc>
          <w:tcPr>
            <w:tcW w:w="32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21"/>
                <w:szCs w:val="21"/>
                <w:b w:val="1"/>
                <w:bCs w:val="1"/>
                <w:color w:val="0000FF"/>
                <w:w w:val="95"/>
              </w:rPr>
              <w:t>167</w:t>
            </w:r>
          </w:p>
        </w:tc>
        <w:tc>
          <w:tcPr>
            <w:tcW w:w="140" w:type="dxa"/>
            <w:vAlign w:val="bottom"/>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134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1180" w:type="dxa"/>
            <w:vAlign w:val="bottom"/>
          </w:tcPr>
          <w:p>
            <w:pPr>
              <w:spacing w:after="0" w:line="232" w:lineRule="exact"/>
              <w:rPr>
                <w:sz w:val="20"/>
                <w:szCs w:val="20"/>
                <w:color w:val="auto"/>
              </w:rPr>
            </w:pPr>
            <w:r>
              <w:rPr>
                <w:rFonts w:ascii="Times New Roman" w:cs="Times New Roman" w:eastAsia="Times New Roman" w:hAnsi="Times New Roman"/>
                <w:sz w:val="21"/>
                <w:szCs w:val="21"/>
                <w:color w:val="auto"/>
              </w:rPr>
              <w:t>Section 9.12</w:t>
            </w:r>
          </w:p>
        </w:tc>
        <w:tc>
          <w:tcPr>
            <w:tcW w:w="2320" w:type="dxa"/>
            <w:vAlign w:val="bottom"/>
            <w:gridSpan w:val="2"/>
          </w:tcPr>
          <w:p>
            <w:pPr>
              <w:ind w:left="120"/>
              <w:spacing w:after="0" w:line="232" w:lineRule="exact"/>
              <w:rPr>
                <w:sz w:val="20"/>
                <w:szCs w:val="20"/>
                <w:color w:val="auto"/>
              </w:rPr>
            </w:pPr>
            <w:r>
              <w:rPr>
                <w:rFonts w:ascii="Times New Roman" w:cs="Times New Roman" w:eastAsia="Times New Roman" w:hAnsi="Times New Roman"/>
                <w:sz w:val="21"/>
                <w:szCs w:val="21"/>
                <w:color w:val="auto"/>
              </w:rPr>
              <w:t>Certain ERISA Matters</w:t>
            </w:r>
          </w:p>
        </w:tc>
        <w:tc>
          <w:tcPr>
            <w:tcW w:w="320" w:type="dxa"/>
            <w:vAlign w:val="bottom"/>
            <w:gridSpan w:val="3"/>
          </w:tcPr>
          <w:p>
            <w:pPr>
              <w:jc w:val="right"/>
              <w:spacing w:after="0" w:line="232" w:lineRule="exact"/>
              <w:rPr>
                <w:sz w:val="20"/>
                <w:szCs w:val="20"/>
                <w:color w:val="auto"/>
              </w:rPr>
            </w:pPr>
            <w:r>
              <w:rPr>
                <w:rFonts w:ascii="Times New Roman" w:cs="Times New Roman" w:eastAsia="Times New Roman" w:hAnsi="Times New Roman"/>
                <w:sz w:val="21"/>
                <w:szCs w:val="21"/>
                <w:b w:val="1"/>
                <w:bCs w:val="1"/>
                <w:color w:val="FF0000"/>
                <w:strike w:val="1"/>
                <w:w w:val="95"/>
              </w:rPr>
              <w:t>165</w:t>
            </w:r>
          </w:p>
        </w:tc>
        <w:tc>
          <w:tcPr>
            <w:tcW w:w="320" w:type="dxa"/>
            <w:vAlign w:val="bottom"/>
            <w:tcBorders>
              <w:bottom w:val="single" w:sz="8" w:color="0000FF"/>
            </w:tcBorders>
            <w:gridSpan w:val="3"/>
          </w:tcPr>
          <w:p>
            <w:pPr>
              <w:jc w:val="right"/>
              <w:spacing w:after="0" w:line="232" w:lineRule="exact"/>
              <w:rPr>
                <w:sz w:val="20"/>
                <w:szCs w:val="20"/>
                <w:color w:val="auto"/>
              </w:rPr>
            </w:pPr>
            <w:r>
              <w:rPr>
                <w:rFonts w:ascii="Times New Roman" w:cs="Times New Roman" w:eastAsia="Times New Roman" w:hAnsi="Times New Roman"/>
                <w:sz w:val="21"/>
                <w:szCs w:val="21"/>
                <w:b w:val="1"/>
                <w:bCs w:val="1"/>
                <w:color w:val="0000FF"/>
                <w:w w:val="95"/>
              </w:rPr>
              <w:t>167</w:t>
            </w:r>
          </w:p>
        </w:tc>
        <w:tc>
          <w:tcPr>
            <w:tcW w:w="2080" w:type="dxa"/>
            <w:vAlign w:val="bottom"/>
            <w:gridSpan w:val="7"/>
          </w:tcPr>
          <w:p>
            <w:pPr>
              <w:spacing w:after="0"/>
              <w:rPr>
                <w:sz w:val="20"/>
                <w:szCs w:val="20"/>
                <w:color w:val="auto"/>
              </w:rPr>
            </w:pPr>
          </w:p>
        </w:tc>
        <w:tc>
          <w:tcPr>
            <w:tcW w:w="0" w:type="dxa"/>
            <w:vAlign w:val="bottom"/>
          </w:tcPr>
          <w:p>
            <w:pPr>
              <w:spacing w:after="0"/>
              <w:rPr>
                <w:sz w:val="1"/>
                <w:szCs w:val="1"/>
                <w:color w:val="auto"/>
              </w:rPr>
            </w:pPr>
          </w:p>
        </w:tc>
      </w:tr>
    </w:tbl>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21"/>
                <w:szCs w:val="21"/>
                <w:b w:val="1"/>
                <w:bCs w:val="1"/>
                <w:color w:val="0000FF"/>
              </w:rPr>
              <w:t>Section 9.14  Borrower Communications.</w:t>
            </w:r>
          </w:p>
        </w:tc>
        <w:tc>
          <w:tcPr>
            <w:tcW w:w="380" w:type="dxa"/>
            <w:vAlign w:val="bottom"/>
            <w:tcBorders>
              <w:bottom w:val="single" w:sz="8" w:color="0000FF"/>
            </w:tcBorders>
            <w:gridSpan w:val="5"/>
          </w:tcPr>
          <w:p>
            <w:pPr>
              <w:jc w:val="right"/>
              <w:spacing w:after="0"/>
              <w:rPr>
                <w:sz w:val="20"/>
                <w:szCs w:val="20"/>
                <w:color w:val="auto"/>
              </w:rPr>
            </w:pPr>
            <w:r>
              <w:rPr>
                <w:rFonts w:ascii="Times New Roman" w:cs="Times New Roman" w:eastAsia="Times New Roman" w:hAnsi="Times New Roman"/>
                <w:sz w:val="21"/>
                <w:szCs w:val="21"/>
                <w:b w:val="1"/>
                <w:bCs w:val="1"/>
                <w:color w:val="0000FF"/>
              </w:rPr>
              <w:t>170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4"/>
        </w:trPr>
        <w:tc>
          <w:tcPr>
            <w:tcW w:w="1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60" w:type="dxa"/>
            <w:vAlign w:val="bottom"/>
            <w:gridSpan w:val="34"/>
          </w:tcPr>
          <w:p>
            <w:pPr>
              <w:jc w:val="center"/>
              <w:spacing w:after="0"/>
              <w:rPr>
                <w:sz w:val="20"/>
                <w:szCs w:val="20"/>
                <w:color w:val="auto"/>
              </w:rPr>
            </w:pPr>
            <w:r>
              <w:rPr>
                <w:rFonts w:ascii="Times New Roman" w:cs="Times New Roman" w:eastAsia="Times New Roman" w:hAnsi="Times New Roman"/>
                <w:sz w:val="21"/>
                <w:szCs w:val="21"/>
                <w:color w:val="auto"/>
              </w:rPr>
              <w:t>Article 10. Miscellaneous</w:t>
            </w:r>
          </w:p>
        </w:tc>
        <w:tc>
          <w:tcPr>
            <w:tcW w:w="100" w:type="dxa"/>
            <w:vAlign w:val="bottom"/>
          </w:tcPr>
          <w:p>
            <w:pPr>
              <w:spacing w:after="0"/>
              <w:rPr>
                <w:sz w:val="24"/>
                <w:szCs w:val="24"/>
                <w:color w:val="auto"/>
              </w:rPr>
            </w:pPr>
          </w:p>
        </w:tc>
        <w:tc>
          <w:tcPr>
            <w:tcW w:w="340" w:type="dxa"/>
            <w:vAlign w:val="bottom"/>
            <w:gridSpan w:val="4"/>
          </w:tcPr>
          <w:p>
            <w:pPr>
              <w:jc w:val="right"/>
              <w:spacing w:after="0"/>
              <w:rPr>
                <w:sz w:val="20"/>
                <w:szCs w:val="20"/>
                <w:color w:val="auto"/>
              </w:rPr>
            </w:pPr>
            <w:r>
              <w:rPr>
                <w:rFonts w:ascii="Times New Roman" w:cs="Times New Roman" w:eastAsia="Times New Roman" w:hAnsi="Times New Roman"/>
                <w:sz w:val="21"/>
                <w:szCs w:val="21"/>
                <w:b w:val="1"/>
                <w:bCs w:val="1"/>
                <w:color w:val="FF0000"/>
                <w:strike w:val="1"/>
              </w:rPr>
              <w:t>167</w:t>
            </w:r>
          </w:p>
        </w:tc>
        <w:tc>
          <w:tcPr>
            <w:tcW w:w="32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21"/>
                <w:szCs w:val="21"/>
                <w:b w:val="1"/>
                <w:bCs w:val="1"/>
                <w:color w:val="0000FF"/>
                <w:w w:val="95"/>
              </w:rPr>
              <w:t>171</w:t>
            </w: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7"/>
        </w:trPr>
        <w:tc>
          <w:tcPr>
            <w:tcW w:w="3180" w:type="dxa"/>
            <w:vAlign w:val="bottom"/>
            <w:gridSpan w:val="5"/>
          </w:tcPr>
          <w:p>
            <w:pPr>
              <w:spacing w:after="0"/>
              <w:rPr>
                <w:sz w:val="20"/>
                <w:szCs w:val="20"/>
                <w:color w:val="auto"/>
              </w:rPr>
            </w:pPr>
            <w:r>
              <w:rPr>
                <w:rFonts w:ascii="Times New Roman" w:cs="Times New Roman" w:eastAsia="Times New Roman" w:hAnsi="Times New Roman"/>
                <w:sz w:val="21"/>
                <w:szCs w:val="21"/>
                <w:color w:val="auto"/>
              </w:rPr>
              <w:t>Section 10.01  Amendments, Etc.</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21"/>
                <w:szCs w:val="21"/>
                <w:b w:val="1"/>
                <w:bCs w:val="1"/>
                <w:color w:val="FF0000"/>
                <w:strike w:val="1"/>
                <w:w w:val="95"/>
              </w:rPr>
              <w:t>167</w:t>
            </w:r>
          </w:p>
        </w:tc>
        <w:tc>
          <w:tcPr>
            <w:tcW w:w="400" w:type="dxa"/>
            <w:vAlign w:val="bottom"/>
            <w:gridSpan w:val="6"/>
          </w:tcPr>
          <w:p>
            <w:pPr>
              <w:jc w:val="right"/>
              <w:ind w:right="100"/>
              <w:spacing w:after="0"/>
              <w:rPr>
                <w:sz w:val="20"/>
                <w:szCs w:val="20"/>
                <w:color w:val="auto"/>
              </w:rPr>
            </w:pPr>
            <w:r>
              <w:rPr>
                <w:rFonts w:ascii="Times New Roman" w:cs="Times New Roman" w:eastAsia="Times New Roman" w:hAnsi="Times New Roman"/>
                <w:sz w:val="21"/>
                <w:szCs w:val="21"/>
                <w:b w:val="1"/>
                <w:bCs w:val="1"/>
                <w:color w:val="0000FF"/>
                <w:w w:val="88"/>
              </w:rPr>
              <w:t>171</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gridSpan w:val="4"/>
            <w:vMerge w:val="restart"/>
          </w:tcPr>
          <w:p>
            <w:pPr>
              <w:jc w:val="right"/>
              <w:spacing w:after="0"/>
              <w:rPr>
                <w:sz w:val="20"/>
                <w:szCs w:val="20"/>
                <w:color w:val="auto"/>
              </w:rPr>
            </w:pPr>
            <w:r>
              <w:rPr>
                <w:rFonts w:ascii="Times New Roman" w:cs="Times New Roman" w:eastAsia="Times New Roman" w:hAnsi="Times New Roman"/>
                <w:sz w:val="21"/>
                <w:szCs w:val="21"/>
                <w:b w:val="1"/>
                <w:bCs w:val="1"/>
                <w:color w:val="FF0000"/>
                <w:strike w:val="1"/>
                <w:w w:val="95"/>
              </w:rPr>
              <w:t>170</w:t>
            </w:r>
          </w:p>
        </w:tc>
        <w:tc>
          <w:tcPr>
            <w:tcW w:w="320" w:type="dxa"/>
            <w:vAlign w:val="bottom"/>
            <w:gridSpan w:val="4"/>
            <w:vMerge w:val="restart"/>
          </w:tcPr>
          <w:p>
            <w:pPr>
              <w:jc w:val="right"/>
              <w:spacing w:after="0"/>
              <w:rPr>
                <w:sz w:val="20"/>
                <w:szCs w:val="20"/>
                <w:color w:val="auto"/>
              </w:rPr>
            </w:pPr>
            <w:r>
              <w:rPr>
                <w:rFonts w:ascii="Times New Roman" w:cs="Times New Roman" w:eastAsia="Times New Roman" w:hAnsi="Times New Roman"/>
                <w:sz w:val="21"/>
                <w:szCs w:val="21"/>
                <w:b w:val="1"/>
                <w:bCs w:val="1"/>
                <w:color w:val="0000FF"/>
                <w:w w:val="95"/>
              </w:rPr>
              <w:t>173</w:t>
            </w: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4"/>
            <w:vMerge w:val="continue"/>
          </w:tcPr>
          <w:p>
            <w:pPr>
              <w:spacing w:after="0" w:line="20" w:lineRule="exact"/>
              <w:rPr>
                <w:sz w:val="1"/>
                <w:szCs w:val="1"/>
                <w:color w:val="auto"/>
              </w:rPr>
            </w:pPr>
          </w:p>
        </w:tc>
        <w:tc>
          <w:tcPr>
            <w:tcW w:w="320" w:type="dxa"/>
            <w:vAlign w:val="bottom"/>
            <w:gridSpan w:val="4"/>
            <w:vMerge w:val="continu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280" w:type="dxa"/>
            <w:vAlign w:val="bottom"/>
          </w:tcPr>
          <w:p>
            <w:pPr>
              <w:spacing w:after="0" w:line="232" w:lineRule="exact"/>
              <w:rPr>
                <w:sz w:val="20"/>
                <w:szCs w:val="20"/>
                <w:color w:val="auto"/>
              </w:rPr>
            </w:pPr>
            <w:r>
              <w:rPr>
                <w:rFonts w:ascii="Times New Roman" w:cs="Times New Roman" w:eastAsia="Times New Roman" w:hAnsi="Times New Roman"/>
                <w:sz w:val="21"/>
                <w:szCs w:val="21"/>
                <w:color w:val="auto"/>
              </w:rPr>
              <w:t>Section 10.02</w:t>
            </w:r>
          </w:p>
        </w:tc>
        <w:tc>
          <w:tcPr>
            <w:tcW w:w="4460" w:type="dxa"/>
            <w:vAlign w:val="bottom"/>
            <w:gridSpan w:val="40"/>
          </w:tcPr>
          <w:p>
            <w:pPr>
              <w:ind w:left="120"/>
              <w:spacing w:after="0" w:line="232" w:lineRule="exact"/>
              <w:rPr>
                <w:sz w:val="20"/>
                <w:szCs w:val="20"/>
                <w:color w:val="auto"/>
              </w:rPr>
            </w:pPr>
            <w:r>
              <w:rPr>
                <w:rFonts w:ascii="Times New Roman" w:cs="Times New Roman" w:eastAsia="Times New Roman" w:hAnsi="Times New Roman"/>
                <w:sz w:val="21"/>
                <w:szCs w:val="21"/>
                <w:color w:val="auto"/>
              </w:rPr>
              <w:t>Notices; Effectiveness; Electronic Communication</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gridSpan w:val="4"/>
            <w:vMerge w:val="continue"/>
          </w:tcPr>
          <w:p>
            <w:pPr>
              <w:spacing w:after="0"/>
              <w:rPr>
                <w:sz w:val="20"/>
                <w:szCs w:val="20"/>
                <w:color w:val="auto"/>
              </w:rPr>
            </w:pPr>
          </w:p>
        </w:tc>
        <w:tc>
          <w:tcPr>
            <w:tcW w:w="320" w:type="dxa"/>
            <w:vAlign w:val="bottom"/>
            <w:tcBorders>
              <w:bottom w:val="single" w:sz="8" w:color="0000FF"/>
            </w:tcBorders>
            <w:gridSpan w:val="4"/>
            <w:vMerge w:val="continue"/>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280" w:type="dxa"/>
            <w:vAlign w:val="bottom"/>
          </w:tcPr>
          <w:p>
            <w:pPr>
              <w:spacing w:after="0" w:line="232" w:lineRule="exact"/>
              <w:rPr>
                <w:sz w:val="20"/>
                <w:szCs w:val="20"/>
                <w:color w:val="auto"/>
              </w:rPr>
            </w:pPr>
            <w:r>
              <w:rPr>
                <w:rFonts w:ascii="Times New Roman" w:cs="Times New Roman" w:eastAsia="Times New Roman" w:hAnsi="Times New Roman"/>
                <w:sz w:val="21"/>
                <w:szCs w:val="21"/>
                <w:color w:val="auto"/>
              </w:rPr>
              <w:t>Section 10.03</w:t>
            </w:r>
          </w:p>
        </w:tc>
        <w:tc>
          <w:tcPr>
            <w:tcW w:w="4460" w:type="dxa"/>
            <w:vAlign w:val="bottom"/>
            <w:gridSpan w:val="40"/>
          </w:tcPr>
          <w:p>
            <w:pPr>
              <w:ind w:left="120"/>
              <w:spacing w:after="0" w:line="232" w:lineRule="exact"/>
              <w:rPr>
                <w:sz w:val="20"/>
                <w:szCs w:val="20"/>
                <w:color w:val="auto"/>
              </w:rPr>
            </w:pPr>
            <w:r>
              <w:rPr>
                <w:rFonts w:ascii="Times New Roman" w:cs="Times New Roman" w:eastAsia="Times New Roman" w:hAnsi="Times New Roman"/>
                <w:sz w:val="21"/>
                <w:szCs w:val="21"/>
                <w:color w:val="auto"/>
              </w:rPr>
              <w:t>No Waiver; Cumulative Remedies; Enforcement</w:t>
            </w:r>
          </w:p>
        </w:tc>
        <w:tc>
          <w:tcPr>
            <w:tcW w:w="300" w:type="dxa"/>
            <w:vAlign w:val="bottom"/>
            <w:gridSpan w:val="3"/>
          </w:tcPr>
          <w:p>
            <w:pPr>
              <w:jc w:val="right"/>
              <w:spacing w:after="0" w:line="232" w:lineRule="exact"/>
              <w:rPr>
                <w:sz w:val="20"/>
                <w:szCs w:val="20"/>
                <w:color w:val="auto"/>
              </w:rPr>
            </w:pPr>
            <w:r>
              <w:rPr>
                <w:rFonts w:ascii="Times New Roman" w:cs="Times New Roman" w:eastAsia="Times New Roman" w:hAnsi="Times New Roman"/>
                <w:sz w:val="21"/>
                <w:szCs w:val="21"/>
                <w:b w:val="1"/>
                <w:bCs w:val="1"/>
                <w:color w:val="FF0000"/>
                <w:strike w:val="1"/>
                <w:w w:val="88"/>
              </w:rPr>
              <w:t>172</w:t>
            </w:r>
          </w:p>
        </w:tc>
        <w:tc>
          <w:tcPr>
            <w:tcW w:w="440" w:type="dxa"/>
            <w:vAlign w:val="bottom"/>
            <w:gridSpan w:val="5"/>
          </w:tcPr>
          <w:p>
            <w:pPr>
              <w:jc w:val="right"/>
              <w:ind w:right="120"/>
              <w:spacing w:after="0" w:line="232" w:lineRule="exact"/>
              <w:rPr>
                <w:sz w:val="20"/>
                <w:szCs w:val="20"/>
                <w:color w:val="auto"/>
              </w:rPr>
            </w:pPr>
            <w:r>
              <w:rPr>
                <w:rFonts w:ascii="Times New Roman" w:cs="Times New Roman" w:eastAsia="Times New Roman" w:hAnsi="Times New Roman"/>
                <w:sz w:val="21"/>
                <w:szCs w:val="21"/>
                <w:b w:val="1"/>
                <w:bCs w:val="1"/>
                <w:color w:val="0000FF"/>
                <w:w w:val="95"/>
              </w:rPr>
              <w:t>175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280" w:type="dxa"/>
            <w:vAlign w:val="bottom"/>
          </w:tcPr>
          <w:p>
            <w:pPr>
              <w:spacing w:after="0" w:line="232" w:lineRule="exact"/>
              <w:rPr>
                <w:sz w:val="20"/>
                <w:szCs w:val="20"/>
                <w:color w:val="auto"/>
              </w:rPr>
            </w:pPr>
            <w:r>
              <w:rPr>
                <w:rFonts w:ascii="Times New Roman" w:cs="Times New Roman" w:eastAsia="Times New Roman" w:hAnsi="Times New Roman"/>
                <w:sz w:val="21"/>
                <w:szCs w:val="21"/>
                <w:color w:val="auto"/>
              </w:rPr>
              <w:t>Section 10.04</w:t>
            </w:r>
          </w:p>
        </w:tc>
        <w:tc>
          <w:tcPr>
            <w:tcW w:w="3600" w:type="dxa"/>
            <w:vAlign w:val="bottom"/>
            <w:gridSpan w:val="26"/>
          </w:tcPr>
          <w:p>
            <w:pPr>
              <w:ind w:left="120"/>
              <w:spacing w:after="0" w:line="232" w:lineRule="exact"/>
              <w:rPr>
                <w:sz w:val="20"/>
                <w:szCs w:val="20"/>
                <w:color w:val="auto"/>
              </w:rPr>
            </w:pPr>
            <w:r>
              <w:rPr>
                <w:rFonts w:ascii="Times New Roman" w:cs="Times New Roman" w:eastAsia="Times New Roman" w:hAnsi="Times New Roman"/>
                <w:sz w:val="21"/>
                <w:szCs w:val="21"/>
                <w:color w:val="auto"/>
              </w:rPr>
              <w:t>Expenses; Indemnity; Damage Waiver</w:t>
            </w:r>
          </w:p>
        </w:tc>
        <w:tc>
          <w:tcPr>
            <w:tcW w:w="320" w:type="dxa"/>
            <w:vAlign w:val="bottom"/>
            <w:gridSpan w:val="5"/>
          </w:tcPr>
          <w:p>
            <w:pPr>
              <w:jc w:val="right"/>
              <w:spacing w:after="0" w:line="232" w:lineRule="exact"/>
              <w:rPr>
                <w:sz w:val="20"/>
                <w:szCs w:val="20"/>
                <w:color w:val="auto"/>
              </w:rPr>
            </w:pPr>
            <w:r>
              <w:rPr>
                <w:rFonts w:ascii="Times New Roman" w:cs="Times New Roman" w:eastAsia="Times New Roman" w:hAnsi="Times New Roman"/>
                <w:sz w:val="21"/>
                <w:szCs w:val="21"/>
                <w:b w:val="1"/>
                <w:bCs w:val="1"/>
                <w:color w:val="FF0000"/>
                <w:strike w:val="1"/>
                <w:w w:val="95"/>
              </w:rPr>
              <w:t>173</w:t>
            </w:r>
          </w:p>
        </w:tc>
        <w:tc>
          <w:tcPr>
            <w:tcW w:w="400" w:type="dxa"/>
            <w:vAlign w:val="bottom"/>
            <w:gridSpan w:val="6"/>
          </w:tcPr>
          <w:p>
            <w:pPr>
              <w:jc w:val="right"/>
              <w:ind w:right="80"/>
              <w:spacing w:after="0" w:line="232" w:lineRule="exact"/>
              <w:rPr>
                <w:sz w:val="20"/>
                <w:szCs w:val="20"/>
                <w:color w:val="auto"/>
              </w:rPr>
            </w:pPr>
            <w:r>
              <w:rPr>
                <w:rFonts w:ascii="Times New Roman" w:cs="Times New Roman" w:eastAsia="Times New Roman" w:hAnsi="Times New Roman"/>
                <w:sz w:val="21"/>
                <w:szCs w:val="21"/>
                <w:b w:val="1"/>
                <w:bCs w:val="1"/>
                <w:color w:val="0000FF"/>
                <w:w w:val="95"/>
              </w:rPr>
              <w:t>176</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280" w:type="dxa"/>
            <w:vAlign w:val="bottom"/>
          </w:tcPr>
          <w:p>
            <w:pPr>
              <w:spacing w:after="0" w:line="232" w:lineRule="exact"/>
              <w:rPr>
                <w:sz w:val="20"/>
                <w:szCs w:val="20"/>
                <w:color w:val="auto"/>
              </w:rPr>
            </w:pPr>
            <w:r>
              <w:rPr>
                <w:rFonts w:ascii="Times New Roman" w:cs="Times New Roman" w:eastAsia="Times New Roman" w:hAnsi="Times New Roman"/>
                <w:sz w:val="21"/>
                <w:szCs w:val="21"/>
                <w:color w:val="auto"/>
              </w:rPr>
              <w:t>Section 10.05</w:t>
            </w:r>
          </w:p>
        </w:tc>
        <w:tc>
          <w:tcPr>
            <w:tcW w:w="2000" w:type="dxa"/>
            <w:vAlign w:val="bottom"/>
            <w:gridSpan w:val="6"/>
          </w:tcPr>
          <w:p>
            <w:pPr>
              <w:ind w:left="120"/>
              <w:spacing w:after="0" w:line="232" w:lineRule="exact"/>
              <w:rPr>
                <w:sz w:val="20"/>
                <w:szCs w:val="20"/>
                <w:color w:val="auto"/>
              </w:rPr>
            </w:pPr>
            <w:r>
              <w:rPr>
                <w:rFonts w:ascii="Times New Roman" w:cs="Times New Roman" w:eastAsia="Times New Roman" w:hAnsi="Times New Roman"/>
                <w:sz w:val="21"/>
                <w:szCs w:val="21"/>
                <w:color w:val="auto"/>
              </w:rPr>
              <w:t>Payments Set Aside</w:t>
            </w:r>
          </w:p>
        </w:tc>
        <w:tc>
          <w:tcPr>
            <w:tcW w:w="340" w:type="dxa"/>
            <w:vAlign w:val="bottom"/>
            <w:gridSpan w:val="3"/>
          </w:tcPr>
          <w:p>
            <w:pPr>
              <w:jc w:val="right"/>
              <w:spacing w:after="0" w:line="232" w:lineRule="exact"/>
              <w:rPr>
                <w:sz w:val="20"/>
                <w:szCs w:val="20"/>
                <w:color w:val="auto"/>
              </w:rPr>
            </w:pPr>
            <w:r>
              <w:rPr>
                <w:rFonts w:ascii="Times New Roman" w:cs="Times New Roman" w:eastAsia="Times New Roman" w:hAnsi="Times New Roman"/>
                <w:sz w:val="21"/>
                <w:szCs w:val="21"/>
                <w:b w:val="1"/>
                <w:bCs w:val="1"/>
                <w:color w:val="FF0000"/>
                <w:strike w:val="1"/>
              </w:rPr>
              <w:t>175</w:t>
            </w:r>
          </w:p>
        </w:tc>
        <w:tc>
          <w:tcPr>
            <w:tcW w:w="340" w:type="dxa"/>
            <w:vAlign w:val="bottom"/>
            <w:tcBorders>
              <w:bottom w:val="single" w:sz="8" w:color="0000FF"/>
            </w:tcBorders>
            <w:gridSpan w:val="5"/>
          </w:tcPr>
          <w:p>
            <w:pPr>
              <w:jc w:val="right"/>
              <w:ind w:right="20"/>
              <w:spacing w:after="0" w:line="232" w:lineRule="exact"/>
              <w:rPr>
                <w:sz w:val="20"/>
                <w:szCs w:val="20"/>
                <w:color w:val="auto"/>
              </w:rPr>
            </w:pPr>
            <w:r>
              <w:rPr>
                <w:rFonts w:ascii="Times New Roman" w:cs="Times New Roman" w:eastAsia="Times New Roman" w:hAnsi="Times New Roman"/>
                <w:sz w:val="21"/>
                <w:szCs w:val="21"/>
                <w:b w:val="1"/>
                <w:bCs w:val="1"/>
                <w:color w:val="0000FF"/>
                <w:w w:val="95"/>
              </w:rPr>
              <w:t>178</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280" w:type="dxa"/>
            <w:vAlign w:val="bottom"/>
          </w:tcPr>
          <w:p>
            <w:pPr>
              <w:spacing w:after="0" w:line="232" w:lineRule="exact"/>
              <w:rPr>
                <w:sz w:val="20"/>
                <w:szCs w:val="20"/>
                <w:color w:val="auto"/>
              </w:rPr>
            </w:pPr>
            <w:r>
              <w:rPr>
                <w:rFonts w:ascii="Times New Roman" w:cs="Times New Roman" w:eastAsia="Times New Roman" w:hAnsi="Times New Roman"/>
                <w:sz w:val="21"/>
                <w:szCs w:val="21"/>
                <w:color w:val="auto"/>
              </w:rPr>
              <w:t>Section 10.06</w:t>
            </w:r>
          </w:p>
        </w:tc>
        <w:tc>
          <w:tcPr>
            <w:tcW w:w="2340" w:type="dxa"/>
            <w:vAlign w:val="bottom"/>
            <w:gridSpan w:val="9"/>
          </w:tcPr>
          <w:p>
            <w:pPr>
              <w:ind w:left="120"/>
              <w:spacing w:after="0" w:line="232" w:lineRule="exact"/>
              <w:rPr>
                <w:sz w:val="20"/>
                <w:szCs w:val="20"/>
                <w:color w:val="auto"/>
              </w:rPr>
            </w:pPr>
            <w:r>
              <w:rPr>
                <w:rFonts w:ascii="Times New Roman" w:cs="Times New Roman" w:eastAsia="Times New Roman" w:hAnsi="Times New Roman"/>
                <w:sz w:val="21"/>
                <w:szCs w:val="21"/>
                <w:color w:val="auto"/>
              </w:rPr>
              <w:t>Successors and Assigns</w:t>
            </w:r>
          </w:p>
        </w:tc>
        <w:tc>
          <w:tcPr>
            <w:tcW w:w="340" w:type="dxa"/>
            <w:vAlign w:val="bottom"/>
            <w:gridSpan w:val="5"/>
          </w:tcPr>
          <w:p>
            <w:pPr>
              <w:jc w:val="right"/>
              <w:ind w:right="20"/>
              <w:spacing w:after="0" w:line="232" w:lineRule="exact"/>
              <w:rPr>
                <w:sz w:val="20"/>
                <w:szCs w:val="20"/>
                <w:color w:val="auto"/>
              </w:rPr>
            </w:pPr>
            <w:r>
              <w:rPr>
                <w:rFonts w:ascii="Times New Roman" w:cs="Times New Roman" w:eastAsia="Times New Roman" w:hAnsi="Times New Roman"/>
                <w:sz w:val="21"/>
                <w:szCs w:val="21"/>
                <w:b w:val="1"/>
                <w:bCs w:val="1"/>
                <w:color w:val="FF0000"/>
                <w:strike w:val="1"/>
                <w:w w:val="95"/>
              </w:rPr>
              <w:t>175</w:t>
            </w:r>
          </w:p>
        </w:tc>
        <w:tc>
          <w:tcPr>
            <w:tcW w:w="320" w:type="dxa"/>
            <w:vAlign w:val="bottom"/>
            <w:gridSpan w:val="4"/>
          </w:tcPr>
          <w:p>
            <w:pPr>
              <w:jc w:val="right"/>
              <w:ind w:right="20"/>
              <w:spacing w:after="0" w:line="232" w:lineRule="exact"/>
              <w:rPr>
                <w:sz w:val="20"/>
                <w:szCs w:val="20"/>
                <w:color w:val="auto"/>
              </w:rPr>
            </w:pPr>
            <w:r>
              <w:rPr>
                <w:rFonts w:ascii="Times New Roman" w:cs="Times New Roman" w:eastAsia="Times New Roman" w:hAnsi="Times New Roman"/>
                <w:sz w:val="21"/>
                <w:szCs w:val="21"/>
                <w:b w:val="1"/>
                <w:bCs w:val="1"/>
                <w:color w:val="0000FF"/>
                <w:w w:val="88"/>
              </w:rPr>
              <w:t>178</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21"/>
                <w:szCs w:val="21"/>
                <w:b w:val="1"/>
                <w:bCs w:val="1"/>
                <w:color w:val="FF0000"/>
                <w:strike w:val="1"/>
                <w:w w:val="95"/>
              </w:rPr>
              <w:t>183</w:t>
            </w:r>
          </w:p>
        </w:tc>
        <w:tc>
          <w:tcPr>
            <w:tcW w:w="320" w:type="dxa"/>
            <w:vAlign w:val="bottom"/>
            <w:gridSpan w:val="4"/>
            <w:vMerge w:val="restart"/>
          </w:tcPr>
          <w:p>
            <w:pPr>
              <w:jc w:val="right"/>
              <w:spacing w:after="0"/>
              <w:rPr>
                <w:sz w:val="20"/>
                <w:szCs w:val="20"/>
                <w:color w:val="auto"/>
              </w:rPr>
            </w:pPr>
            <w:r>
              <w:rPr>
                <w:rFonts w:ascii="Times New Roman" w:cs="Times New Roman" w:eastAsia="Times New Roman" w:hAnsi="Times New Roman"/>
                <w:sz w:val="21"/>
                <w:szCs w:val="21"/>
                <w:b w:val="1"/>
                <w:bCs w:val="1"/>
                <w:color w:val="0000FF"/>
                <w:w w:val="95"/>
              </w:rPr>
              <w:t>187</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3"/>
            <w:vMerge w:val="continue"/>
          </w:tcPr>
          <w:p>
            <w:pPr>
              <w:spacing w:after="0" w:line="20" w:lineRule="exact"/>
              <w:rPr>
                <w:sz w:val="1"/>
                <w:szCs w:val="1"/>
                <w:color w:val="auto"/>
              </w:rPr>
            </w:pPr>
          </w:p>
        </w:tc>
        <w:tc>
          <w:tcPr>
            <w:tcW w:w="320" w:type="dxa"/>
            <w:vAlign w:val="bottom"/>
            <w:gridSpan w:val="4"/>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tcPr>
          <w:p>
            <w:pPr>
              <w:spacing w:after="0"/>
              <w:rPr>
                <w:sz w:val="20"/>
                <w:szCs w:val="20"/>
                <w:color w:val="auto"/>
              </w:rPr>
            </w:pPr>
            <w:r>
              <w:rPr>
                <w:rFonts w:ascii="Times New Roman" w:cs="Times New Roman" w:eastAsia="Times New Roman" w:hAnsi="Times New Roman"/>
                <w:sz w:val="21"/>
                <w:szCs w:val="21"/>
                <w:color w:val="auto"/>
              </w:rPr>
              <w:t>Section 10.07</w:t>
            </w:r>
          </w:p>
        </w:tc>
        <w:tc>
          <w:tcPr>
            <w:tcW w:w="4460" w:type="dxa"/>
            <w:vAlign w:val="bottom"/>
            <w:gridSpan w:val="40"/>
          </w:tcPr>
          <w:p>
            <w:pPr>
              <w:ind w:left="120"/>
              <w:spacing w:after="0"/>
              <w:rPr>
                <w:sz w:val="20"/>
                <w:szCs w:val="20"/>
                <w:color w:val="auto"/>
              </w:rPr>
            </w:pPr>
            <w:r>
              <w:rPr>
                <w:rFonts w:ascii="Times New Roman" w:cs="Times New Roman" w:eastAsia="Times New Roman" w:hAnsi="Times New Roman"/>
                <w:sz w:val="21"/>
                <w:szCs w:val="21"/>
                <w:color w:val="auto"/>
              </w:rPr>
              <w:t>Treatment of Certain Information; Confidentiality</w:t>
            </w:r>
          </w:p>
        </w:tc>
        <w:tc>
          <w:tcPr>
            <w:tcW w:w="100" w:type="dxa"/>
            <w:vAlign w:val="bottom"/>
          </w:tcPr>
          <w:p>
            <w:pPr>
              <w:spacing w:after="0"/>
              <w:rPr>
                <w:sz w:val="21"/>
                <w:szCs w:val="21"/>
                <w:color w:val="auto"/>
              </w:rPr>
            </w:pPr>
          </w:p>
        </w:tc>
        <w:tc>
          <w:tcPr>
            <w:tcW w:w="320" w:type="dxa"/>
            <w:vAlign w:val="bottom"/>
            <w:gridSpan w:val="3"/>
            <w:vMerge w:val="continue"/>
          </w:tcPr>
          <w:p>
            <w:pPr>
              <w:spacing w:after="0"/>
              <w:rPr>
                <w:sz w:val="21"/>
                <w:szCs w:val="21"/>
                <w:color w:val="auto"/>
              </w:rPr>
            </w:pPr>
          </w:p>
        </w:tc>
        <w:tc>
          <w:tcPr>
            <w:tcW w:w="320" w:type="dxa"/>
            <w:vAlign w:val="bottom"/>
            <w:tcBorders>
              <w:bottom w:val="single" w:sz="8" w:color="0000FF"/>
            </w:tcBorders>
            <w:gridSpan w:val="4"/>
            <w:vMerge w:val="continue"/>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1280" w:type="dxa"/>
            <w:vAlign w:val="bottom"/>
          </w:tcPr>
          <w:p>
            <w:pPr>
              <w:spacing w:after="0" w:line="232" w:lineRule="exact"/>
              <w:rPr>
                <w:sz w:val="20"/>
                <w:szCs w:val="20"/>
                <w:color w:val="auto"/>
              </w:rPr>
            </w:pPr>
            <w:r>
              <w:rPr>
                <w:rFonts w:ascii="Times New Roman" w:cs="Times New Roman" w:eastAsia="Times New Roman" w:hAnsi="Times New Roman"/>
                <w:sz w:val="21"/>
                <w:szCs w:val="21"/>
                <w:color w:val="auto"/>
              </w:rPr>
              <w:t>Section 10.08</w:t>
            </w:r>
          </w:p>
        </w:tc>
        <w:tc>
          <w:tcPr>
            <w:tcW w:w="1600" w:type="dxa"/>
            <w:vAlign w:val="bottom"/>
            <w:gridSpan w:val="2"/>
          </w:tcPr>
          <w:p>
            <w:pPr>
              <w:ind w:left="120"/>
              <w:spacing w:after="0" w:line="232" w:lineRule="exact"/>
              <w:rPr>
                <w:sz w:val="20"/>
                <w:szCs w:val="20"/>
                <w:color w:val="auto"/>
              </w:rPr>
            </w:pPr>
            <w:r>
              <w:rPr>
                <w:rFonts w:ascii="Times New Roman" w:cs="Times New Roman" w:eastAsia="Times New Roman" w:hAnsi="Times New Roman"/>
                <w:sz w:val="21"/>
                <w:szCs w:val="21"/>
                <w:color w:val="auto"/>
              </w:rPr>
              <w:t>Right of Setoff</w:t>
            </w:r>
          </w:p>
        </w:tc>
        <w:tc>
          <w:tcPr>
            <w:tcW w:w="320" w:type="dxa"/>
            <w:vAlign w:val="bottom"/>
            <w:gridSpan w:val="3"/>
          </w:tcPr>
          <w:p>
            <w:pPr>
              <w:jc w:val="right"/>
              <w:spacing w:after="0" w:line="232" w:lineRule="exact"/>
              <w:rPr>
                <w:sz w:val="20"/>
                <w:szCs w:val="20"/>
                <w:color w:val="auto"/>
              </w:rPr>
            </w:pPr>
            <w:r>
              <w:rPr>
                <w:rFonts w:ascii="Times New Roman" w:cs="Times New Roman" w:eastAsia="Times New Roman" w:hAnsi="Times New Roman"/>
                <w:sz w:val="21"/>
                <w:szCs w:val="21"/>
                <w:b w:val="1"/>
                <w:bCs w:val="1"/>
                <w:color w:val="FF0000"/>
                <w:strike w:val="1"/>
                <w:w w:val="95"/>
              </w:rPr>
              <w:t>185</w:t>
            </w:r>
          </w:p>
        </w:tc>
        <w:tc>
          <w:tcPr>
            <w:tcW w:w="320" w:type="dxa"/>
            <w:vAlign w:val="bottom"/>
            <w:tcBorders>
              <w:bottom w:val="single" w:sz="8" w:color="0000FF"/>
            </w:tcBorders>
            <w:gridSpan w:val="2"/>
          </w:tcPr>
          <w:p>
            <w:pPr>
              <w:jc w:val="right"/>
              <w:spacing w:after="0" w:line="232" w:lineRule="exact"/>
              <w:rPr>
                <w:sz w:val="20"/>
                <w:szCs w:val="20"/>
                <w:color w:val="auto"/>
              </w:rPr>
            </w:pPr>
            <w:r>
              <w:rPr>
                <w:rFonts w:ascii="Times New Roman" w:cs="Times New Roman" w:eastAsia="Times New Roman" w:hAnsi="Times New Roman"/>
                <w:sz w:val="21"/>
                <w:szCs w:val="21"/>
                <w:b w:val="1"/>
                <w:bCs w:val="1"/>
                <w:color w:val="0000FF"/>
                <w:w w:val="95"/>
              </w:rPr>
              <w:t>188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gridSpan w:val="5"/>
            <w:vMerge w:val="restart"/>
          </w:tcPr>
          <w:p>
            <w:pPr>
              <w:jc w:val="right"/>
              <w:spacing w:after="0"/>
              <w:rPr>
                <w:sz w:val="20"/>
                <w:szCs w:val="20"/>
                <w:color w:val="auto"/>
              </w:rPr>
            </w:pPr>
            <w:r>
              <w:rPr>
                <w:rFonts w:ascii="Times New Roman" w:cs="Times New Roman" w:eastAsia="Times New Roman" w:hAnsi="Times New Roman"/>
                <w:sz w:val="21"/>
                <w:szCs w:val="21"/>
                <w:b w:val="1"/>
                <w:bCs w:val="1"/>
                <w:color w:val="FF0000"/>
                <w:strike w:val="1"/>
              </w:rPr>
              <w:t>185</w:t>
            </w:r>
          </w:p>
        </w:tc>
        <w:tc>
          <w:tcPr>
            <w:tcW w:w="360" w:type="dxa"/>
            <w:vAlign w:val="bottom"/>
            <w:gridSpan w:val="5"/>
            <w:vMerge w:val="restart"/>
          </w:tcPr>
          <w:p>
            <w:pPr>
              <w:jc w:val="right"/>
              <w:ind w:right="40"/>
              <w:spacing w:after="0"/>
              <w:rPr>
                <w:sz w:val="20"/>
                <w:szCs w:val="20"/>
                <w:color w:val="auto"/>
              </w:rPr>
            </w:pPr>
            <w:r>
              <w:rPr>
                <w:rFonts w:ascii="Times New Roman" w:cs="Times New Roman" w:eastAsia="Times New Roman" w:hAnsi="Times New Roman"/>
                <w:sz w:val="21"/>
                <w:szCs w:val="21"/>
                <w:b w:val="1"/>
                <w:bCs w:val="1"/>
                <w:color w:val="0000FF"/>
                <w:w w:val="95"/>
              </w:rPr>
              <w:t>188</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280" w:type="dxa"/>
            <w:vAlign w:val="bottom"/>
          </w:tcPr>
          <w:p>
            <w:pPr>
              <w:spacing w:after="0" w:line="232" w:lineRule="exact"/>
              <w:rPr>
                <w:sz w:val="20"/>
                <w:szCs w:val="20"/>
                <w:color w:val="auto"/>
              </w:rPr>
            </w:pPr>
            <w:r>
              <w:rPr>
                <w:rFonts w:ascii="Times New Roman" w:cs="Times New Roman" w:eastAsia="Times New Roman" w:hAnsi="Times New Roman"/>
                <w:sz w:val="21"/>
                <w:szCs w:val="21"/>
                <w:color w:val="auto"/>
              </w:rPr>
              <w:t>Section 10.09</w:t>
            </w:r>
          </w:p>
        </w:tc>
        <w:tc>
          <w:tcPr>
            <w:tcW w:w="2340" w:type="dxa"/>
            <w:vAlign w:val="bottom"/>
            <w:gridSpan w:val="9"/>
          </w:tcPr>
          <w:p>
            <w:pPr>
              <w:ind w:left="120"/>
              <w:spacing w:after="0" w:line="232" w:lineRule="exact"/>
              <w:rPr>
                <w:sz w:val="20"/>
                <w:szCs w:val="20"/>
                <w:color w:val="auto"/>
              </w:rPr>
            </w:pPr>
            <w:r>
              <w:rPr>
                <w:rFonts w:ascii="Times New Roman" w:cs="Times New Roman" w:eastAsia="Times New Roman" w:hAnsi="Times New Roman"/>
                <w:sz w:val="21"/>
                <w:szCs w:val="21"/>
                <w:color w:val="auto"/>
              </w:rPr>
              <w:t>Interest Rate Limitation</w:t>
            </w:r>
          </w:p>
        </w:tc>
        <w:tc>
          <w:tcPr>
            <w:tcW w:w="340" w:type="dxa"/>
            <w:vAlign w:val="bottom"/>
            <w:gridSpan w:val="5"/>
            <w:vMerge w:val="continue"/>
          </w:tcPr>
          <w:p>
            <w:pPr>
              <w:spacing w:after="0"/>
              <w:rPr>
                <w:sz w:val="20"/>
                <w:szCs w:val="20"/>
                <w:color w:val="auto"/>
              </w:rPr>
            </w:pPr>
          </w:p>
        </w:tc>
        <w:tc>
          <w:tcPr>
            <w:tcW w:w="360" w:type="dxa"/>
            <w:vAlign w:val="bottom"/>
            <w:gridSpan w:val="5"/>
            <w:vMerge w:val="continue"/>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gridSpan w:val="6"/>
            <w:vMerge w:val="restart"/>
          </w:tcPr>
          <w:p>
            <w:pPr>
              <w:jc w:val="right"/>
              <w:spacing w:after="0"/>
              <w:rPr>
                <w:sz w:val="20"/>
                <w:szCs w:val="20"/>
                <w:color w:val="auto"/>
              </w:rPr>
            </w:pPr>
            <w:r>
              <w:rPr>
                <w:rFonts w:ascii="Times New Roman" w:cs="Times New Roman" w:eastAsia="Times New Roman" w:hAnsi="Times New Roman"/>
                <w:sz w:val="21"/>
                <w:szCs w:val="21"/>
                <w:b w:val="1"/>
                <w:bCs w:val="1"/>
                <w:color w:val="FF0000"/>
                <w:strike w:val="1"/>
                <w:w w:val="95"/>
              </w:rPr>
              <w:t>185</w:t>
            </w:r>
          </w:p>
        </w:tc>
        <w:tc>
          <w:tcPr>
            <w:tcW w:w="320" w:type="dxa"/>
            <w:vAlign w:val="bottom"/>
            <w:gridSpan w:val="4"/>
            <w:vMerge w:val="restart"/>
          </w:tcPr>
          <w:p>
            <w:pPr>
              <w:jc w:val="right"/>
              <w:spacing w:after="0"/>
              <w:rPr>
                <w:sz w:val="20"/>
                <w:szCs w:val="20"/>
                <w:color w:val="auto"/>
              </w:rPr>
            </w:pPr>
            <w:r>
              <w:rPr>
                <w:rFonts w:ascii="Times New Roman" w:cs="Times New Roman" w:eastAsia="Times New Roman" w:hAnsi="Times New Roman"/>
                <w:sz w:val="21"/>
                <w:szCs w:val="21"/>
                <w:b w:val="1"/>
                <w:bCs w:val="1"/>
                <w:color w:val="0000FF"/>
                <w:w w:val="95"/>
              </w:rPr>
              <w:t>189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6"/>
            <w:vMerge w:val="continue"/>
          </w:tcPr>
          <w:p>
            <w:pPr>
              <w:spacing w:after="0" w:line="20" w:lineRule="exact"/>
              <w:rPr>
                <w:sz w:val="1"/>
                <w:szCs w:val="1"/>
                <w:color w:val="auto"/>
              </w:rPr>
            </w:pPr>
          </w:p>
        </w:tc>
        <w:tc>
          <w:tcPr>
            <w:tcW w:w="320" w:type="dxa"/>
            <w:vAlign w:val="bottom"/>
            <w:gridSpan w:val="4"/>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280" w:type="dxa"/>
            <w:vAlign w:val="bottom"/>
          </w:tcPr>
          <w:p>
            <w:pPr>
              <w:spacing w:after="0" w:line="232" w:lineRule="exact"/>
              <w:rPr>
                <w:sz w:val="20"/>
                <w:szCs w:val="20"/>
                <w:color w:val="auto"/>
              </w:rPr>
            </w:pPr>
            <w:r>
              <w:rPr>
                <w:rFonts w:ascii="Times New Roman" w:cs="Times New Roman" w:eastAsia="Times New Roman" w:hAnsi="Times New Roman"/>
                <w:sz w:val="21"/>
                <w:szCs w:val="21"/>
                <w:color w:val="auto"/>
              </w:rPr>
              <w:t>Section 10.10</w:t>
            </w:r>
          </w:p>
        </w:tc>
        <w:tc>
          <w:tcPr>
            <w:tcW w:w="3600" w:type="dxa"/>
            <w:vAlign w:val="bottom"/>
            <w:gridSpan w:val="26"/>
          </w:tcPr>
          <w:p>
            <w:pPr>
              <w:ind w:left="120"/>
              <w:spacing w:after="0" w:line="232" w:lineRule="exact"/>
              <w:rPr>
                <w:sz w:val="20"/>
                <w:szCs w:val="20"/>
                <w:color w:val="auto"/>
              </w:rPr>
            </w:pPr>
            <w:r>
              <w:rPr>
                <w:rFonts w:ascii="Times New Roman" w:cs="Times New Roman" w:eastAsia="Times New Roman" w:hAnsi="Times New Roman"/>
                <w:sz w:val="21"/>
                <w:szCs w:val="21"/>
                <w:color w:val="auto"/>
              </w:rPr>
              <w:t>Counterparts; Integration; Effectiveness</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gridSpan w:val="6"/>
            <w:vMerge w:val="continue"/>
          </w:tcPr>
          <w:p>
            <w:pPr>
              <w:spacing w:after="0"/>
              <w:rPr>
                <w:sz w:val="20"/>
                <w:szCs w:val="20"/>
                <w:color w:val="auto"/>
              </w:rPr>
            </w:pPr>
          </w:p>
        </w:tc>
        <w:tc>
          <w:tcPr>
            <w:tcW w:w="320" w:type="dxa"/>
            <w:vAlign w:val="bottom"/>
            <w:tcBorders>
              <w:bottom w:val="single" w:sz="8" w:color="0000FF"/>
            </w:tcBorders>
            <w:gridSpan w:val="4"/>
            <w:vMerge w:val="continue"/>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280" w:type="dxa"/>
            <w:vAlign w:val="bottom"/>
          </w:tcPr>
          <w:p>
            <w:pPr>
              <w:spacing w:after="0" w:line="232" w:lineRule="exact"/>
              <w:rPr>
                <w:sz w:val="20"/>
                <w:szCs w:val="20"/>
                <w:color w:val="auto"/>
              </w:rPr>
            </w:pPr>
            <w:r>
              <w:rPr>
                <w:rFonts w:ascii="Times New Roman" w:cs="Times New Roman" w:eastAsia="Times New Roman" w:hAnsi="Times New Roman"/>
                <w:sz w:val="21"/>
                <w:szCs w:val="21"/>
                <w:color w:val="auto"/>
              </w:rPr>
              <w:t>Section 10.11</w:t>
            </w:r>
          </w:p>
        </w:tc>
        <w:tc>
          <w:tcPr>
            <w:tcW w:w="4000" w:type="dxa"/>
            <w:vAlign w:val="bottom"/>
            <w:gridSpan w:val="33"/>
          </w:tcPr>
          <w:p>
            <w:pPr>
              <w:ind w:left="120"/>
              <w:spacing w:after="0" w:line="232" w:lineRule="exact"/>
              <w:rPr>
                <w:sz w:val="20"/>
                <w:szCs w:val="20"/>
                <w:color w:val="auto"/>
              </w:rPr>
            </w:pPr>
            <w:r>
              <w:rPr>
                <w:rFonts w:ascii="Times New Roman" w:cs="Times New Roman" w:eastAsia="Times New Roman" w:hAnsi="Times New Roman"/>
                <w:sz w:val="21"/>
                <w:szCs w:val="21"/>
                <w:color w:val="auto"/>
              </w:rPr>
              <w:t>Survival of Representations and Warranties</w:t>
            </w:r>
          </w:p>
        </w:tc>
        <w:tc>
          <w:tcPr>
            <w:tcW w:w="320" w:type="dxa"/>
            <w:vAlign w:val="bottom"/>
            <w:gridSpan w:val="4"/>
          </w:tcPr>
          <w:p>
            <w:pPr>
              <w:jc w:val="right"/>
              <w:spacing w:after="0" w:line="232" w:lineRule="exact"/>
              <w:rPr>
                <w:sz w:val="20"/>
                <w:szCs w:val="20"/>
                <w:color w:val="auto"/>
              </w:rPr>
            </w:pPr>
            <w:r>
              <w:rPr>
                <w:rFonts w:ascii="Times New Roman" w:cs="Times New Roman" w:eastAsia="Times New Roman" w:hAnsi="Times New Roman"/>
                <w:sz w:val="21"/>
                <w:szCs w:val="21"/>
                <w:b w:val="1"/>
                <w:bCs w:val="1"/>
                <w:color w:val="FF0000"/>
                <w:strike w:val="1"/>
                <w:w w:val="95"/>
              </w:rPr>
              <w:t>186</w:t>
            </w:r>
          </w:p>
        </w:tc>
        <w:tc>
          <w:tcPr>
            <w:tcW w:w="1760" w:type="dxa"/>
            <w:vAlign w:val="bottom"/>
            <w:gridSpan w:val="14"/>
          </w:tcPr>
          <w:p>
            <w:pPr>
              <w:jc w:val="right"/>
              <w:ind w:right="1440"/>
              <w:spacing w:after="0" w:line="232" w:lineRule="exact"/>
              <w:rPr>
                <w:sz w:val="20"/>
                <w:szCs w:val="20"/>
                <w:color w:val="auto"/>
              </w:rPr>
            </w:pPr>
            <w:r>
              <w:rPr>
                <w:rFonts w:ascii="Times New Roman" w:cs="Times New Roman" w:eastAsia="Times New Roman" w:hAnsi="Times New Roman"/>
                <w:sz w:val="21"/>
                <w:szCs w:val="21"/>
                <w:b w:val="1"/>
                <w:bCs w:val="1"/>
                <w:color w:val="0000FF"/>
                <w:w w:val="95"/>
              </w:rPr>
              <w:t>189</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1280" w:type="dxa"/>
            <w:vAlign w:val="bottom"/>
          </w:tcPr>
          <w:p>
            <w:pPr>
              <w:spacing w:after="0"/>
              <w:rPr>
                <w:sz w:val="20"/>
                <w:szCs w:val="20"/>
                <w:color w:val="auto"/>
              </w:rPr>
            </w:pPr>
            <w:r>
              <w:rPr>
                <w:rFonts w:ascii="Times New Roman" w:cs="Times New Roman" w:eastAsia="Times New Roman" w:hAnsi="Times New Roman"/>
                <w:sz w:val="21"/>
                <w:szCs w:val="21"/>
                <w:color w:val="auto"/>
              </w:rPr>
              <w:t>Section 10.12</w:t>
            </w:r>
          </w:p>
        </w:tc>
        <w:tc>
          <w:tcPr>
            <w:tcW w:w="136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Severability</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1"/>
                <w:szCs w:val="21"/>
                <w:b w:val="1"/>
                <w:bCs w:val="1"/>
                <w:color w:val="FF0000"/>
                <w:strike w:val="1"/>
                <w:w w:val="95"/>
              </w:rPr>
              <w:t>186</w:t>
            </w:r>
          </w:p>
        </w:tc>
        <w:tc>
          <w:tcPr>
            <w:tcW w:w="32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21"/>
                <w:szCs w:val="21"/>
                <w:b w:val="1"/>
                <w:bCs w:val="1"/>
                <w:color w:val="0000FF"/>
                <w:w w:val="95"/>
              </w:rPr>
              <w:t>189</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gridSpan w:val="4"/>
            <w:vMerge w:val="restart"/>
          </w:tcPr>
          <w:p>
            <w:pPr>
              <w:jc w:val="right"/>
              <w:spacing w:after="0"/>
              <w:rPr>
                <w:sz w:val="20"/>
                <w:szCs w:val="20"/>
                <w:color w:val="auto"/>
              </w:rPr>
            </w:pPr>
            <w:r>
              <w:rPr>
                <w:rFonts w:ascii="Times New Roman" w:cs="Times New Roman" w:eastAsia="Times New Roman" w:hAnsi="Times New Roman"/>
                <w:sz w:val="21"/>
                <w:szCs w:val="21"/>
                <w:b w:val="1"/>
                <w:bCs w:val="1"/>
                <w:color w:val="FF0000"/>
                <w:strike w:val="1"/>
                <w:w w:val="95"/>
              </w:rPr>
              <w:t>186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1280" w:type="dxa"/>
            <w:vAlign w:val="bottom"/>
          </w:tcPr>
          <w:p>
            <w:pPr>
              <w:spacing w:after="0" w:line="232" w:lineRule="exact"/>
              <w:rPr>
                <w:sz w:val="20"/>
                <w:szCs w:val="20"/>
                <w:color w:val="auto"/>
              </w:rPr>
            </w:pPr>
            <w:r>
              <w:rPr>
                <w:rFonts w:ascii="Times New Roman" w:cs="Times New Roman" w:eastAsia="Times New Roman" w:hAnsi="Times New Roman"/>
                <w:sz w:val="21"/>
                <w:szCs w:val="21"/>
                <w:color w:val="auto"/>
              </w:rPr>
              <w:t>Section 10.13</w:t>
            </w:r>
          </w:p>
        </w:tc>
        <w:tc>
          <w:tcPr>
            <w:tcW w:w="2340" w:type="dxa"/>
            <w:vAlign w:val="bottom"/>
            <w:gridSpan w:val="9"/>
          </w:tcPr>
          <w:p>
            <w:pPr>
              <w:ind w:left="120"/>
              <w:spacing w:after="0" w:line="232" w:lineRule="exact"/>
              <w:rPr>
                <w:sz w:val="20"/>
                <w:szCs w:val="20"/>
                <w:color w:val="auto"/>
              </w:rPr>
            </w:pPr>
            <w:r>
              <w:rPr>
                <w:rFonts w:ascii="Times New Roman" w:cs="Times New Roman" w:eastAsia="Times New Roman" w:hAnsi="Times New Roman"/>
                <w:sz w:val="21"/>
                <w:szCs w:val="21"/>
                <w:color w:val="auto"/>
              </w:rPr>
              <w:t>Replacement of Lenders</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gridSpan w:val="4"/>
            <w:vMerge w:val="continue"/>
          </w:tcPr>
          <w:p>
            <w:pPr>
              <w:spacing w:after="0"/>
              <w:rPr>
                <w:sz w:val="20"/>
                <w:szCs w:val="20"/>
                <w:color w:val="auto"/>
              </w:rPr>
            </w:pPr>
          </w:p>
        </w:tc>
        <w:tc>
          <w:tcPr>
            <w:tcW w:w="380" w:type="dxa"/>
            <w:vAlign w:val="bottom"/>
            <w:gridSpan w:val="5"/>
          </w:tcPr>
          <w:p>
            <w:pPr>
              <w:jc w:val="right"/>
              <w:ind w:right="60"/>
              <w:spacing w:after="0" w:line="232" w:lineRule="exact"/>
              <w:rPr>
                <w:sz w:val="20"/>
                <w:szCs w:val="20"/>
                <w:color w:val="auto"/>
              </w:rPr>
            </w:pPr>
            <w:r>
              <w:rPr>
                <w:rFonts w:ascii="Times New Roman" w:cs="Times New Roman" w:eastAsia="Times New Roman" w:hAnsi="Times New Roman"/>
                <w:sz w:val="21"/>
                <w:szCs w:val="21"/>
                <w:b w:val="1"/>
                <w:bCs w:val="1"/>
                <w:color w:val="0000FF"/>
                <w:w w:val="95"/>
              </w:rPr>
              <w:t>189</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21"/>
                <w:szCs w:val="21"/>
                <w:b w:val="1"/>
                <w:bCs w:val="1"/>
                <w:color w:val="FF0000"/>
                <w:strike w:val="1"/>
                <w:w w:val="95"/>
              </w:rPr>
              <w:t>187</w:t>
            </w:r>
          </w:p>
        </w:tc>
        <w:tc>
          <w:tcPr>
            <w:tcW w:w="420" w:type="dxa"/>
            <w:vAlign w:val="bottom"/>
            <w:gridSpan w:val="7"/>
            <w:vMerge w:val="restart"/>
          </w:tcPr>
          <w:p>
            <w:pPr>
              <w:jc w:val="right"/>
              <w:spacing w:after="0"/>
              <w:rPr>
                <w:sz w:val="20"/>
                <w:szCs w:val="20"/>
                <w:color w:val="auto"/>
              </w:rPr>
            </w:pPr>
            <w:r>
              <w:rPr>
                <w:rFonts w:ascii="Times New Roman" w:cs="Times New Roman" w:eastAsia="Times New Roman" w:hAnsi="Times New Roman"/>
                <w:sz w:val="21"/>
                <w:szCs w:val="21"/>
                <w:b w:val="1"/>
                <w:bCs w:val="1"/>
                <w:color w:val="0000FF"/>
                <w:w w:val="95"/>
              </w:rPr>
              <w:t>190</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80" w:type="dxa"/>
            <w:vAlign w:val="bottom"/>
            <w:gridSpan w:val="3"/>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3"/>
            <w:vMerge w:val="continue"/>
          </w:tcPr>
          <w:p>
            <w:pPr>
              <w:spacing w:after="0" w:line="20" w:lineRule="exact"/>
              <w:rPr>
                <w:sz w:val="1"/>
                <w:szCs w:val="1"/>
                <w:color w:val="auto"/>
              </w:rPr>
            </w:pPr>
          </w:p>
        </w:tc>
        <w:tc>
          <w:tcPr>
            <w:tcW w:w="420" w:type="dxa"/>
            <w:vAlign w:val="bottom"/>
            <w:gridSpan w:val="7"/>
            <w:vMerge w:val="continu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4500" w:type="dxa"/>
            <w:vAlign w:val="bottom"/>
            <w:gridSpan w:val="23"/>
          </w:tcPr>
          <w:p>
            <w:pPr>
              <w:spacing w:after="0" w:line="232" w:lineRule="exact"/>
              <w:rPr>
                <w:sz w:val="20"/>
                <w:szCs w:val="20"/>
                <w:color w:val="auto"/>
              </w:rPr>
            </w:pPr>
            <w:r>
              <w:rPr>
                <w:rFonts w:ascii="Times New Roman" w:cs="Times New Roman" w:eastAsia="Times New Roman" w:hAnsi="Times New Roman"/>
                <w:sz w:val="21"/>
                <w:szCs w:val="21"/>
                <w:color w:val="auto"/>
              </w:rPr>
              <w:t>Section 10.14  Governing Law; Jurisdiction; Etc.</w:t>
            </w:r>
          </w:p>
        </w:tc>
        <w:tc>
          <w:tcPr>
            <w:tcW w:w="320" w:type="dxa"/>
            <w:vAlign w:val="bottom"/>
            <w:gridSpan w:val="3"/>
            <w:vMerge w:val="continue"/>
          </w:tcPr>
          <w:p>
            <w:pPr>
              <w:spacing w:after="0"/>
              <w:rPr>
                <w:sz w:val="20"/>
                <w:szCs w:val="20"/>
                <w:color w:val="auto"/>
              </w:rPr>
            </w:pPr>
          </w:p>
        </w:tc>
        <w:tc>
          <w:tcPr>
            <w:tcW w:w="420" w:type="dxa"/>
            <w:vAlign w:val="bottom"/>
            <w:gridSpan w:val="7"/>
            <w:vMerge w:val="continue"/>
          </w:tcPr>
          <w:p>
            <w:pPr>
              <w:spacing w:after="0"/>
              <w:rPr>
                <w:sz w:val="20"/>
                <w:szCs w:val="20"/>
                <w:color w:val="auto"/>
              </w:rPr>
            </w:pPr>
          </w:p>
        </w:tc>
        <w:tc>
          <w:tcPr>
            <w:tcW w:w="160" w:type="dxa"/>
            <w:vAlign w:val="bottom"/>
            <w:gridSpan w:val="3"/>
          </w:tcPr>
          <w:p>
            <w:pPr>
              <w:spacing w:after="0"/>
              <w:rPr>
                <w:sz w:val="20"/>
                <w:szCs w:val="20"/>
                <w:color w:val="auto"/>
              </w:rPr>
            </w:pPr>
          </w:p>
        </w:tc>
        <w:tc>
          <w:tcPr>
            <w:tcW w:w="320" w:type="dxa"/>
            <w:vAlign w:val="bottom"/>
            <w:gridSpan w:val="4"/>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280" w:type="dxa"/>
            <w:vAlign w:val="bottom"/>
          </w:tcPr>
          <w:p>
            <w:pPr>
              <w:spacing w:after="0" w:line="232" w:lineRule="exact"/>
              <w:rPr>
                <w:sz w:val="20"/>
                <w:szCs w:val="20"/>
                <w:color w:val="auto"/>
              </w:rPr>
            </w:pPr>
            <w:r>
              <w:rPr>
                <w:rFonts w:ascii="Times New Roman" w:cs="Times New Roman" w:eastAsia="Times New Roman" w:hAnsi="Times New Roman"/>
                <w:sz w:val="21"/>
                <w:szCs w:val="21"/>
                <w:color w:val="auto"/>
              </w:rPr>
              <w:t>Section 10.15</w:t>
            </w:r>
          </w:p>
        </w:tc>
        <w:tc>
          <w:tcPr>
            <w:tcW w:w="2000" w:type="dxa"/>
            <w:vAlign w:val="bottom"/>
            <w:gridSpan w:val="6"/>
          </w:tcPr>
          <w:p>
            <w:pPr>
              <w:ind w:left="120"/>
              <w:spacing w:after="0" w:line="232" w:lineRule="exact"/>
              <w:rPr>
                <w:sz w:val="20"/>
                <w:szCs w:val="20"/>
                <w:color w:val="auto"/>
              </w:rPr>
            </w:pPr>
            <w:r>
              <w:rPr>
                <w:rFonts w:ascii="Times New Roman" w:cs="Times New Roman" w:eastAsia="Times New Roman" w:hAnsi="Times New Roman"/>
                <w:sz w:val="21"/>
                <w:szCs w:val="21"/>
                <w:color w:val="auto"/>
              </w:rPr>
              <w:t>Waiver of Jury Trial</w:t>
            </w:r>
          </w:p>
        </w:tc>
        <w:tc>
          <w:tcPr>
            <w:tcW w:w="360" w:type="dxa"/>
            <w:vAlign w:val="bottom"/>
            <w:gridSpan w:val="4"/>
          </w:tcPr>
          <w:p>
            <w:pPr>
              <w:jc w:val="right"/>
              <w:spacing w:after="0" w:line="232" w:lineRule="exact"/>
              <w:rPr>
                <w:sz w:val="20"/>
                <w:szCs w:val="20"/>
                <w:color w:val="auto"/>
              </w:rPr>
            </w:pPr>
            <w:r>
              <w:rPr>
                <w:rFonts w:ascii="Times New Roman" w:cs="Times New Roman" w:eastAsia="Times New Roman" w:hAnsi="Times New Roman"/>
                <w:sz w:val="21"/>
                <w:szCs w:val="21"/>
                <w:b w:val="1"/>
                <w:bCs w:val="1"/>
                <w:color w:val="FF0000"/>
                <w:strike w:val="1"/>
              </w:rPr>
              <w:t>188</w:t>
            </w:r>
          </w:p>
        </w:tc>
        <w:tc>
          <w:tcPr>
            <w:tcW w:w="360" w:type="dxa"/>
            <w:vAlign w:val="bottom"/>
            <w:gridSpan w:val="5"/>
          </w:tcPr>
          <w:p>
            <w:pPr>
              <w:jc w:val="right"/>
              <w:spacing w:after="0" w:line="232" w:lineRule="exact"/>
              <w:rPr>
                <w:sz w:val="20"/>
                <w:szCs w:val="20"/>
                <w:color w:val="auto"/>
              </w:rPr>
            </w:pPr>
            <w:r>
              <w:rPr>
                <w:rFonts w:ascii="Times New Roman" w:cs="Times New Roman" w:eastAsia="Times New Roman" w:hAnsi="Times New Roman"/>
                <w:sz w:val="21"/>
                <w:szCs w:val="21"/>
                <w:b w:val="1"/>
                <w:bCs w:val="1"/>
                <w:color w:val="0000FF"/>
                <w:w w:val="95"/>
              </w:rPr>
              <w:t>191</w:t>
            </w:r>
          </w:p>
        </w:tc>
        <w:tc>
          <w:tcPr>
            <w:tcW w:w="100" w:type="dxa"/>
            <w:vAlign w:val="bottom"/>
          </w:tcPr>
          <w:p>
            <w:pPr>
              <w:spacing w:after="0"/>
              <w:rPr>
                <w:sz w:val="20"/>
                <w:szCs w:val="20"/>
                <w:color w:val="auto"/>
              </w:rPr>
            </w:pPr>
          </w:p>
        </w:tc>
        <w:tc>
          <w:tcPr>
            <w:tcW w:w="320" w:type="dxa"/>
            <w:vAlign w:val="bottom"/>
            <w:gridSpan w:val="5"/>
            <w:vMerge w:val="restart"/>
          </w:tcPr>
          <w:p>
            <w:pPr>
              <w:jc w:val="right"/>
              <w:spacing w:after="0"/>
              <w:rPr>
                <w:sz w:val="20"/>
                <w:szCs w:val="20"/>
                <w:color w:val="auto"/>
              </w:rPr>
            </w:pPr>
            <w:r>
              <w:rPr>
                <w:rFonts w:ascii="Times New Roman" w:cs="Times New Roman" w:eastAsia="Times New Roman" w:hAnsi="Times New Roman"/>
                <w:sz w:val="21"/>
                <w:szCs w:val="21"/>
                <w:b w:val="1"/>
                <w:bCs w:val="1"/>
                <w:color w:val="FF0000"/>
                <w:strike w:val="1"/>
                <w:w w:val="95"/>
              </w:rPr>
              <w:t>188</w:t>
            </w:r>
          </w:p>
        </w:tc>
        <w:tc>
          <w:tcPr>
            <w:tcW w:w="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21"/>
                <w:szCs w:val="21"/>
                <w:b w:val="1"/>
                <w:bCs w:val="1"/>
                <w:color w:val="0000FF"/>
                <w:w w:val="95"/>
              </w:rPr>
              <w:t>192</w:t>
            </w:r>
          </w:p>
        </w:tc>
        <w:tc>
          <w:tcPr>
            <w:tcW w:w="80" w:type="dxa"/>
            <w:vAlign w:val="bottom"/>
            <w:vMerge w:val="restart"/>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5"/>
            <w:vMerge w:val="continue"/>
          </w:tcPr>
          <w:p>
            <w:pPr>
              <w:spacing w:after="0" w:line="20" w:lineRule="exact"/>
              <w:rPr>
                <w:sz w:val="1"/>
                <w:szCs w:val="1"/>
                <w:color w:val="auto"/>
              </w:rPr>
            </w:pPr>
          </w:p>
        </w:tc>
        <w:tc>
          <w:tcPr>
            <w:tcW w:w="320" w:type="dxa"/>
            <w:vAlign w:val="bottom"/>
            <w:gridSpan w:val="3"/>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280" w:type="dxa"/>
            <w:vAlign w:val="bottom"/>
          </w:tcPr>
          <w:p>
            <w:pPr>
              <w:spacing w:after="0" w:line="232" w:lineRule="exact"/>
              <w:rPr>
                <w:sz w:val="20"/>
                <w:szCs w:val="20"/>
                <w:color w:val="auto"/>
              </w:rPr>
            </w:pPr>
            <w:r>
              <w:rPr>
                <w:rFonts w:ascii="Times New Roman" w:cs="Times New Roman" w:eastAsia="Times New Roman" w:hAnsi="Times New Roman"/>
                <w:sz w:val="21"/>
                <w:szCs w:val="21"/>
                <w:color w:val="auto"/>
              </w:rPr>
              <w:t>Section 10.16</w:t>
            </w:r>
          </w:p>
        </w:tc>
        <w:tc>
          <w:tcPr>
            <w:tcW w:w="2720" w:type="dxa"/>
            <w:vAlign w:val="bottom"/>
            <w:gridSpan w:val="15"/>
          </w:tcPr>
          <w:p>
            <w:pPr>
              <w:ind w:left="120"/>
              <w:spacing w:after="0" w:line="232" w:lineRule="exact"/>
              <w:rPr>
                <w:sz w:val="20"/>
                <w:szCs w:val="20"/>
                <w:color w:val="auto"/>
              </w:rPr>
            </w:pPr>
            <w:r>
              <w:rPr>
                <w:rFonts w:ascii="Times New Roman" w:cs="Times New Roman" w:eastAsia="Times New Roman" w:hAnsi="Times New Roman"/>
                <w:sz w:val="21"/>
                <w:szCs w:val="21"/>
                <w:color w:val="auto"/>
              </w:rPr>
              <w:t>California Judicial Reference</w:t>
            </w:r>
          </w:p>
        </w:tc>
        <w:tc>
          <w:tcPr>
            <w:tcW w:w="100" w:type="dxa"/>
            <w:vAlign w:val="bottom"/>
          </w:tcPr>
          <w:p>
            <w:pPr>
              <w:spacing w:after="0"/>
              <w:rPr>
                <w:sz w:val="20"/>
                <w:szCs w:val="20"/>
                <w:color w:val="auto"/>
              </w:rPr>
            </w:pPr>
          </w:p>
        </w:tc>
        <w:tc>
          <w:tcPr>
            <w:tcW w:w="320" w:type="dxa"/>
            <w:vAlign w:val="bottom"/>
            <w:gridSpan w:val="5"/>
            <w:vMerge w:val="continue"/>
          </w:tcPr>
          <w:p>
            <w:pPr>
              <w:spacing w:after="0"/>
              <w:rPr>
                <w:sz w:val="20"/>
                <w:szCs w:val="20"/>
                <w:color w:val="auto"/>
              </w:rPr>
            </w:pPr>
          </w:p>
        </w:tc>
        <w:tc>
          <w:tcPr>
            <w:tcW w:w="320" w:type="dxa"/>
            <w:vAlign w:val="bottom"/>
            <w:tcBorders>
              <w:bottom w:val="single" w:sz="8" w:color="0000FF"/>
            </w:tcBorders>
            <w:gridSpan w:val="3"/>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gridSpan w:val="6"/>
            <w:vMerge w:val="restart"/>
          </w:tcPr>
          <w:p>
            <w:pPr>
              <w:jc w:val="right"/>
              <w:spacing w:after="0"/>
              <w:rPr>
                <w:sz w:val="20"/>
                <w:szCs w:val="20"/>
                <w:color w:val="auto"/>
              </w:rPr>
            </w:pPr>
            <w:r>
              <w:rPr>
                <w:rFonts w:ascii="Times New Roman" w:cs="Times New Roman" w:eastAsia="Times New Roman" w:hAnsi="Times New Roman"/>
                <w:sz w:val="21"/>
                <w:szCs w:val="21"/>
                <w:b w:val="1"/>
                <w:bCs w:val="1"/>
                <w:color w:val="FF0000"/>
                <w:strike w:val="1"/>
                <w:w w:val="95"/>
              </w:rPr>
              <w:t>189</w:t>
            </w:r>
          </w:p>
        </w:tc>
        <w:tc>
          <w:tcPr>
            <w:tcW w:w="340" w:type="dxa"/>
            <w:vAlign w:val="bottom"/>
            <w:gridSpan w:val="5"/>
            <w:vMerge w:val="restart"/>
          </w:tcPr>
          <w:p>
            <w:pPr>
              <w:jc w:val="right"/>
              <w:ind w:right="20"/>
              <w:spacing w:after="0"/>
              <w:rPr>
                <w:sz w:val="20"/>
                <w:szCs w:val="20"/>
                <w:color w:val="auto"/>
              </w:rPr>
            </w:pPr>
            <w:r>
              <w:rPr>
                <w:rFonts w:ascii="Times New Roman" w:cs="Times New Roman" w:eastAsia="Times New Roman" w:hAnsi="Times New Roman"/>
                <w:sz w:val="21"/>
                <w:szCs w:val="21"/>
                <w:b w:val="1"/>
                <w:bCs w:val="1"/>
                <w:color w:val="0000FF"/>
                <w:w w:val="95"/>
              </w:rPr>
              <w:t>192</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1280" w:type="dxa"/>
            <w:vAlign w:val="bottom"/>
          </w:tcPr>
          <w:p>
            <w:pPr>
              <w:spacing w:after="0"/>
              <w:rPr>
                <w:sz w:val="20"/>
                <w:szCs w:val="20"/>
                <w:color w:val="auto"/>
              </w:rPr>
            </w:pPr>
            <w:r>
              <w:rPr>
                <w:rFonts w:ascii="Times New Roman" w:cs="Times New Roman" w:eastAsia="Times New Roman" w:hAnsi="Times New Roman"/>
                <w:sz w:val="21"/>
                <w:szCs w:val="21"/>
                <w:color w:val="auto"/>
              </w:rPr>
              <w:t>Section 10.17</w:t>
            </w:r>
          </w:p>
        </w:tc>
        <w:tc>
          <w:tcPr>
            <w:tcW w:w="3600" w:type="dxa"/>
            <w:vAlign w:val="bottom"/>
            <w:gridSpan w:val="26"/>
          </w:tcPr>
          <w:p>
            <w:pPr>
              <w:ind w:left="120"/>
              <w:spacing w:after="0"/>
              <w:rPr>
                <w:sz w:val="20"/>
                <w:szCs w:val="20"/>
                <w:color w:val="auto"/>
              </w:rPr>
            </w:pPr>
            <w:r>
              <w:rPr>
                <w:rFonts w:ascii="Times New Roman" w:cs="Times New Roman" w:eastAsia="Times New Roman" w:hAnsi="Times New Roman"/>
                <w:sz w:val="21"/>
                <w:szCs w:val="21"/>
                <w:color w:val="auto"/>
              </w:rPr>
              <w:t>No Advisory or Fiduciary Responsibility</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gridSpan w:val="6"/>
            <w:vMerge w:val="continue"/>
          </w:tcPr>
          <w:p>
            <w:pPr>
              <w:spacing w:after="0"/>
              <w:rPr>
                <w:sz w:val="21"/>
                <w:szCs w:val="21"/>
                <w:color w:val="auto"/>
              </w:rPr>
            </w:pPr>
          </w:p>
        </w:tc>
        <w:tc>
          <w:tcPr>
            <w:tcW w:w="340" w:type="dxa"/>
            <w:vAlign w:val="bottom"/>
            <w:gridSpan w:val="5"/>
            <w:vMerge w:val="continue"/>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21"/>
                <w:szCs w:val="21"/>
                <w:b w:val="1"/>
                <w:bCs w:val="1"/>
                <w:color w:val="FF0000"/>
                <w:strike w:val="1"/>
                <w:w w:val="95"/>
              </w:rPr>
              <w:t>189</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21"/>
                <w:szCs w:val="21"/>
                <w:b w:val="1"/>
                <w:bCs w:val="1"/>
                <w:color w:val="0000FF"/>
                <w:w w:val="95"/>
              </w:rPr>
              <w:t>193</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9"/>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20" w:type="dxa"/>
            <w:vAlign w:val="bottom"/>
            <w:gridSpan w:val="4"/>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440" w:type="dxa"/>
            <w:vAlign w:val="bottom"/>
            <w:gridSpan w:val="9"/>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280" w:type="dxa"/>
            <w:vAlign w:val="bottom"/>
          </w:tcPr>
          <w:p>
            <w:pPr>
              <w:spacing w:after="0" w:line="232" w:lineRule="exact"/>
              <w:rPr>
                <w:sz w:val="20"/>
                <w:szCs w:val="20"/>
                <w:color w:val="auto"/>
              </w:rPr>
            </w:pPr>
            <w:r>
              <w:rPr>
                <w:rFonts w:ascii="Times New Roman" w:cs="Times New Roman" w:eastAsia="Times New Roman" w:hAnsi="Times New Roman"/>
                <w:sz w:val="21"/>
                <w:szCs w:val="21"/>
                <w:color w:val="auto"/>
              </w:rPr>
              <w:t>Section 10.18</w:t>
            </w:r>
          </w:p>
        </w:tc>
        <w:tc>
          <w:tcPr>
            <w:tcW w:w="6080" w:type="dxa"/>
            <w:vAlign w:val="bottom"/>
            <w:gridSpan w:val="51"/>
          </w:tcPr>
          <w:p>
            <w:pPr>
              <w:ind w:left="120"/>
              <w:spacing w:after="0" w:line="232" w:lineRule="exact"/>
              <w:rPr>
                <w:sz w:val="20"/>
                <w:szCs w:val="20"/>
                <w:color w:val="auto"/>
              </w:rPr>
            </w:pPr>
            <w:r>
              <w:rPr>
                <w:rFonts w:ascii="Times New Roman" w:cs="Times New Roman" w:eastAsia="Times New Roman" w:hAnsi="Times New Roman"/>
                <w:sz w:val="21"/>
                <w:szCs w:val="21"/>
                <w:color w:val="auto"/>
              </w:rPr>
              <w:t>Electronic Execution of Assignments and Certain Other Documents</w:t>
            </w:r>
          </w:p>
        </w:tc>
        <w:tc>
          <w:tcPr>
            <w:tcW w:w="320" w:type="dxa"/>
            <w:vAlign w:val="bottom"/>
            <w:vMerge w:val="continue"/>
          </w:tcPr>
          <w:p>
            <w:pPr>
              <w:spacing w:after="0"/>
              <w:rPr>
                <w:sz w:val="20"/>
                <w:szCs w:val="20"/>
                <w:color w:val="auto"/>
              </w:rPr>
            </w:pPr>
          </w:p>
        </w:tc>
        <w:tc>
          <w:tcPr>
            <w:tcW w:w="320" w:type="dxa"/>
            <w:vAlign w:val="bottom"/>
            <w:tcBorders>
              <w:bottom w:val="single" w:sz="8" w:color="0000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280" w:type="dxa"/>
            <w:vAlign w:val="bottom"/>
          </w:tcPr>
          <w:p>
            <w:pPr>
              <w:spacing w:after="0" w:line="232" w:lineRule="exact"/>
              <w:rPr>
                <w:sz w:val="20"/>
                <w:szCs w:val="20"/>
                <w:color w:val="auto"/>
              </w:rPr>
            </w:pPr>
            <w:r>
              <w:rPr>
                <w:rFonts w:ascii="Times New Roman" w:cs="Times New Roman" w:eastAsia="Times New Roman" w:hAnsi="Times New Roman"/>
                <w:sz w:val="21"/>
                <w:szCs w:val="21"/>
                <w:color w:val="auto"/>
              </w:rPr>
              <w:t>Section 10.19</w:t>
            </w:r>
          </w:p>
        </w:tc>
        <w:tc>
          <w:tcPr>
            <w:tcW w:w="2000" w:type="dxa"/>
            <w:vAlign w:val="bottom"/>
            <w:gridSpan w:val="6"/>
          </w:tcPr>
          <w:p>
            <w:pPr>
              <w:ind w:left="120"/>
              <w:spacing w:after="0" w:line="232" w:lineRule="exact"/>
              <w:rPr>
                <w:sz w:val="20"/>
                <w:szCs w:val="20"/>
                <w:color w:val="auto"/>
              </w:rPr>
            </w:pPr>
            <w:r>
              <w:rPr>
                <w:rFonts w:ascii="Times New Roman" w:cs="Times New Roman" w:eastAsia="Times New Roman" w:hAnsi="Times New Roman"/>
                <w:sz w:val="21"/>
                <w:szCs w:val="21"/>
                <w:color w:val="auto"/>
              </w:rPr>
              <w:t>USA PATRIOT Act</w:t>
            </w:r>
          </w:p>
        </w:tc>
        <w:tc>
          <w:tcPr>
            <w:tcW w:w="340" w:type="dxa"/>
            <w:vAlign w:val="bottom"/>
            <w:gridSpan w:val="3"/>
          </w:tcPr>
          <w:p>
            <w:pPr>
              <w:jc w:val="right"/>
              <w:spacing w:after="0" w:line="232" w:lineRule="exact"/>
              <w:rPr>
                <w:sz w:val="20"/>
                <w:szCs w:val="20"/>
                <w:color w:val="auto"/>
              </w:rPr>
            </w:pPr>
            <w:r>
              <w:rPr>
                <w:rFonts w:ascii="Times New Roman" w:cs="Times New Roman" w:eastAsia="Times New Roman" w:hAnsi="Times New Roman"/>
                <w:sz w:val="21"/>
                <w:szCs w:val="21"/>
                <w:b w:val="1"/>
                <w:bCs w:val="1"/>
                <w:color w:val="FF0000"/>
                <w:strike w:val="1"/>
              </w:rPr>
              <w:t>189</w:t>
            </w:r>
          </w:p>
        </w:tc>
        <w:tc>
          <w:tcPr>
            <w:tcW w:w="340" w:type="dxa"/>
            <w:vAlign w:val="bottom"/>
            <w:tcBorders>
              <w:bottom w:val="single" w:sz="8" w:color="0000FF"/>
            </w:tcBorders>
            <w:gridSpan w:val="5"/>
          </w:tcPr>
          <w:p>
            <w:pPr>
              <w:jc w:val="right"/>
              <w:ind w:right="20"/>
              <w:spacing w:after="0" w:line="232" w:lineRule="exact"/>
              <w:rPr>
                <w:sz w:val="20"/>
                <w:szCs w:val="20"/>
                <w:color w:val="auto"/>
              </w:rPr>
            </w:pPr>
            <w:r>
              <w:rPr>
                <w:rFonts w:ascii="Times New Roman" w:cs="Times New Roman" w:eastAsia="Times New Roman" w:hAnsi="Times New Roman"/>
                <w:sz w:val="21"/>
                <w:szCs w:val="21"/>
                <w:b w:val="1"/>
                <w:bCs w:val="1"/>
                <w:color w:val="0000FF"/>
                <w:w w:val="95"/>
              </w:rPr>
              <w:t>193</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280" w:type="dxa"/>
            <w:vAlign w:val="bottom"/>
          </w:tcPr>
          <w:p>
            <w:pPr>
              <w:spacing w:after="0" w:line="232" w:lineRule="exact"/>
              <w:rPr>
                <w:sz w:val="20"/>
                <w:szCs w:val="20"/>
                <w:color w:val="auto"/>
              </w:rPr>
            </w:pPr>
            <w:r>
              <w:rPr>
                <w:rFonts w:ascii="Times New Roman" w:cs="Times New Roman" w:eastAsia="Times New Roman" w:hAnsi="Times New Roman"/>
                <w:sz w:val="21"/>
                <w:szCs w:val="21"/>
                <w:color w:val="auto"/>
              </w:rPr>
              <w:t>Section 10.20</w:t>
            </w:r>
          </w:p>
        </w:tc>
        <w:tc>
          <w:tcPr>
            <w:tcW w:w="2000" w:type="dxa"/>
            <w:vAlign w:val="bottom"/>
            <w:gridSpan w:val="6"/>
          </w:tcPr>
          <w:p>
            <w:pPr>
              <w:ind w:left="120"/>
              <w:spacing w:after="0" w:line="232" w:lineRule="exact"/>
              <w:rPr>
                <w:sz w:val="20"/>
                <w:szCs w:val="20"/>
                <w:color w:val="auto"/>
              </w:rPr>
            </w:pPr>
            <w:r>
              <w:rPr>
                <w:rFonts w:ascii="Times New Roman" w:cs="Times New Roman" w:eastAsia="Times New Roman" w:hAnsi="Times New Roman"/>
                <w:sz w:val="21"/>
                <w:szCs w:val="21"/>
                <w:color w:val="auto"/>
              </w:rPr>
              <w:t>Judgment Currency</w:t>
            </w:r>
          </w:p>
        </w:tc>
        <w:tc>
          <w:tcPr>
            <w:tcW w:w="320" w:type="dxa"/>
            <w:vAlign w:val="bottom"/>
            <w:gridSpan w:val="2"/>
          </w:tcPr>
          <w:p>
            <w:pPr>
              <w:jc w:val="right"/>
              <w:spacing w:after="0" w:line="232" w:lineRule="exact"/>
              <w:rPr>
                <w:sz w:val="20"/>
                <w:szCs w:val="20"/>
                <w:color w:val="auto"/>
              </w:rPr>
            </w:pPr>
            <w:r>
              <w:rPr>
                <w:rFonts w:ascii="Times New Roman" w:cs="Times New Roman" w:eastAsia="Times New Roman" w:hAnsi="Times New Roman"/>
                <w:sz w:val="21"/>
                <w:szCs w:val="21"/>
                <w:b w:val="1"/>
                <w:bCs w:val="1"/>
                <w:color w:val="FF0000"/>
                <w:strike w:val="1"/>
                <w:w w:val="95"/>
              </w:rPr>
              <w:t>190</w:t>
            </w:r>
          </w:p>
        </w:tc>
        <w:tc>
          <w:tcPr>
            <w:tcW w:w="320" w:type="dxa"/>
            <w:vAlign w:val="bottom"/>
            <w:tcBorders>
              <w:bottom w:val="single" w:sz="8" w:color="0000FF"/>
            </w:tcBorders>
            <w:gridSpan w:val="5"/>
          </w:tcPr>
          <w:p>
            <w:pPr>
              <w:jc w:val="right"/>
              <w:spacing w:after="0" w:line="232" w:lineRule="exact"/>
              <w:rPr>
                <w:sz w:val="20"/>
                <w:szCs w:val="20"/>
                <w:color w:val="auto"/>
              </w:rPr>
            </w:pPr>
            <w:r>
              <w:rPr>
                <w:rFonts w:ascii="Times New Roman" w:cs="Times New Roman" w:eastAsia="Times New Roman" w:hAnsi="Times New Roman"/>
                <w:sz w:val="21"/>
                <w:szCs w:val="21"/>
                <w:b w:val="1"/>
                <w:bCs w:val="1"/>
                <w:color w:val="0000FF"/>
                <w:w w:val="95"/>
              </w:rPr>
              <w:t>193</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gridSpan w:val="4"/>
            <w:vMerge w:val="restart"/>
          </w:tcPr>
          <w:p>
            <w:pPr>
              <w:jc w:val="right"/>
              <w:spacing w:after="0"/>
              <w:rPr>
                <w:sz w:val="20"/>
                <w:szCs w:val="20"/>
                <w:color w:val="auto"/>
              </w:rPr>
            </w:pPr>
            <w:r>
              <w:rPr>
                <w:rFonts w:ascii="Times New Roman" w:cs="Times New Roman" w:eastAsia="Times New Roman" w:hAnsi="Times New Roman"/>
                <w:sz w:val="21"/>
                <w:szCs w:val="21"/>
                <w:b w:val="1"/>
                <w:bCs w:val="1"/>
                <w:color w:val="FF0000"/>
                <w:strike w:val="1"/>
                <w:w w:val="95"/>
              </w:rPr>
              <w:t>190</w:t>
            </w:r>
          </w:p>
        </w:tc>
        <w:tc>
          <w:tcPr>
            <w:tcW w:w="320" w:type="dxa"/>
            <w:vAlign w:val="bottom"/>
            <w:gridSpan w:val="5"/>
            <w:vMerge w:val="restart"/>
          </w:tcPr>
          <w:p>
            <w:pPr>
              <w:jc w:val="right"/>
              <w:spacing w:after="0"/>
              <w:rPr>
                <w:sz w:val="20"/>
                <w:szCs w:val="20"/>
                <w:color w:val="auto"/>
              </w:rPr>
            </w:pPr>
            <w:r>
              <w:rPr>
                <w:rFonts w:ascii="Times New Roman" w:cs="Times New Roman" w:eastAsia="Times New Roman" w:hAnsi="Times New Roman"/>
                <w:sz w:val="21"/>
                <w:szCs w:val="21"/>
                <w:b w:val="1"/>
                <w:bCs w:val="1"/>
                <w:color w:val="0000FF"/>
                <w:w w:val="95"/>
              </w:rPr>
              <w:t>194</w:t>
            </w:r>
          </w:p>
        </w:tc>
        <w:tc>
          <w:tcPr>
            <w:tcW w:w="500" w:type="dxa"/>
            <w:vAlign w:val="bottom"/>
            <w:gridSpan w:val="8"/>
            <w:vMerge w:val="restart"/>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line="232" w:lineRule="exact"/>
              <w:rPr>
                <w:sz w:val="20"/>
                <w:szCs w:val="20"/>
                <w:color w:val="auto"/>
              </w:rPr>
            </w:pPr>
            <w:r>
              <w:rPr>
                <w:rFonts w:ascii="Times New Roman" w:cs="Times New Roman" w:eastAsia="Times New Roman" w:hAnsi="Times New Roman"/>
                <w:sz w:val="21"/>
                <w:szCs w:val="21"/>
                <w:color w:val="auto"/>
              </w:rPr>
              <w:t>Section 10.21</w:t>
            </w:r>
          </w:p>
        </w:tc>
        <w:tc>
          <w:tcPr>
            <w:tcW w:w="3320" w:type="dxa"/>
            <w:vAlign w:val="bottom"/>
            <w:gridSpan w:val="23"/>
          </w:tcPr>
          <w:p>
            <w:pPr>
              <w:ind w:left="120"/>
              <w:spacing w:after="0" w:line="232" w:lineRule="exact"/>
              <w:rPr>
                <w:sz w:val="20"/>
                <w:szCs w:val="20"/>
                <w:color w:val="auto"/>
              </w:rPr>
            </w:pPr>
            <w:r>
              <w:rPr>
                <w:rFonts w:ascii="Times New Roman" w:cs="Times New Roman" w:eastAsia="Times New Roman" w:hAnsi="Times New Roman"/>
                <w:sz w:val="21"/>
                <w:szCs w:val="21"/>
                <w:color w:val="auto"/>
              </w:rPr>
              <w:t>Pari Passu Intercreditor Agreement</w:t>
            </w:r>
          </w:p>
        </w:tc>
        <w:tc>
          <w:tcPr>
            <w:tcW w:w="320" w:type="dxa"/>
            <w:vAlign w:val="bottom"/>
            <w:gridSpan w:val="4"/>
            <w:vMerge w:val="continue"/>
          </w:tcPr>
          <w:p>
            <w:pPr>
              <w:spacing w:after="0"/>
              <w:rPr>
                <w:sz w:val="20"/>
                <w:szCs w:val="20"/>
                <w:color w:val="auto"/>
              </w:rPr>
            </w:pPr>
          </w:p>
        </w:tc>
        <w:tc>
          <w:tcPr>
            <w:tcW w:w="320" w:type="dxa"/>
            <w:vAlign w:val="bottom"/>
            <w:tcBorders>
              <w:bottom w:val="single" w:sz="8" w:color="0000FF"/>
            </w:tcBorders>
            <w:gridSpan w:val="5"/>
            <w:vMerge w:val="continue"/>
          </w:tcPr>
          <w:p>
            <w:pPr>
              <w:spacing w:after="0"/>
              <w:rPr>
                <w:sz w:val="20"/>
                <w:szCs w:val="20"/>
                <w:color w:val="auto"/>
              </w:rPr>
            </w:pPr>
          </w:p>
        </w:tc>
        <w:tc>
          <w:tcPr>
            <w:tcW w:w="500" w:type="dxa"/>
            <w:vAlign w:val="bottom"/>
            <w:gridSpan w:val="8"/>
            <w:vMerge w:val="continue"/>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6"/>
        </w:trPr>
        <w:tc>
          <w:tcPr>
            <w:tcW w:w="1280" w:type="dxa"/>
            <w:vAlign w:val="bottom"/>
            <w:vMerge w:val="restart"/>
          </w:tcPr>
          <w:p>
            <w:pPr>
              <w:spacing w:after="0" w:line="239" w:lineRule="exact"/>
              <w:rPr>
                <w:sz w:val="20"/>
                <w:szCs w:val="20"/>
                <w:color w:val="auto"/>
              </w:rPr>
            </w:pPr>
            <w:r>
              <w:rPr>
                <w:rFonts w:ascii="Times New Roman" w:cs="Times New Roman" w:eastAsia="Times New Roman" w:hAnsi="Times New Roman"/>
                <w:sz w:val="21"/>
                <w:szCs w:val="21"/>
                <w:color w:val="auto"/>
              </w:rPr>
              <w:t>Section 10.22</w:t>
            </w:r>
          </w:p>
        </w:tc>
        <w:tc>
          <w:tcPr>
            <w:tcW w:w="6840" w:type="dxa"/>
            <w:vAlign w:val="bottom"/>
            <w:gridSpan w:val="4"/>
            <w:vMerge w:val="restart"/>
          </w:tcPr>
          <w:p>
            <w:pPr>
              <w:ind w:left="120"/>
              <w:spacing w:after="0" w:line="239" w:lineRule="exact"/>
              <w:rPr>
                <w:sz w:val="20"/>
                <w:szCs w:val="20"/>
                <w:color w:val="auto"/>
              </w:rPr>
            </w:pPr>
            <w:r>
              <w:rPr>
                <w:rFonts w:ascii="Times New Roman" w:cs="Times New Roman" w:eastAsia="Times New Roman" w:hAnsi="Times New Roman"/>
                <w:sz w:val="21"/>
                <w:szCs w:val="21"/>
                <w:color w:val="auto"/>
              </w:rPr>
              <w:t>Acknowledgement and Consent to Bail-In of Affected Financial Institutions.</w:t>
            </w:r>
          </w:p>
        </w:tc>
        <w:tc>
          <w:tcPr>
            <w:tcW w:w="320" w:type="dxa"/>
            <w:vAlign w:val="bottom"/>
            <w:vMerge w:val="restart"/>
          </w:tcPr>
          <w:p>
            <w:pPr>
              <w:jc w:val="right"/>
              <w:spacing w:after="0" w:line="239" w:lineRule="exact"/>
              <w:rPr>
                <w:sz w:val="20"/>
                <w:szCs w:val="20"/>
                <w:color w:val="auto"/>
              </w:rPr>
            </w:pPr>
            <w:r>
              <w:rPr>
                <w:rFonts w:ascii="Times New Roman" w:cs="Times New Roman" w:eastAsia="Times New Roman" w:hAnsi="Times New Roman"/>
                <w:sz w:val="21"/>
                <w:szCs w:val="21"/>
                <w:b w:val="1"/>
                <w:bCs w:val="1"/>
                <w:color w:val="FF0000"/>
                <w:strike w:val="1"/>
                <w:w w:val="95"/>
              </w:rPr>
              <w:t>191</w:t>
            </w:r>
          </w:p>
        </w:tc>
        <w:tc>
          <w:tcPr>
            <w:tcW w:w="320" w:type="dxa"/>
            <w:vAlign w:val="bottom"/>
            <w:vMerge w:val="restart"/>
          </w:tcPr>
          <w:p>
            <w:pPr>
              <w:jc w:val="right"/>
              <w:spacing w:after="0" w:line="239" w:lineRule="exact"/>
              <w:rPr>
                <w:sz w:val="20"/>
                <w:szCs w:val="20"/>
                <w:color w:val="auto"/>
              </w:rPr>
            </w:pPr>
            <w:r>
              <w:rPr>
                <w:rFonts w:ascii="Times New Roman" w:cs="Times New Roman" w:eastAsia="Times New Roman" w:hAnsi="Times New Roman"/>
                <w:sz w:val="21"/>
                <w:szCs w:val="21"/>
                <w:b w:val="1"/>
                <w:bCs w:val="1"/>
                <w:color w:val="0000FF"/>
                <w:w w:val="95"/>
              </w:rPr>
              <w:t>194</w:t>
            </w:r>
          </w:p>
        </w:tc>
        <w:tc>
          <w:tcPr>
            <w:tcW w:w="0" w:type="dxa"/>
            <w:vAlign w:val="bottom"/>
          </w:tcPr>
          <w:p>
            <w:pPr>
              <w:spacing w:after="0" w:line="20" w:lineRule="exact"/>
              <w:rPr>
                <w:sz w:val="1"/>
                <w:szCs w:val="1"/>
                <w:color w:val="auto"/>
              </w:rPr>
            </w:pPr>
          </w:p>
        </w:tc>
      </w:tr>
      <w:tr>
        <w:trPr>
          <w:trHeight w:val="207"/>
        </w:trPr>
        <w:tc>
          <w:tcPr>
            <w:tcW w:w="1280" w:type="dxa"/>
            <w:vAlign w:val="bottom"/>
            <w:vMerge w:val="continue"/>
          </w:tcPr>
          <w:p>
            <w:pPr>
              <w:spacing w:after="0"/>
              <w:rPr>
                <w:sz w:val="17"/>
                <w:szCs w:val="17"/>
                <w:color w:val="auto"/>
              </w:rPr>
            </w:pPr>
          </w:p>
        </w:tc>
        <w:tc>
          <w:tcPr>
            <w:tcW w:w="6840" w:type="dxa"/>
            <w:vAlign w:val="bottom"/>
            <w:gridSpan w:val="4"/>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320" w:type="dxa"/>
            <w:vAlign w:val="bottom"/>
            <w:tcBorders>
              <w:bottom w:val="single" w:sz="8" w:color="0000F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1280" w:type="dxa"/>
            <w:vAlign w:val="bottom"/>
          </w:tcPr>
          <w:p>
            <w:pPr>
              <w:spacing w:after="0"/>
              <w:rPr>
                <w:sz w:val="20"/>
                <w:szCs w:val="20"/>
                <w:color w:val="auto"/>
              </w:rPr>
            </w:pPr>
            <w:r>
              <w:rPr>
                <w:rFonts w:ascii="Times New Roman" w:cs="Times New Roman" w:eastAsia="Times New Roman" w:hAnsi="Times New Roman"/>
                <w:sz w:val="21"/>
                <w:szCs w:val="21"/>
                <w:color w:val="auto"/>
              </w:rPr>
              <w:t>Section 10.23</w:t>
            </w:r>
          </w:p>
        </w:tc>
        <w:tc>
          <w:tcPr>
            <w:tcW w:w="476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Acknowledgement Regarding Any Supported QFCs</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FF0000"/>
                <w:strike w:val="1"/>
                <w:w w:val="95"/>
              </w:rPr>
              <w:t>191</w:t>
            </w:r>
          </w:p>
        </w:tc>
        <w:tc>
          <w:tcPr>
            <w:tcW w:w="3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1"/>
                <w:szCs w:val="21"/>
                <w:b w:val="1"/>
                <w:bCs w:val="1"/>
                <w:color w:val="0000FF"/>
                <w:w w:val="95"/>
              </w:rPr>
              <w:t>194</w:t>
            </w:r>
          </w:p>
        </w:tc>
        <w:tc>
          <w:tcPr>
            <w:tcW w:w="208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1"/>
          <w:szCs w:val="21"/>
          <w:color w:val="auto"/>
        </w:rPr>
        <w:t>v</w:t>
      </w:r>
    </w:p>
    <w:p>
      <w:pPr>
        <w:sectPr>
          <w:pgSz w:w="11900" w:h="16838" w:orient="portrait"/>
          <w:cols w:equalWidth="0" w:num="1">
            <w:col w:w="9499"/>
          </w:cols>
          <w:pgMar w:left="960" w:top="1382" w:right="1440"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21"/>
          <w:szCs w:val="21"/>
          <w:b w:val="1"/>
          <w:bCs w:val="1"/>
          <w:color w:val="auto"/>
        </w:rPr>
        <w:t>SCHEDULES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80" w:type="dxa"/>
            <w:vAlign w:val="bottom"/>
          </w:tcPr>
          <w:p>
            <w:pPr>
              <w:spacing w:after="0"/>
              <w:rPr>
                <w:sz w:val="20"/>
                <w:szCs w:val="20"/>
                <w:color w:val="auto"/>
              </w:rPr>
            </w:pPr>
            <w:r>
              <w:rPr>
                <w:rFonts w:ascii="Times New Roman" w:cs="Times New Roman" w:eastAsia="Times New Roman" w:hAnsi="Times New Roman"/>
                <w:sz w:val="21"/>
                <w:szCs w:val="21"/>
                <w:color w:val="auto"/>
              </w:rPr>
              <w:t>2.01</w:t>
            </w:r>
          </w:p>
        </w:tc>
        <w:tc>
          <w:tcPr>
            <w:tcW w:w="6200" w:type="dxa"/>
            <w:vAlign w:val="bottom"/>
            <w:gridSpan w:val="2"/>
          </w:tcPr>
          <w:p>
            <w:pPr>
              <w:ind w:left="100"/>
              <w:spacing w:after="0"/>
              <w:rPr>
                <w:sz w:val="20"/>
                <w:szCs w:val="20"/>
                <w:color w:val="auto"/>
              </w:rPr>
            </w:pPr>
            <w:r>
              <w:rPr>
                <w:rFonts w:ascii="Times New Roman" w:cs="Times New Roman" w:eastAsia="Times New Roman" w:hAnsi="Times New Roman"/>
                <w:sz w:val="21"/>
                <w:szCs w:val="21"/>
                <w:color w:val="auto"/>
              </w:rPr>
              <w:t>Commitments and Applicable Percentages</w:t>
            </w:r>
          </w:p>
        </w:tc>
      </w:tr>
      <w:tr>
        <w:trPr>
          <w:trHeight w:val="265"/>
        </w:trPr>
        <w:tc>
          <w:tcPr>
            <w:tcW w:w="10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4.01(a)(ii)</w:t>
            </w:r>
          </w:p>
        </w:tc>
        <w:tc>
          <w:tcPr>
            <w:tcW w:w="568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Closing Date Collateral Documents</w:t>
            </w:r>
          </w:p>
        </w:tc>
      </w:tr>
      <w:tr>
        <w:trPr>
          <w:trHeight w:val="252"/>
        </w:trPr>
        <w:tc>
          <w:tcPr>
            <w:tcW w:w="10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4.01(a)(iv)</w:t>
            </w:r>
          </w:p>
        </w:tc>
        <w:tc>
          <w:tcPr>
            <w:tcW w:w="568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Local Legal Counsel Opinions</w:t>
            </w:r>
          </w:p>
        </w:tc>
      </w:tr>
      <w:tr>
        <w:trPr>
          <w:trHeight w:val="252"/>
        </w:trPr>
        <w:tc>
          <w:tcPr>
            <w:tcW w:w="480" w:type="dxa"/>
            <w:vAlign w:val="bottom"/>
          </w:tcPr>
          <w:p>
            <w:pPr>
              <w:spacing w:after="0"/>
              <w:rPr>
                <w:sz w:val="20"/>
                <w:szCs w:val="20"/>
                <w:color w:val="auto"/>
              </w:rPr>
            </w:pPr>
            <w:r>
              <w:rPr>
                <w:rFonts w:ascii="Times New Roman" w:cs="Times New Roman" w:eastAsia="Times New Roman" w:hAnsi="Times New Roman"/>
                <w:sz w:val="21"/>
                <w:szCs w:val="21"/>
                <w:color w:val="auto"/>
              </w:rPr>
              <w:t>5.12</w:t>
            </w:r>
          </w:p>
        </w:tc>
        <w:tc>
          <w:tcPr>
            <w:tcW w:w="6200" w:type="dxa"/>
            <w:vAlign w:val="bottom"/>
            <w:gridSpan w:val="2"/>
          </w:tcPr>
          <w:p>
            <w:pPr>
              <w:ind w:left="100"/>
              <w:spacing w:after="0"/>
              <w:rPr>
                <w:sz w:val="20"/>
                <w:szCs w:val="20"/>
                <w:color w:val="auto"/>
              </w:rPr>
            </w:pPr>
            <w:r>
              <w:rPr>
                <w:rFonts w:ascii="Times New Roman" w:cs="Times New Roman" w:eastAsia="Times New Roman" w:hAnsi="Times New Roman"/>
                <w:sz w:val="21"/>
                <w:szCs w:val="21"/>
                <w:color w:val="auto"/>
              </w:rPr>
              <w:t>Subsidiaries; Other Equity Investments (including Parts (a), (b) and (c))</w:t>
            </w:r>
          </w:p>
        </w:tc>
      </w:tr>
      <w:tr>
        <w:trPr>
          <w:trHeight w:val="252"/>
        </w:trPr>
        <w:tc>
          <w:tcPr>
            <w:tcW w:w="480" w:type="dxa"/>
            <w:vAlign w:val="bottom"/>
          </w:tcPr>
          <w:p>
            <w:pPr>
              <w:spacing w:after="0"/>
              <w:rPr>
                <w:sz w:val="20"/>
                <w:szCs w:val="20"/>
                <w:color w:val="auto"/>
              </w:rPr>
            </w:pPr>
            <w:r>
              <w:rPr>
                <w:rFonts w:ascii="Times New Roman" w:cs="Times New Roman" w:eastAsia="Times New Roman" w:hAnsi="Times New Roman"/>
                <w:sz w:val="21"/>
                <w:szCs w:val="21"/>
                <w:color w:val="auto"/>
              </w:rPr>
              <w:t>7.01</w:t>
            </w:r>
          </w:p>
        </w:tc>
        <w:tc>
          <w:tcPr>
            <w:tcW w:w="6200" w:type="dxa"/>
            <w:vAlign w:val="bottom"/>
            <w:gridSpan w:val="2"/>
          </w:tcPr>
          <w:p>
            <w:pPr>
              <w:ind w:left="100"/>
              <w:spacing w:after="0"/>
              <w:rPr>
                <w:sz w:val="20"/>
                <w:szCs w:val="20"/>
                <w:color w:val="auto"/>
              </w:rPr>
            </w:pPr>
            <w:r>
              <w:rPr>
                <w:rFonts w:ascii="Times New Roman" w:cs="Times New Roman" w:eastAsia="Times New Roman" w:hAnsi="Times New Roman"/>
                <w:sz w:val="21"/>
                <w:szCs w:val="21"/>
                <w:color w:val="auto"/>
              </w:rPr>
              <w:t>Existing Liens</w:t>
            </w:r>
          </w:p>
        </w:tc>
      </w:tr>
      <w:tr>
        <w:trPr>
          <w:trHeight w:val="252"/>
        </w:trPr>
        <w:tc>
          <w:tcPr>
            <w:tcW w:w="480" w:type="dxa"/>
            <w:vAlign w:val="bottom"/>
          </w:tcPr>
          <w:p>
            <w:pPr>
              <w:spacing w:after="0"/>
              <w:rPr>
                <w:sz w:val="20"/>
                <w:szCs w:val="20"/>
                <w:color w:val="auto"/>
              </w:rPr>
            </w:pPr>
            <w:r>
              <w:rPr>
                <w:rFonts w:ascii="Times New Roman" w:cs="Times New Roman" w:eastAsia="Times New Roman" w:hAnsi="Times New Roman"/>
                <w:sz w:val="21"/>
                <w:szCs w:val="21"/>
                <w:color w:val="auto"/>
              </w:rPr>
              <w:t>7.02</w:t>
            </w:r>
          </w:p>
        </w:tc>
        <w:tc>
          <w:tcPr>
            <w:tcW w:w="6200" w:type="dxa"/>
            <w:vAlign w:val="bottom"/>
            <w:gridSpan w:val="2"/>
          </w:tcPr>
          <w:p>
            <w:pPr>
              <w:ind w:left="100"/>
              <w:spacing w:after="0"/>
              <w:rPr>
                <w:sz w:val="20"/>
                <w:szCs w:val="20"/>
                <w:color w:val="auto"/>
              </w:rPr>
            </w:pPr>
            <w:r>
              <w:rPr>
                <w:rFonts w:ascii="Times New Roman" w:cs="Times New Roman" w:eastAsia="Times New Roman" w:hAnsi="Times New Roman"/>
                <w:sz w:val="21"/>
                <w:szCs w:val="21"/>
                <w:color w:val="auto"/>
              </w:rPr>
              <w:t>Existing Investments</w:t>
            </w:r>
          </w:p>
        </w:tc>
      </w:tr>
      <w:tr>
        <w:trPr>
          <w:trHeight w:val="265"/>
        </w:trPr>
        <w:tc>
          <w:tcPr>
            <w:tcW w:w="480" w:type="dxa"/>
            <w:vAlign w:val="bottom"/>
          </w:tcPr>
          <w:p>
            <w:pPr>
              <w:spacing w:after="0"/>
              <w:rPr>
                <w:sz w:val="20"/>
                <w:szCs w:val="20"/>
                <w:color w:val="auto"/>
              </w:rPr>
            </w:pPr>
            <w:r>
              <w:rPr>
                <w:rFonts w:ascii="Times New Roman" w:cs="Times New Roman" w:eastAsia="Times New Roman" w:hAnsi="Times New Roman"/>
                <w:sz w:val="21"/>
                <w:szCs w:val="21"/>
                <w:color w:val="auto"/>
              </w:rPr>
              <w:t>7.03</w:t>
            </w:r>
          </w:p>
        </w:tc>
        <w:tc>
          <w:tcPr>
            <w:tcW w:w="6200" w:type="dxa"/>
            <w:vAlign w:val="bottom"/>
            <w:gridSpan w:val="2"/>
          </w:tcPr>
          <w:p>
            <w:pPr>
              <w:ind w:left="100"/>
              <w:spacing w:after="0"/>
              <w:rPr>
                <w:sz w:val="20"/>
                <w:szCs w:val="20"/>
                <w:color w:val="auto"/>
              </w:rPr>
            </w:pPr>
            <w:r>
              <w:rPr>
                <w:rFonts w:ascii="Times New Roman" w:cs="Times New Roman" w:eastAsia="Times New Roman" w:hAnsi="Times New Roman"/>
                <w:sz w:val="21"/>
                <w:szCs w:val="21"/>
                <w:color w:val="auto"/>
              </w:rPr>
              <w:t>Existing Indebtedness</w:t>
            </w:r>
          </w:p>
        </w:tc>
      </w:tr>
      <w:tr>
        <w:trPr>
          <w:trHeight w:val="276"/>
        </w:trPr>
        <w:tc>
          <w:tcPr>
            <w:tcW w:w="480" w:type="dxa"/>
            <w:vAlign w:val="bottom"/>
          </w:tcPr>
          <w:p>
            <w:pPr>
              <w:spacing w:after="0"/>
              <w:rPr>
                <w:sz w:val="20"/>
                <w:szCs w:val="20"/>
                <w:color w:val="auto"/>
              </w:rPr>
            </w:pPr>
            <w:r>
              <w:rPr>
                <w:rFonts w:ascii="Times New Roman" w:cs="Times New Roman" w:eastAsia="Times New Roman" w:hAnsi="Times New Roman"/>
                <w:sz w:val="21"/>
                <w:szCs w:val="21"/>
                <w:color w:val="auto"/>
              </w:rPr>
              <w:t>7.08</w:t>
            </w:r>
          </w:p>
        </w:tc>
        <w:tc>
          <w:tcPr>
            <w:tcW w:w="6200" w:type="dxa"/>
            <w:vAlign w:val="bottom"/>
            <w:gridSpan w:val="2"/>
          </w:tcPr>
          <w:p>
            <w:pPr>
              <w:ind w:left="160"/>
              <w:spacing w:after="0"/>
              <w:rPr>
                <w:sz w:val="20"/>
                <w:szCs w:val="20"/>
                <w:color w:val="auto"/>
              </w:rPr>
            </w:pPr>
            <w:r>
              <w:rPr>
                <w:rFonts w:ascii="Times New Roman" w:cs="Times New Roman" w:eastAsia="Times New Roman" w:hAnsi="Times New Roman"/>
                <w:sz w:val="21"/>
                <w:szCs w:val="21"/>
                <w:color w:val="auto"/>
              </w:rPr>
              <w:t>Transactions with Affiliates</w:t>
            </w:r>
          </w:p>
        </w:tc>
      </w:tr>
    </w:tbl>
    <w:p>
      <w:pPr>
        <w:spacing w:after="0"/>
        <w:tabs>
          <w:tab w:leader="none" w:pos="660" w:val="left"/>
        </w:tabs>
        <w:rPr>
          <w:sz w:val="20"/>
          <w:szCs w:val="20"/>
          <w:color w:val="auto"/>
        </w:rPr>
      </w:pPr>
      <w:r>
        <w:rPr>
          <w:rFonts w:ascii="Times New Roman" w:cs="Times New Roman" w:eastAsia="Times New Roman" w:hAnsi="Times New Roman"/>
          <w:sz w:val="21"/>
          <w:szCs w:val="21"/>
          <w:color w:val="auto"/>
        </w:rPr>
        <w:t>10.02</w:t>
        <w:tab/>
        <w:t>Administrative Agent’s Office; Certain Addresses for Notices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EXHIBITS</w:t>
      </w:r>
    </w:p>
    <w:p>
      <w:pPr>
        <w:spacing w:after="0" w:line="22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1"/>
          <w:szCs w:val="21"/>
          <w:b w:val="1"/>
          <w:bCs w:val="1"/>
          <w:i w:val="1"/>
          <w:iCs w:val="1"/>
          <w:color w:val="auto"/>
        </w:rPr>
        <w:t>Form of</w:t>
      </w:r>
    </w:p>
    <w:p>
      <w:pPr>
        <w:spacing w:after="0" w:line="22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1"/>
          <w:szCs w:val="21"/>
          <w:color w:val="auto"/>
        </w:rPr>
        <w:t>A-1</w:t>
        <w:tab/>
        <w:t>Committed Loan Notice</w:t>
      </w:r>
    </w:p>
    <w:p>
      <w:pPr>
        <w:spacing w:after="0" w:line="3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1"/>
          <w:szCs w:val="21"/>
          <w:color w:val="auto"/>
        </w:rPr>
        <w:t>A-2</w:t>
        <w:tab/>
        <w:t>Conversion/Continuation Notice</w:t>
      </w:r>
    </w:p>
    <w:p>
      <w:pPr>
        <w:spacing w:after="0" w:line="1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1"/>
          <w:szCs w:val="21"/>
          <w:color w:val="auto"/>
        </w:rPr>
        <w:t>A-3</w:t>
        <w:tab/>
        <w:t>Prepayment Notice</w:t>
      </w:r>
    </w:p>
    <w:p>
      <w:pPr>
        <w:spacing w:after="0" w:line="2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1"/>
          <w:szCs w:val="21"/>
          <w:color w:val="auto"/>
        </w:rPr>
        <w:t>A-4</w:t>
        <w:tab/>
        <w:t>[Reserved]</w:t>
      </w:r>
    </w:p>
    <w:p>
      <w:pPr>
        <w:spacing w:after="0" w:line="10" w:lineRule="exact"/>
        <w:rPr>
          <w:sz w:val="20"/>
          <w:szCs w:val="20"/>
          <w:color w:val="auto"/>
        </w:rPr>
      </w:pPr>
    </w:p>
    <w:p>
      <w:pPr>
        <w:ind w:left="360" w:hanging="354"/>
        <w:spacing w:after="0"/>
        <w:tabs>
          <w:tab w:leader="none" w:pos="360"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[Reserved]</w:t>
      </w:r>
    </w:p>
    <w:p>
      <w:pPr>
        <w:spacing w:after="0" w:line="200" w:lineRule="exact"/>
        <w:rPr>
          <w:sz w:val="20"/>
          <w:szCs w:val="20"/>
          <w:color w:val="auto"/>
        </w:rPr>
      </w:pPr>
    </w:p>
    <w:p>
      <w:pPr>
        <w:spacing w:after="0" w:line="303" w:lineRule="exact"/>
        <w:rPr>
          <w:sz w:val="20"/>
          <w:szCs w:val="20"/>
          <w:color w:val="auto"/>
        </w:rPr>
      </w:pPr>
    </w:p>
    <w:p>
      <w:pPr>
        <w:ind w:left="380" w:hanging="374"/>
        <w:spacing w:after="0"/>
        <w:tabs>
          <w:tab w:leader="none" w:pos="380"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Compliance Certificate</w:t>
      </w:r>
    </w:p>
    <w:p>
      <w:pPr>
        <w:spacing w:after="0" w:line="200" w:lineRule="exact"/>
        <w:rPr>
          <w:sz w:val="20"/>
          <w:szCs w:val="20"/>
          <w:color w:val="auto"/>
        </w:rPr>
      </w:pPr>
    </w:p>
    <w:p>
      <w:pPr>
        <w:spacing w:after="0" w:line="314" w:lineRule="exact"/>
        <w:rPr>
          <w:sz w:val="20"/>
          <w:szCs w:val="20"/>
          <w:color w:val="auto"/>
        </w:rPr>
      </w:pPr>
    </w:p>
    <w:p>
      <w:pPr>
        <w:ind w:left="340" w:hanging="334"/>
        <w:spacing w:after="0"/>
        <w:tabs>
          <w:tab w:leader="none" w:pos="340"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Joinder Agreement</w:t>
      </w:r>
    </w:p>
    <w:p>
      <w:pPr>
        <w:spacing w:after="0" w:line="34" w:lineRule="exact"/>
        <w:rPr>
          <w:sz w:val="20"/>
          <w:szCs w:val="20"/>
          <w:color w:val="auto"/>
        </w:rPr>
      </w:pPr>
    </w:p>
    <w:p>
      <w:pPr>
        <w:ind w:left="380" w:hanging="374"/>
        <w:spacing w:after="0"/>
        <w:tabs>
          <w:tab w:leader="none" w:pos="380"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Guarantee and Collateral Agreement</w:t>
      </w:r>
    </w:p>
    <w:p>
      <w:pPr>
        <w:spacing w:after="0" w:line="251" w:lineRule="exact"/>
        <w:rPr>
          <w:sz w:val="20"/>
          <w:szCs w:val="20"/>
          <w:color w:val="auto"/>
        </w:rPr>
      </w:pPr>
    </w:p>
    <w:p>
      <w:pPr>
        <w:ind w:right="5959" w:firstLine="6"/>
        <w:spacing w:after="0" w:line="267" w:lineRule="auto"/>
        <w:tabs>
          <w:tab w:leader="none" w:pos="283"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Form of Pari Passu Intercreditor Agreement J Form of Junior Lien Intercreditor Agreement K Solvency Certificate</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1"/>
          <w:szCs w:val="21"/>
          <w:color w:val="auto"/>
        </w:rPr>
        <w:t>vi</w:t>
      </w:r>
    </w:p>
    <w:p>
      <w:pPr>
        <w:sectPr>
          <w:pgSz w:w="11900" w:h="16838" w:orient="portrait"/>
          <w:cols w:equalWidth="0" w:num="1">
            <w:col w:w="10139"/>
          </w:cols>
          <w:pgMar w:left="320" w:top="1393" w:right="1440"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21"/>
          <w:szCs w:val="21"/>
          <w:b w:val="1"/>
          <w:bCs w:val="1"/>
          <w:color w:val="auto"/>
        </w:rPr>
        <w:t>CREDIT AGREEMENT</w:t>
      </w:r>
    </w:p>
    <w:p>
      <w:pPr>
        <w:spacing w:after="0" w:line="222"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21"/>
          <w:szCs w:val="21"/>
          <w:color w:val="auto"/>
        </w:rPr>
        <w:t xml:space="preserve">This CREDIT AGREEMENT (as </w:t>
      </w:r>
      <w:r>
        <w:rPr>
          <w:rFonts w:ascii="Times New Roman" w:cs="Times New Roman" w:eastAsia="Times New Roman" w:hAnsi="Times New Roman"/>
          <w:sz w:val="21"/>
          <w:szCs w:val="21"/>
          <w:b w:val="1"/>
          <w:bCs w:val="1"/>
          <w:color w:val="0000FF"/>
        </w:rPr>
        <w:t>in effect prior to the First Amendment Effective Date, the “Existing Credit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0000FF"/>
        </w:rPr>
        <w:t>Agreement”, the Existing Credit Agreement, as amended by that certain First Amendment, and as further</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amended, restated,</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amended and restated, supplemented or otherwise modified from time to time after the date hereof, this “</w:t>
      </w:r>
      <w:r>
        <w:rPr>
          <w:rFonts w:ascii="Times New Roman" w:cs="Times New Roman" w:eastAsia="Times New Roman" w:hAnsi="Times New Roman"/>
          <w:sz w:val="21"/>
          <w:szCs w:val="21"/>
          <w:b w:val="1"/>
          <w:bCs w:val="1"/>
          <w:color w:val="000000"/>
        </w:rPr>
        <w:t>Agreement</w:t>
      </w:r>
      <w:r>
        <w:rPr>
          <w:rFonts w:ascii="Times New Roman" w:cs="Times New Roman" w:eastAsia="Times New Roman" w:hAnsi="Times New Roman"/>
          <w:sz w:val="21"/>
          <w:szCs w:val="21"/>
          <w:color w:val="000000"/>
        </w:rPr>
        <w:t>”) is entered into as of March 10, 2022, among BELLRING BRANDS, INC., a Delaware corporation, formerly known as BellRing Distribution, LLC, a Delaware limited liability company (the “</w:t>
      </w:r>
      <w:r>
        <w:rPr>
          <w:rFonts w:ascii="Times New Roman" w:cs="Times New Roman" w:eastAsia="Times New Roman" w:hAnsi="Times New Roman"/>
          <w:sz w:val="21"/>
          <w:szCs w:val="21"/>
          <w:b w:val="1"/>
          <w:bCs w:val="1"/>
          <w:color w:val="000000"/>
        </w:rPr>
        <w:t>Borrower</w:t>
      </w:r>
      <w:r>
        <w:rPr>
          <w:rFonts w:ascii="Times New Roman" w:cs="Times New Roman" w:eastAsia="Times New Roman" w:hAnsi="Times New Roman"/>
          <w:sz w:val="21"/>
          <w:szCs w:val="21"/>
          <w:color w:val="000000"/>
        </w:rPr>
        <w:t>”), each lender from time to time party hereto (collectively, the “</w:t>
      </w:r>
      <w:r>
        <w:rPr>
          <w:rFonts w:ascii="Times New Roman" w:cs="Times New Roman" w:eastAsia="Times New Roman" w:hAnsi="Times New Roman"/>
          <w:sz w:val="21"/>
          <w:szCs w:val="21"/>
          <w:b w:val="1"/>
          <w:bCs w:val="1"/>
          <w:color w:val="000000"/>
        </w:rPr>
        <w:t>Lenders</w:t>
      </w:r>
      <w:r>
        <w:rPr>
          <w:rFonts w:ascii="Times New Roman" w:cs="Times New Roman" w:eastAsia="Times New Roman" w:hAnsi="Times New Roman"/>
          <w:sz w:val="21"/>
          <w:szCs w:val="21"/>
          <w:color w:val="000000"/>
        </w:rPr>
        <w:t>” and individually, a “</w:t>
      </w:r>
      <w:r>
        <w:rPr>
          <w:rFonts w:ascii="Times New Roman" w:cs="Times New Roman" w:eastAsia="Times New Roman" w:hAnsi="Times New Roman"/>
          <w:sz w:val="21"/>
          <w:szCs w:val="21"/>
          <w:b w:val="1"/>
          <w:bCs w:val="1"/>
          <w:color w:val="000000"/>
        </w:rPr>
        <w:t>Lender</w:t>
      </w:r>
      <w:r>
        <w:rPr>
          <w:rFonts w:ascii="Times New Roman" w:cs="Times New Roman" w:eastAsia="Times New Roman" w:hAnsi="Times New Roman"/>
          <w:sz w:val="21"/>
          <w:szCs w:val="21"/>
          <w:color w:val="000000"/>
        </w:rPr>
        <w:t>”), JPMORGAN CHASE BANK, N.A., as Administrative Agent, and each L/C Issuer (as defined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2338705</wp:posOffset>
            </wp:positionH>
            <wp:positionV relativeFrom="paragraph">
              <wp:posOffset>-845820</wp:posOffset>
            </wp:positionV>
            <wp:extent cx="479615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6">
                      <a:extLst>
                        <a:ext uri="{28A0092B-C50C-407E-A947-70E740481C1C}"/>
                      </a:extLst>
                    </a:blip>
                    <a:srcRect/>
                    <a:stretch>
                      <a:fillRect/>
                    </a:stretch>
                  </pic:blipFill>
                  <pic:spPr bwMode="auto">
                    <a:xfrm>
                      <a:off x="0" y="0"/>
                      <a:ext cx="479615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WITNESSETH</w:t>
      </w:r>
    </w:p>
    <w:p>
      <w:pPr>
        <w:spacing w:after="0" w:line="218"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21"/>
          <w:szCs w:val="21"/>
          <w:color w:val="auto"/>
        </w:rPr>
        <w:t xml:space="preserve">Whereas, </w:t>
      </w:r>
      <w:r>
        <w:rPr>
          <w:rFonts w:ascii="Times New Roman" w:cs="Times New Roman" w:eastAsia="Times New Roman" w:hAnsi="Times New Roman"/>
          <w:sz w:val="21"/>
          <w:szCs w:val="21"/>
          <w:b w:val="1"/>
          <w:bCs w:val="1"/>
          <w:color w:val="FF0000"/>
          <w:strike w:val="1"/>
        </w:rPr>
        <w:t>the Borrower has requested that (a)</w:t>
      </w:r>
      <w:r>
        <w:rPr>
          <w:rFonts w:ascii="Times New Roman" w:cs="Times New Roman" w:eastAsia="Times New Roman" w:hAnsi="Times New Roman"/>
          <w:sz w:val="21"/>
          <w:szCs w:val="21"/>
          <w:b w:val="1"/>
          <w:bCs w:val="1"/>
          <w:u w:val="single" w:color="auto"/>
          <w:color w:val="0000FF"/>
        </w:rPr>
        <w:t>pursuant to the Existing Credit Agreement,</w:t>
      </w:r>
      <w:r>
        <w:rPr>
          <w:rFonts w:ascii="Times New Roman" w:cs="Times New Roman" w:eastAsia="Times New Roman" w:hAnsi="Times New Roman"/>
          <w:sz w:val="21"/>
          <w:szCs w:val="21"/>
          <w:color w:val="auto"/>
        </w:rPr>
        <w:t xml:space="preserve"> the Revolving Credit Lenders </w:t>
      </w:r>
      <w:r>
        <w:rPr>
          <w:rFonts w:ascii="Times New Roman" w:cs="Times New Roman" w:eastAsia="Times New Roman" w:hAnsi="Times New Roman"/>
          <w:sz w:val="21"/>
          <w:szCs w:val="21"/>
          <w:b w:val="1"/>
          <w:bCs w:val="1"/>
          <w:color w:val="FF0000"/>
          <w:strike w:val="1"/>
        </w:rPr>
        <w:t>provide Original</w:t>
      </w:r>
      <w:r>
        <w:rPr>
          <w:rFonts w:ascii="Times New Roman" w:cs="Times New Roman" w:eastAsia="Times New Roman" w:hAnsi="Times New Roman"/>
          <w:sz w:val="21"/>
          <w:szCs w:val="21"/>
          <w:b w:val="1"/>
          <w:bCs w:val="1"/>
          <w:u w:val="single" w:color="auto"/>
          <w:color w:val="0000FF"/>
          <w:strike w:val="1"/>
        </w:rPr>
        <w:t>(as defined in the Existing Credit Agreement) extended credit commitments to the Borrower in the form of,</w:t>
      </w:r>
      <w:r>
        <w:rPr>
          <w:rFonts w:ascii="Times New Roman" w:cs="Times New Roman" w:eastAsia="Times New Roman" w:hAnsi="Times New Roman"/>
          <w:sz w:val="21"/>
          <w:szCs w:val="21"/>
          <w:b w:val="1"/>
          <w:bCs w:val="1"/>
          <w:color w:val="FF0000"/>
          <w:strike w:val="1"/>
        </w:rPr>
        <w:t xml:space="preserve"> </w:t>
      </w:r>
      <w:r>
        <w:rPr>
          <w:rFonts w:ascii="Times New Roman" w:cs="Times New Roman" w:eastAsia="Times New Roman" w:hAnsi="Times New Roman"/>
          <w:sz w:val="21"/>
          <w:szCs w:val="21"/>
          <w:b w:val="1"/>
          <w:bCs w:val="1"/>
          <w:u w:val="single" w:color="auto"/>
          <w:color w:val="0000FF"/>
          <w:strike w:val="1"/>
        </w:rPr>
        <w:t>and pursuant to,</w:t>
      </w:r>
      <w:r>
        <w:rPr>
          <w:rFonts w:ascii="Times New Roman" w:cs="Times New Roman" w:eastAsia="Times New Roman" w:hAnsi="Times New Roman"/>
          <w:sz w:val="21"/>
          <w:szCs w:val="21"/>
          <w:b w:val="1"/>
          <w:bCs w:val="1"/>
          <w:color w:val="0000FF"/>
          <w:strike w:val="1"/>
        </w:rPr>
        <w:t xml:space="preserve"> </w:t>
      </w:r>
      <w:r>
        <w:rPr>
          <w:rFonts w:ascii="Times New Roman" w:cs="Times New Roman" w:eastAsia="Times New Roman" w:hAnsi="Times New Roman"/>
          <w:sz w:val="21"/>
          <w:szCs w:val="21"/>
          <w:color w:val="000000"/>
          <w:strike w:val="1"/>
        </w:rPr>
        <w:t>Revolving Credit Commitments</w:t>
      </w:r>
      <w:r>
        <w:rPr>
          <w:rFonts w:ascii="Times New Roman" w:cs="Times New Roman" w:eastAsia="Times New Roman" w:hAnsi="Times New Roman"/>
          <w:sz w:val="21"/>
          <w:szCs w:val="21"/>
          <w:b w:val="1"/>
          <w:bCs w:val="1"/>
          <w:color w:val="0000FF"/>
          <w:strike w:val="1"/>
        </w:rPr>
        <w:t xml:space="preserve"> (as defined in the Existing Credit Agreement) </w:t>
      </w:r>
      <w:r>
        <w:rPr>
          <w:rFonts w:ascii="Times New Roman" w:cs="Times New Roman" w:eastAsia="Times New Roman" w:hAnsi="Times New Roman"/>
          <w:sz w:val="21"/>
          <w:szCs w:val="21"/>
          <w:color w:val="000000"/>
          <w:strike w:val="1"/>
        </w:rPr>
        <w:t>in an aggregate amount</w:t>
      </w:r>
      <w:r>
        <w:rPr>
          <w:rFonts w:ascii="Times New Roman" w:cs="Times New Roman" w:eastAsia="Times New Roman" w:hAnsi="Times New Roman"/>
          <w:sz w:val="21"/>
          <w:szCs w:val="21"/>
          <w:b w:val="1"/>
          <w:bCs w:val="1"/>
          <w:color w:val="0000FF"/>
          <w:strike w:val="1"/>
        </w:rPr>
        <w:t xml:space="preserve"> at any </w:t>
      </w:r>
      <w:r>
        <w:rPr>
          <w:rFonts w:ascii="Times New Roman" w:cs="Times New Roman" w:eastAsia="Times New Roman" w:hAnsi="Times New Roman"/>
          <w:sz w:val="21"/>
          <w:szCs w:val="21"/>
          <w:b w:val="1"/>
          <w:bCs w:val="1"/>
          <w:u w:val="single" w:color="auto"/>
          <w:color w:val="0000FF"/>
          <w:strike w:val="1"/>
        </w:rPr>
        <w:t>time outstanding not in excess</w:t>
      </w:r>
      <w:r>
        <w:rPr>
          <w:rFonts w:ascii="Times New Roman" w:cs="Times New Roman" w:eastAsia="Times New Roman" w:hAnsi="Times New Roman"/>
          <w:sz w:val="21"/>
          <w:szCs w:val="21"/>
          <w:b w:val="1"/>
          <w:bCs w:val="1"/>
          <w:color w:val="0000FF"/>
          <w:strike w:val="1"/>
        </w:rPr>
        <w:t xml:space="preserve"> </w:t>
      </w:r>
      <w:r>
        <w:rPr>
          <w:rFonts w:ascii="Times New Roman" w:cs="Times New Roman" w:eastAsia="Times New Roman" w:hAnsi="Times New Roman"/>
          <w:sz w:val="21"/>
          <w:szCs w:val="21"/>
          <w:color w:val="000000"/>
          <w:strike w:val="1"/>
        </w:rPr>
        <w:t>of $250,000,000</w:t>
      </w:r>
      <w:r>
        <w:rPr>
          <w:rFonts w:ascii="Times New Roman" w:cs="Times New Roman" w:eastAsia="Times New Roman" w:hAnsi="Times New Roman"/>
          <w:sz w:val="21"/>
          <w:szCs w:val="21"/>
          <w:b w:val="1"/>
          <w:bCs w:val="1"/>
          <w:color w:val="0000FF"/>
          <w:strike w:val="1"/>
        </w:rPr>
        <w:t xml:space="preserve"> </w:t>
      </w:r>
      <w:r>
        <w:rPr>
          <w:rFonts w:ascii="Times New Roman" w:cs="Times New Roman" w:eastAsia="Times New Roman" w:hAnsi="Times New Roman"/>
          <w:sz w:val="21"/>
          <w:szCs w:val="21"/>
          <w:b w:val="1"/>
          <w:bCs w:val="1"/>
          <w:color w:val="FF0000"/>
          <w:strike w:val="1"/>
        </w:rPr>
        <w:t>and (b) the L/C Issuers agree to issue Letter of Credit in an aggregate amount</w:t>
      </w:r>
      <w:r>
        <w:rPr>
          <w:rFonts w:ascii="Times New Roman" w:cs="Times New Roman" w:eastAsia="Times New Roman" w:hAnsi="Times New Roman"/>
          <w:sz w:val="21"/>
          <w:szCs w:val="21"/>
          <w:b w:val="1"/>
          <w:bCs w:val="1"/>
          <w:color w:val="0000FF"/>
          <w:strike w:val="1"/>
        </w:rPr>
        <w:t xml:space="preserve"> </w:t>
      </w:r>
      <w:r>
        <w:rPr>
          <w:rFonts w:ascii="Times New Roman" w:cs="Times New Roman" w:eastAsia="Times New Roman" w:hAnsi="Times New Roman"/>
          <w:sz w:val="21"/>
          <w:szCs w:val="21"/>
          <w:b w:val="1"/>
          <w:bCs w:val="1"/>
          <w:color w:val="FF0000"/>
          <w:strike w:val="1"/>
        </w:rPr>
        <w:t>available to drawn not in excess of</w:t>
      </w:r>
      <w:r>
        <w:rPr>
          <w:rFonts w:ascii="Times New Roman" w:cs="Times New Roman" w:eastAsia="Times New Roman" w:hAnsi="Times New Roman"/>
          <w:sz w:val="21"/>
          <w:szCs w:val="21"/>
          <w:b w:val="1"/>
          <w:bCs w:val="1"/>
          <w:u w:val="single" w:color="auto"/>
          <w:color w:val="0000FF"/>
          <w:strike w:val="1"/>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2744470</wp:posOffset>
            </wp:positionH>
            <wp:positionV relativeFrom="paragraph">
              <wp:posOffset>-360680</wp:posOffset>
            </wp:positionV>
            <wp:extent cx="26720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7">
                      <a:extLst>
                        <a:ext uri="{28A0092B-C50C-407E-A947-70E740481C1C}"/>
                      </a:extLst>
                    </a:blip>
                    <a:srcRect/>
                    <a:stretch>
                      <a:fillRect/>
                    </a:stretch>
                  </pic:blipFill>
                  <pic:spPr bwMode="auto">
                    <a:xfrm>
                      <a:off x="0" y="0"/>
                      <a:ext cx="2672080" cy="825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-360680</wp:posOffset>
            </wp:positionV>
            <wp:extent cx="39751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8">
                      <a:extLst>
                        <a:ext uri="{28A0092B-C50C-407E-A947-70E740481C1C}"/>
                      </a:extLst>
                    </a:blip>
                    <a:srcRect/>
                    <a:stretch>
                      <a:fillRect/>
                    </a:stretch>
                  </pic:blipFill>
                  <pic:spPr bwMode="auto">
                    <a:xfrm>
                      <a:off x="0" y="0"/>
                      <a:ext cx="397510" cy="8255"/>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-251460</wp:posOffset>
            </wp:positionV>
            <wp:extent cx="44907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9">
                      <a:extLst>
                        <a:ext uri="{28A0092B-C50C-407E-A947-70E740481C1C}"/>
                      </a:extLst>
                    </a:blip>
                    <a:srcRect/>
                    <a:stretch>
                      <a:fillRect/>
                    </a:stretch>
                  </pic:blipFill>
                  <pic:spPr bwMode="auto">
                    <a:xfrm>
                      <a:off x="0" y="0"/>
                      <a:ext cx="4490720" cy="8255"/>
                    </a:xfrm>
                    <a:prstGeom prst="rect">
                      <a:avLst/>
                    </a:prstGeom>
                    <a:noFill/>
                  </pic:spPr>
                </pic:pic>
              </a:graphicData>
            </a:graphic>
          </wp:anchor>
        </w:drawing>
      </w:r>
    </w:p>
    <w:p>
      <w:pPr>
        <w:spacing w:after="0" w:line="161" w:lineRule="exact"/>
        <w:rPr>
          <w:sz w:val="20"/>
          <w:szCs w:val="20"/>
          <w:color w:val="auto"/>
        </w:rPr>
      </w:pPr>
    </w:p>
    <w:p>
      <w:pPr>
        <w:jc w:val="both"/>
        <w:ind w:firstLine="636"/>
        <w:spacing w:after="0" w:line="260" w:lineRule="auto"/>
        <w:rPr>
          <w:sz w:val="20"/>
          <w:szCs w:val="20"/>
          <w:color w:val="auto"/>
        </w:rPr>
      </w:pPr>
      <w:r>
        <w:rPr>
          <w:rFonts w:ascii="Times New Roman" w:cs="Times New Roman" w:eastAsia="Times New Roman" w:hAnsi="Times New Roman"/>
          <w:sz w:val="21"/>
          <w:szCs w:val="21"/>
          <w:b w:val="1"/>
          <w:bCs w:val="1"/>
          <w:u w:val="single" w:color="auto"/>
          <w:color w:val="0000FF"/>
        </w:rPr>
        <w:t>Whereas, the Borrower, JPMorgan Chase Bank, N.A., in its capacity as Administrative Agent, and the 2025 Revolving Credit Lenders party thereto have entered into that certain First Amendment in order to (a)(i) extend 2025 Revolving Credit Commitments and borrow and make loans under the 2025 Revolving Credit Commitment and (ii) refinance in whole the existing Original Revolving Credit Commitments and Original Revolving Credit Loans, and (b) amend</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the</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b w:val="1"/>
          <w:bCs w:val="1"/>
          <w:color w:val="FF0000"/>
          <w:strike w:val="1"/>
        </w:rPr>
        <w:t>Letter of</w:t>
      </w:r>
      <w:r>
        <w:rPr>
          <w:rFonts w:ascii="Times New Roman" w:cs="Times New Roman" w:eastAsia="Times New Roman" w:hAnsi="Times New Roman"/>
          <w:sz w:val="21"/>
          <w:szCs w:val="21"/>
          <w:b w:val="1"/>
          <w:bCs w:val="1"/>
          <w:u w:val="single" w:color="auto"/>
          <w:color w:val="0000FF"/>
        </w:rPr>
        <w:t>Existing</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Credit</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b w:val="1"/>
          <w:bCs w:val="1"/>
          <w:color w:val="FF0000"/>
          <w:strike w:val="1"/>
        </w:rPr>
        <w:t>Sublimit, in each case, on</w:t>
      </w:r>
      <w:r>
        <w:rPr>
          <w:rFonts w:ascii="Times New Roman" w:cs="Times New Roman" w:eastAsia="Times New Roman" w:hAnsi="Times New Roman"/>
          <w:sz w:val="21"/>
          <w:szCs w:val="21"/>
          <w:b w:val="1"/>
          <w:bCs w:val="1"/>
          <w:u w:val="single" w:color="auto"/>
          <w:color w:val="0000FF"/>
        </w:rPr>
        <w:t>Agreement subject to</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the terms and</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b w:val="1"/>
          <w:bCs w:val="1"/>
          <w:color w:val="FF0000"/>
          <w:strike w:val="1"/>
        </w:rPr>
        <w:t>subject to the</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conditions</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b w:val="1"/>
          <w:bCs w:val="1"/>
          <w:color w:val="FF0000"/>
          <w:strike w:val="1"/>
        </w:rPr>
        <w:t>set</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b w:val="1"/>
          <w:bCs w:val="1"/>
          <w:color w:val="FF0000"/>
          <w:strike w:val="1"/>
        </w:rPr>
        <w:t>forth</w:t>
      </w:r>
      <w:r>
        <w:rPr>
          <w:rFonts w:ascii="Times New Roman" w:cs="Times New Roman" w:eastAsia="Times New Roman" w:hAnsi="Times New Roman"/>
          <w:sz w:val="21"/>
          <w:szCs w:val="21"/>
          <w:b w:val="1"/>
          <w:bCs w:val="1"/>
          <w:u w:val="single" w:color="auto"/>
          <w:color w:val="0000FF"/>
        </w:rPr>
        <w:t>provided therein and</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color w:val="000000"/>
        </w:rPr>
        <w:t>herein; and</w:t>
      </w:r>
    </w:p>
    <w:p>
      <w:pPr>
        <w:spacing w:after="0" w:line="166" w:lineRule="exact"/>
        <w:rPr>
          <w:sz w:val="20"/>
          <w:szCs w:val="20"/>
          <w:color w:val="auto"/>
        </w:rPr>
      </w:pPr>
    </w:p>
    <w:p>
      <w:pPr>
        <w:jc w:val="both"/>
        <w:ind w:firstLine="636"/>
        <w:spacing w:after="0" w:line="289" w:lineRule="auto"/>
        <w:rPr>
          <w:sz w:val="20"/>
          <w:szCs w:val="20"/>
          <w:color w:val="auto"/>
        </w:rPr>
      </w:pPr>
      <w:r>
        <w:rPr>
          <w:rFonts w:ascii="Times New Roman" w:cs="Times New Roman" w:eastAsia="Times New Roman" w:hAnsi="Times New Roman"/>
          <w:sz w:val="21"/>
          <w:szCs w:val="21"/>
          <w:color w:val="auto"/>
        </w:rPr>
        <w:t xml:space="preserve">Whereas, the </w:t>
      </w:r>
      <w:r>
        <w:rPr>
          <w:rFonts w:ascii="Times New Roman" w:cs="Times New Roman" w:eastAsia="Times New Roman" w:hAnsi="Times New Roman"/>
          <w:sz w:val="21"/>
          <w:szCs w:val="21"/>
          <w:b w:val="1"/>
          <w:bCs w:val="1"/>
          <w:u w:val="single" w:color="auto"/>
          <w:color w:val="0000FF"/>
        </w:rPr>
        <w:t>2025 Revolving Credit</w:t>
      </w:r>
      <w:r>
        <w:rPr>
          <w:rFonts w:ascii="Times New Roman" w:cs="Times New Roman" w:eastAsia="Times New Roman" w:hAnsi="Times New Roman"/>
          <w:sz w:val="21"/>
          <w:szCs w:val="21"/>
          <w:color w:val="auto"/>
        </w:rPr>
        <w:t xml:space="preserve"> Lenders have indicated their willingness to lend and each L/C Issuer has indicated its willingness to issue letters of credit, in each case, on the terms and subject to the conditions set forth herein.</w:t>
      </w:r>
    </w:p>
    <w:p>
      <w:pPr>
        <w:spacing w:after="0" w:line="138" w:lineRule="exact"/>
        <w:rPr>
          <w:sz w:val="20"/>
          <w:szCs w:val="20"/>
          <w:color w:val="auto"/>
        </w:rPr>
      </w:pPr>
    </w:p>
    <w:p>
      <w:pPr>
        <w:jc w:val="both"/>
        <w:ind w:firstLine="636"/>
        <w:spacing w:after="0" w:line="285" w:lineRule="auto"/>
        <w:rPr>
          <w:sz w:val="20"/>
          <w:szCs w:val="20"/>
          <w:color w:val="auto"/>
        </w:rPr>
      </w:pPr>
      <w:r>
        <w:rPr>
          <w:rFonts w:ascii="Times New Roman" w:cs="Times New Roman" w:eastAsia="Times New Roman" w:hAnsi="Times New Roman"/>
          <w:sz w:val="21"/>
          <w:szCs w:val="21"/>
          <w:color w:val="auto"/>
        </w:rPr>
        <w:t>Now, therefore, in consideration of the mutual covenants and agreements herein contained, the parties hereto covenant and agree as follows:</w:t>
      </w:r>
    </w:p>
    <w:p>
      <w:pPr>
        <w:spacing w:after="0" w:line="12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b w:val="1"/>
          <w:bCs w:val="1"/>
          <w:color w:val="auto"/>
        </w:rPr>
        <w:t>Article 1.</w:t>
      </w:r>
    </w:p>
    <w:p>
      <w:pPr>
        <w:ind w:left="3500"/>
        <w:spacing w:after="0"/>
        <w:rPr>
          <w:sz w:val="20"/>
          <w:szCs w:val="20"/>
          <w:color w:val="auto"/>
        </w:rPr>
      </w:pPr>
      <w:r>
        <w:rPr>
          <w:rFonts w:ascii="Times New Roman" w:cs="Times New Roman" w:eastAsia="Times New Roman" w:hAnsi="Times New Roman"/>
          <w:sz w:val="21"/>
          <w:szCs w:val="21"/>
          <w:b w:val="1"/>
          <w:bCs w:val="1"/>
          <w:color w:val="auto"/>
        </w:rPr>
        <w:t>DEFINITIONS AND ACCOUNTING TERMS</w:t>
      </w:r>
    </w:p>
    <w:p>
      <w:pPr>
        <w:spacing w:after="0" w:line="157"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1.01</w:t>
      </w:r>
      <w:r>
        <w:rPr>
          <w:sz w:val="20"/>
          <w:szCs w:val="20"/>
          <w:color w:val="auto"/>
        </w:rPr>
        <w:tab/>
      </w:r>
      <w:r>
        <w:rPr>
          <w:rFonts w:ascii="Times New Roman" w:cs="Times New Roman" w:eastAsia="Times New Roman" w:hAnsi="Times New Roman"/>
          <w:sz w:val="20"/>
          <w:szCs w:val="20"/>
          <w:i w:val="1"/>
          <w:iCs w:val="1"/>
          <w:color w:val="auto"/>
        </w:rPr>
        <w:t>Defined Terms</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As used in this Agreement, the following terms shall have the meanings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40"/>
          </w:cols>
          <w:pgMar w:left="320" w:top="1393" w:right="339" w:bottom="1440" w:gutter="0" w:footer="0" w:header="0"/>
        </w:sectPr>
      </w:pPr>
    </w:p>
    <w:bookmarkStart w:id="107" w:name="page108"/>
    <w:bookmarkEnd w:id="107"/>
    <w:p>
      <w:pPr>
        <w:ind w:left="640"/>
        <w:spacing w:after="0"/>
        <w:rPr>
          <w:sz w:val="20"/>
          <w:szCs w:val="20"/>
          <w:color w:val="auto"/>
        </w:rPr>
      </w:pPr>
      <w:r>
        <w:rPr>
          <w:rFonts w:ascii="Times New Roman" w:cs="Times New Roman" w:eastAsia="Times New Roman" w:hAnsi="Times New Roman"/>
          <w:sz w:val="21"/>
          <w:szCs w:val="21"/>
          <w:b w:val="1"/>
          <w:bCs w:val="1"/>
          <w:u w:val="single" w:color="auto"/>
          <w:color w:val="0000FF"/>
        </w:rPr>
        <w:t xml:space="preserve">“2021 </w:t>
      </w:r>
      <w:r>
        <w:rPr>
          <w:rFonts w:ascii="Times New Roman" w:cs="Times New Roman" w:eastAsia="Times New Roman" w:hAnsi="Times New Roman"/>
          <w:sz w:val="21"/>
          <w:szCs w:val="21"/>
          <w:b w:val="1"/>
          <w:bCs w:val="1"/>
          <w:u w:val="single" w:color="auto"/>
          <w:color w:val="00C000"/>
        </w:rPr>
        <w:t>Engagement Letter</w:t>
      </w:r>
      <w:r>
        <w:rPr>
          <w:rFonts w:ascii="Times New Roman" w:cs="Times New Roman" w:eastAsia="Times New Roman" w:hAnsi="Times New Roman"/>
          <w:sz w:val="21"/>
          <w:szCs w:val="21"/>
          <w:u w:val="single" w:color="auto"/>
          <w:color w:val="00C000"/>
        </w:rPr>
        <w:t>” means the Engagement Letter, dated November 29, 2021, among the Borrower and</w:t>
      </w:r>
      <w:r>
        <w:rPr>
          <w:rFonts w:ascii="Times New Roman" w:cs="Times New Roman" w:eastAsia="Times New Roman" w:hAnsi="Times New Roman"/>
          <w:sz w:val="21"/>
          <w:szCs w:val="21"/>
          <w:b w:val="1"/>
          <w:bCs w:val="1"/>
          <w:u w:val="single" w:color="auto"/>
          <w:color w:val="0000FF"/>
        </w:rPr>
        <w:t xml:space="preserve"> the</w:t>
      </w:r>
    </w:p>
    <w:p>
      <w:pPr>
        <w:spacing w:after="0"/>
        <w:rPr>
          <w:sz w:val="20"/>
          <w:szCs w:val="20"/>
          <w:color w:val="auto"/>
        </w:rPr>
      </w:pPr>
      <w:r>
        <w:rPr>
          <w:rFonts w:ascii="Times New Roman" w:cs="Times New Roman" w:eastAsia="Times New Roman" w:hAnsi="Times New Roman"/>
          <w:sz w:val="21"/>
          <w:szCs w:val="21"/>
          <w:b w:val="1"/>
          <w:bCs w:val="1"/>
          <w:u w:val="single" w:color="auto"/>
          <w:color w:val="0000FF"/>
        </w:rPr>
        <w:t>Arrangers party thereto.</w:t>
      </w:r>
    </w:p>
    <w:p>
      <w:pPr>
        <w:spacing w:after="0" w:line="155"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21"/>
          <w:szCs w:val="21"/>
          <w:b w:val="1"/>
          <w:bCs w:val="1"/>
          <w:u w:val="single" w:color="auto"/>
          <w:color w:val="0000FF"/>
        </w:rPr>
        <w:t>“2025 Engagement Letter” means the Engagement Letter, dated August 11, 2025, among the Borrower and the Arrangers party thereto.</w:t>
      </w:r>
    </w:p>
    <w:p>
      <w:pPr>
        <w:spacing w:after="0" w:line="135" w:lineRule="exact"/>
        <w:rPr>
          <w:sz w:val="20"/>
          <w:szCs w:val="20"/>
          <w:color w:val="auto"/>
        </w:rPr>
      </w:pPr>
    </w:p>
    <w:p>
      <w:pPr>
        <w:jc w:val="both"/>
        <w:ind w:firstLine="636"/>
        <w:spacing w:after="0" w:line="233" w:lineRule="auto"/>
        <w:rPr>
          <w:sz w:val="20"/>
          <w:szCs w:val="20"/>
          <w:color w:val="auto"/>
        </w:rPr>
      </w:pPr>
      <w:r>
        <w:rPr>
          <w:rFonts w:ascii="Times New Roman" w:cs="Times New Roman" w:eastAsia="Times New Roman" w:hAnsi="Times New Roman"/>
          <w:sz w:val="21"/>
          <w:szCs w:val="21"/>
          <w:b w:val="1"/>
          <w:bCs w:val="1"/>
          <w:u w:val="single" w:color="auto"/>
          <w:color w:val="0000FF"/>
        </w:rPr>
        <w:t>“2025 Incremental Revolving Credit Commitments” means the “2025 Incremental Revolving Credit Commitments” as such term is defined in the First Amendment. As of the First Amendment Effective Date, the aggregate amount of the 2025 Incremental Revolving Credit Commitments is $300,000,000.</w:t>
      </w:r>
    </w:p>
    <w:p>
      <w:pPr>
        <w:spacing w:after="0" w:line="145" w:lineRule="exact"/>
        <w:rPr>
          <w:sz w:val="20"/>
          <w:szCs w:val="20"/>
          <w:color w:val="auto"/>
        </w:rPr>
      </w:pPr>
    </w:p>
    <w:p>
      <w:pPr>
        <w:jc w:val="both"/>
        <w:ind w:firstLine="636"/>
        <w:spacing w:after="0" w:line="233" w:lineRule="auto"/>
        <w:rPr>
          <w:sz w:val="20"/>
          <w:szCs w:val="20"/>
          <w:color w:val="auto"/>
        </w:rPr>
      </w:pPr>
      <w:r>
        <w:rPr>
          <w:rFonts w:ascii="Times New Roman" w:cs="Times New Roman" w:eastAsia="Times New Roman" w:hAnsi="Times New Roman"/>
          <w:sz w:val="21"/>
          <w:szCs w:val="21"/>
          <w:b w:val="1"/>
          <w:bCs w:val="1"/>
          <w:u w:val="single" w:color="auto"/>
          <w:color w:val="0000FF"/>
        </w:rPr>
        <w:t>“2025 Refinancing Revolving Credit Commitments” means the “2025 Refinancing Revolving Credit Commitments” as such term is defined in the First Amendment. As of the First Amendment Effective Date, the aggregate amount of the 2025 Refinancing Revolving Credit Commitments is $200,000,000.</w:t>
      </w:r>
    </w:p>
    <w:p>
      <w:pPr>
        <w:spacing w:after="0" w:line="145" w:lineRule="exact"/>
        <w:rPr>
          <w:sz w:val="20"/>
          <w:szCs w:val="20"/>
          <w:color w:val="auto"/>
        </w:rPr>
      </w:pPr>
    </w:p>
    <w:p>
      <w:pPr>
        <w:jc w:val="both"/>
        <w:ind w:firstLine="636"/>
        <w:spacing w:after="0" w:line="227" w:lineRule="auto"/>
        <w:rPr>
          <w:sz w:val="20"/>
          <w:szCs w:val="20"/>
          <w:color w:val="auto"/>
        </w:rPr>
      </w:pPr>
      <w:r>
        <w:rPr>
          <w:rFonts w:ascii="Times New Roman" w:cs="Times New Roman" w:eastAsia="Times New Roman" w:hAnsi="Times New Roman"/>
          <w:sz w:val="21"/>
          <w:szCs w:val="21"/>
          <w:b w:val="1"/>
          <w:bCs w:val="1"/>
          <w:u w:val="single" w:color="auto"/>
          <w:color w:val="0000FF"/>
        </w:rPr>
        <w:t>“2025 Revolving Credit Commitments” means the “2025 Revolving Credit Commitments” as such term is defined in the First Amendment (which includes, for the avoidance of doubt, the 2025 Refinancing Revolving Credit Commitments and the 2025 Incremental Revolving Credit Commitments). As of the First Amendment Effective Date, the aggregate amount of the 2025 Revolving Credit Commitments is $500,000,000.</w:t>
      </w:r>
    </w:p>
    <w:p>
      <w:pPr>
        <w:spacing w:after="0" w:line="146"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21"/>
          <w:szCs w:val="21"/>
          <w:b w:val="1"/>
          <w:bCs w:val="1"/>
          <w:u w:val="single" w:color="auto"/>
          <w:color w:val="0000FF"/>
        </w:rPr>
        <w:t>“2025 Revolving Credit Facility” means, at any time, the aggregate amount of the 2025 Revolving Credit Lenders’ 2025 Revolving Credit Commitments at such time and the Credit Extensions made thereunder.</w:t>
      </w:r>
    </w:p>
    <w:p>
      <w:pPr>
        <w:spacing w:after="0" w:line="135" w:lineRule="exact"/>
        <w:rPr>
          <w:sz w:val="20"/>
          <w:szCs w:val="20"/>
          <w:color w:val="auto"/>
        </w:rPr>
      </w:pPr>
    </w:p>
    <w:p>
      <w:pPr>
        <w:jc w:val="both"/>
        <w:ind w:firstLine="636"/>
        <w:spacing w:after="0" w:line="227" w:lineRule="auto"/>
        <w:rPr>
          <w:sz w:val="20"/>
          <w:szCs w:val="20"/>
          <w:color w:val="auto"/>
        </w:rPr>
      </w:pPr>
      <w:r>
        <w:rPr>
          <w:rFonts w:ascii="Times New Roman" w:cs="Times New Roman" w:eastAsia="Times New Roman" w:hAnsi="Times New Roman"/>
          <w:sz w:val="21"/>
          <w:szCs w:val="21"/>
          <w:b w:val="1"/>
          <w:bCs w:val="1"/>
          <w:u w:val="single" w:color="auto"/>
          <w:color w:val="0000FF"/>
        </w:rPr>
        <w:t>“2025 Revolving Credit Facility Arrangers” means JPMorgan Chase Bank, N.A., BOFA Securities, Inc., Barclays Bank PLC, Citibank, N.A., Coöperatieve Rabobank U.A., New York Branch, Morgan Stanley Senior Funding, Inc., PNC Capital Markets LLC, Truist Securities, Inc., UBS Securities LLC and Wells Fargo Securities, LLC, in their capacities as joint lead arrangers and joint bookrunners.</w:t>
      </w:r>
    </w:p>
    <w:p>
      <w:pPr>
        <w:spacing w:after="0" w:line="146"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21"/>
          <w:szCs w:val="21"/>
          <w:b w:val="1"/>
          <w:bCs w:val="1"/>
          <w:u w:val="single" w:color="auto"/>
          <w:color w:val="0000FF"/>
        </w:rPr>
        <w:t>“2025 Revolving Credit Lender” means each “2025 Revolving Credit Lender” as such term is defined in the First Amendment.</w:t>
      </w:r>
    </w:p>
    <w:p>
      <w:pPr>
        <w:spacing w:after="0" w:line="135"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21"/>
          <w:szCs w:val="21"/>
          <w:b w:val="1"/>
          <w:bCs w:val="1"/>
          <w:u w:val="single" w:color="auto"/>
          <w:color w:val="0000FF"/>
        </w:rPr>
        <w:t>“2025 Revolving Credit Loan” means the Revolving Credit Loans made by the 2025 Revolving Credit Lenders to the Borrower under the 2025 Revolving Credit Commitments pursuant to Section 2.01.</w:t>
      </w:r>
    </w:p>
    <w:p>
      <w:pPr>
        <w:spacing w:after="0" w:line="16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Act</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10.19</w:t>
      </w:r>
      <w:r>
        <w:rPr>
          <w:rFonts w:ascii="Times New Roman" w:cs="Times New Roman" w:eastAsia="Times New Roman" w:hAnsi="Times New Roman"/>
          <w:sz w:val="21"/>
          <w:szCs w:val="21"/>
          <w:color w:val="auto"/>
        </w:rPr>
        <w:t>.</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Additional Refinancing Lender</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2.17</w:t>
      </w:r>
      <w:r>
        <w:rPr>
          <w:rFonts w:ascii="Times New Roman" w:cs="Times New Roman" w:eastAsia="Times New Roman" w:hAnsi="Times New Roman"/>
          <w:sz w:val="21"/>
          <w:szCs w:val="21"/>
          <w:color w:val="auto"/>
        </w:rPr>
        <w:t>.</w:t>
      </w:r>
    </w:p>
    <w:p>
      <w:pPr>
        <w:spacing w:after="0" w:line="209" w:lineRule="exact"/>
        <w:rPr>
          <w:sz w:val="20"/>
          <w:szCs w:val="20"/>
          <w:color w:val="auto"/>
        </w:rPr>
      </w:pPr>
    </w:p>
    <w:p>
      <w:pPr>
        <w:jc w:val="both"/>
        <w:ind w:firstLine="636"/>
        <w:spacing w:after="0" w:line="267" w:lineRule="auto"/>
        <w:rPr>
          <w:sz w:val="20"/>
          <w:szCs w:val="20"/>
          <w:color w:val="auto"/>
        </w:rPr>
      </w:pPr>
      <w:r>
        <w:rPr>
          <w:rFonts w:ascii="Times New Roman" w:cs="Times New Roman" w:eastAsia="Times New Roman" w:hAnsi="Times New Roman"/>
          <w:sz w:val="21"/>
          <w:szCs w:val="21"/>
          <w:b w:val="1"/>
          <w:bCs w:val="1"/>
          <w:color w:val="FF0000"/>
          <w:strike w:val="1"/>
        </w:rPr>
        <w:t xml:space="preserve">“Adjusted Daily Simple RFR” means, with respect to any RFR Borrowing denominated in Sterling, an interest rate per annum equal to (a) the Daily Simple RFR for Sterling, </w:t>
      </w:r>
      <w:r>
        <w:rPr>
          <w:rFonts w:ascii="Times New Roman" w:cs="Times New Roman" w:eastAsia="Times New Roman" w:hAnsi="Times New Roman"/>
          <w:sz w:val="21"/>
          <w:szCs w:val="21"/>
          <w:b w:val="1"/>
          <w:bCs w:val="1"/>
          <w:i w:val="1"/>
          <w:iCs w:val="1"/>
          <w:color w:val="FF0000"/>
          <w:strike w:val="1"/>
        </w:rPr>
        <w:t>plus</w:t>
      </w:r>
      <w:r>
        <w:rPr>
          <w:rFonts w:ascii="Times New Roman" w:cs="Times New Roman" w:eastAsia="Times New Roman" w:hAnsi="Times New Roman"/>
          <w:sz w:val="21"/>
          <w:szCs w:val="21"/>
          <w:b w:val="1"/>
          <w:bCs w:val="1"/>
          <w:color w:val="FF0000"/>
          <w:strike w:val="1"/>
        </w:rPr>
        <w:t xml:space="preserve"> (b) 0.0326%; </w:t>
      </w:r>
      <w:r>
        <w:rPr>
          <w:rFonts w:ascii="Times New Roman" w:cs="Times New Roman" w:eastAsia="Times New Roman" w:hAnsi="Times New Roman"/>
          <w:sz w:val="21"/>
          <w:szCs w:val="21"/>
          <w:b w:val="1"/>
          <w:bCs w:val="1"/>
          <w:i w:val="1"/>
          <w:iCs w:val="1"/>
          <w:color w:val="FF0000"/>
          <w:strike w:val="1"/>
        </w:rPr>
        <w:t>provided that</w:t>
      </w:r>
      <w:r>
        <w:rPr>
          <w:rFonts w:ascii="Times New Roman" w:cs="Times New Roman" w:eastAsia="Times New Roman" w:hAnsi="Times New Roman"/>
          <w:sz w:val="21"/>
          <w:szCs w:val="21"/>
          <w:b w:val="1"/>
          <w:bCs w:val="1"/>
          <w:color w:val="FF0000"/>
          <w:strike w:val="1"/>
        </w:rPr>
        <w:t xml:space="preserve"> if the Adjusted Daily Simple RFR as so determined would be less than the Floor, such rate shall be deemed to be equal to the Floor for the purposes of this Agreement.</w:t>
      </w:r>
    </w:p>
    <w:p>
      <w:pPr>
        <w:spacing w:after="0" w:line="158"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21"/>
          <w:szCs w:val="21"/>
          <w:b w:val="1"/>
          <w:bCs w:val="1"/>
          <w:color w:val="FF0000"/>
          <w:strike w:val="1"/>
        </w:rPr>
        <w:t xml:space="preserve">“Adjusted Daily Simple SOFR” means, with respect to any Borrowing denominated in U.S. Dollars, an interest rate per annum equal to (a) the Daily Simple SOFR, </w:t>
      </w:r>
      <w:r>
        <w:rPr>
          <w:rFonts w:ascii="Times New Roman" w:cs="Times New Roman" w:eastAsia="Times New Roman" w:hAnsi="Times New Roman"/>
          <w:sz w:val="21"/>
          <w:szCs w:val="21"/>
          <w:b w:val="1"/>
          <w:bCs w:val="1"/>
          <w:i w:val="1"/>
          <w:iCs w:val="1"/>
          <w:color w:val="FF0000"/>
          <w:strike w:val="1"/>
        </w:rPr>
        <w:t>plus</w:t>
      </w:r>
      <w:r>
        <w:rPr>
          <w:rFonts w:ascii="Times New Roman" w:cs="Times New Roman" w:eastAsia="Times New Roman" w:hAnsi="Times New Roman"/>
          <w:sz w:val="21"/>
          <w:szCs w:val="21"/>
          <w:b w:val="1"/>
          <w:bCs w:val="1"/>
          <w:color w:val="FF0000"/>
          <w:strike w:val="1"/>
        </w:rPr>
        <w:t xml:space="preserve"> (b) 0.10%; </w:t>
      </w:r>
      <w:r>
        <w:rPr>
          <w:rFonts w:ascii="Times New Roman" w:cs="Times New Roman" w:eastAsia="Times New Roman" w:hAnsi="Times New Roman"/>
          <w:sz w:val="21"/>
          <w:szCs w:val="21"/>
          <w:b w:val="1"/>
          <w:bCs w:val="1"/>
          <w:i w:val="1"/>
          <w:iCs w:val="1"/>
          <w:color w:val="FF0000"/>
          <w:strike w:val="1"/>
        </w:rPr>
        <w:t>provided that</w:t>
      </w:r>
      <w:r>
        <w:rPr>
          <w:rFonts w:ascii="Times New Roman" w:cs="Times New Roman" w:eastAsia="Times New Roman" w:hAnsi="Times New Roman"/>
          <w:sz w:val="21"/>
          <w:szCs w:val="21"/>
          <w:b w:val="1"/>
          <w:bCs w:val="1"/>
          <w:color w:val="FF0000"/>
          <w:strike w:val="1"/>
        </w:rPr>
        <w:t xml:space="preserve"> if the Adjusted Daily Simple SOFR Rate as so determined would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365"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21"/>
          <w:szCs w:val="21"/>
          <w:b w:val="1"/>
          <w:bCs w:val="1"/>
          <w:color w:val="FF0000"/>
          <w:strike w:val="1"/>
        </w:rPr>
        <w:t>less than the Floor, such rate shall be deemed to be equal to the Floor for the purposes of this Agreement.</w:t>
      </w:r>
    </w:p>
    <w:p>
      <w:pPr>
        <w:spacing w:after="0" w:line="196" w:lineRule="exact"/>
        <w:rPr>
          <w:sz w:val="20"/>
          <w:szCs w:val="20"/>
          <w:color w:val="auto"/>
        </w:rPr>
      </w:pPr>
    </w:p>
    <w:p>
      <w:pPr>
        <w:jc w:val="both"/>
        <w:ind w:firstLine="636"/>
        <w:spacing w:after="0" w:line="22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Adjusted Eurodollar Rate</w:t>
      </w:r>
      <w:r>
        <w:rPr>
          <w:rFonts w:ascii="Times New Roman" w:cs="Times New Roman" w:eastAsia="Times New Roman" w:hAnsi="Times New Roman"/>
          <w:sz w:val="21"/>
          <w:szCs w:val="21"/>
          <w:color w:val="auto"/>
        </w:rPr>
        <w:t>” means, with respect to any Borrowing denominated in Euros for any Interest Period, an interest rate per annum equal to (a) the Eurodollar Rate for such Interest Period multiplied by (b) the Statutory Reserve Rate; provided that if the Adjusted Eurodollar Rate as so determined would be less than the Floor, such rate shall be deemed to be equal to the Floor for the purposes of this Agreement.</w:t>
      </w:r>
    </w:p>
    <w:p>
      <w:pPr>
        <w:spacing w:after="0" w:line="173" w:lineRule="exact"/>
        <w:rPr>
          <w:sz w:val="20"/>
          <w:szCs w:val="20"/>
          <w:color w:val="auto"/>
        </w:rPr>
      </w:pPr>
    </w:p>
    <w:p>
      <w:pPr>
        <w:jc w:val="both"/>
        <w:ind w:firstLine="636"/>
        <w:spacing w:after="0" w:line="267" w:lineRule="auto"/>
        <w:rPr>
          <w:sz w:val="20"/>
          <w:szCs w:val="20"/>
          <w:color w:val="auto"/>
        </w:rPr>
      </w:pPr>
      <w:r>
        <w:rPr>
          <w:rFonts w:ascii="Times New Roman" w:cs="Times New Roman" w:eastAsia="Times New Roman" w:hAnsi="Times New Roman"/>
          <w:sz w:val="21"/>
          <w:szCs w:val="21"/>
          <w:b w:val="1"/>
          <w:bCs w:val="1"/>
          <w:color w:val="FF0000"/>
          <w:strike w:val="1"/>
        </w:rPr>
        <w:t xml:space="preserve">“Adjusted Term SOFR Rate” means, with respect to any Borrowing denominated in U.S. Dollars for any Interest Period, an interest rate per annum equal to (a) Term SOFR for such Interest Period, </w:t>
      </w:r>
      <w:r>
        <w:rPr>
          <w:rFonts w:ascii="Times New Roman" w:cs="Times New Roman" w:eastAsia="Times New Roman" w:hAnsi="Times New Roman"/>
          <w:sz w:val="21"/>
          <w:szCs w:val="21"/>
          <w:b w:val="1"/>
          <w:bCs w:val="1"/>
          <w:i w:val="1"/>
          <w:iCs w:val="1"/>
          <w:color w:val="FF0000"/>
          <w:strike w:val="1"/>
        </w:rPr>
        <w:t>plus</w:t>
      </w:r>
      <w:r>
        <w:rPr>
          <w:rFonts w:ascii="Times New Roman" w:cs="Times New Roman" w:eastAsia="Times New Roman" w:hAnsi="Times New Roman"/>
          <w:sz w:val="21"/>
          <w:szCs w:val="21"/>
          <w:b w:val="1"/>
          <w:bCs w:val="1"/>
          <w:color w:val="FF0000"/>
          <w:strike w:val="1"/>
        </w:rPr>
        <w:t xml:space="preserve"> (b) the Applicable SOFR Adjustment; </w:t>
      </w:r>
      <w:r>
        <w:rPr>
          <w:rFonts w:ascii="Times New Roman" w:cs="Times New Roman" w:eastAsia="Times New Roman" w:hAnsi="Times New Roman"/>
          <w:sz w:val="21"/>
          <w:szCs w:val="21"/>
          <w:b w:val="1"/>
          <w:bCs w:val="1"/>
          <w:i w:val="1"/>
          <w:iCs w:val="1"/>
          <w:color w:val="FF0000"/>
          <w:strike w:val="1"/>
        </w:rPr>
        <w:t>provided that</w:t>
      </w:r>
      <w:r>
        <w:rPr>
          <w:rFonts w:ascii="Times New Roman" w:cs="Times New Roman" w:eastAsia="Times New Roman" w:hAnsi="Times New Roman"/>
          <w:sz w:val="21"/>
          <w:szCs w:val="21"/>
          <w:b w:val="1"/>
          <w:bCs w:val="1"/>
          <w:color w:val="FF0000"/>
          <w:strike w:val="1"/>
        </w:rPr>
        <w:t xml:space="preserve"> if the Adjusted Term SOFR Rate as so determined </w:t>
      </w:r>
      <w:r>
        <w:rPr>
          <w:rFonts w:ascii="Times New Roman" w:cs="Times New Roman" w:eastAsia="Times New Roman" w:hAnsi="Times New Roman"/>
          <w:sz w:val="21"/>
          <w:szCs w:val="21"/>
          <w:color w:val="00C000"/>
          <w:strike w:val="1"/>
        </w:rPr>
        <w:t>would</w:t>
      </w:r>
      <w:r>
        <w:rPr>
          <w:rFonts w:ascii="Times New Roman" w:cs="Times New Roman" w:eastAsia="Times New Roman" w:hAnsi="Times New Roman"/>
          <w:sz w:val="21"/>
          <w:szCs w:val="21"/>
          <w:b w:val="1"/>
          <w:bCs w:val="1"/>
          <w:color w:val="FF0000"/>
          <w:strike w:val="1"/>
        </w:rPr>
        <w:t xml:space="preserve"> be less than </w:t>
      </w:r>
      <w:r>
        <w:rPr>
          <w:rFonts w:ascii="Times New Roman" w:cs="Times New Roman" w:eastAsia="Times New Roman" w:hAnsi="Times New Roman"/>
          <w:sz w:val="21"/>
          <w:szCs w:val="21"/>
          <w:color w:val="00C000"/>
          <w:strike w:val="1"/>
        </w:rPr>
        <w:t>the Floor, such rate</w:t>
      </w:r>
      <w:r>
        <w:rPr>
          <w:rFonts w:ascii="Times New Roman" w:cs="Times New Roman" w:eastAsia="Times New Roman" w:hAnsi="Times New Roman"/>
          <w:sz w:val="21"/>
          <w:szCs w:val="21"/>
          <w:b w:val="1"/>
          <w:bCs w:val="1"/>
          <w:color w:val="FF0000"/>
          <w:strike w:val="1"/>
        </w:rPr>
        <w:t xml:space="preserve"> shall be deemed to be </w:t>
      </w:r>
      <w:r>
        <w:rPr>
          <w:rFonts w:ascii="Times New Roman" w:cs="Times New Roman" w:eastAsia="Times New Roman" w:hAnsi="Times New Roman"/>
          <w:sz w:val="21"/>
          <w:szCs w:val="21"/>
          <w:color w:val="00C000"/>
          <w:strike w:val="1"/>
        </w:rPr>
        <w:t>equal to the Floor for the purposes of this Agreement</w:t>
      </w:r>
      <w:r>
        <w:rPr>
          <w:rFonts w:ascii="Times New Roman" w:cs="Times New Roman" w:eastAsia="Times New Roman" w:hAnsi="Times New Roman"/>
          <w:sz w:val="21"/>
          <w:szCs w:val="21"/>
          <w:b w:val="1"/>
          <w:bCs w:val="1"/>
          <w:color w:val="FF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4843780</wp:posOffset>
            </wp:positionH>
            <wp:positionV relativeFrom="paragraph">
              <wp:posOffset>-257810</wp:posOffset>
            </wp:positionV>
            <wp:extent cx="7499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0">
                      <a:extLst>
                        <a:ext uri="{28A0092B-C50C-407E-A947-70E740481C1C}"/>
                      </a:extLst>
                    </a:blip>
                    <a:srcRect/>
                    <a:stretch>
                      <a:fillRect/>
                    </a:stretch>
                  </pic:blipFill>
                  <pic:spPr bwMode="auto">
                    <a:xfrm>
                      <a:off x="0" y="0"/>
                      <a:ext cx="749935" cy="8255"/>
                    </a:xfrm>
                    <a:prstGeom prst="rect">
                      <a:avLst/>
                    </a:prstGeom>
                    <a:noFill/>
                  </pic:spPr>
                </pic:pic>
              </a:graphicData>
            </a:graphic>
          </wp:anchor>
        </w:drawing>
        <w:drawing>
          <wp:anchor simplePos="0" relativeHeight="251657728" behindDoc="1" locked="0" layoutInCell="0" allowOverlap="1">
            <wp:simplePos x="0" y="0"/>
            <wp:positionH relativeFrom="column">
              <wp:posOffset>6644640</wp:posOffset>
            </wp:positionH>
            <wp:positionV relativeFrom="paragraph">
              <wp:posOffset>-257810</wp:posOffset>
            </wp:positionV>
            <wp:extent cx="48831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1">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111"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Administrative Agent</w:t>
      </w:r>
      <w:r>
        <w:rPr>
          <w:rFonts w:ascii="Times New Roman" w:cs="Times New Roman" w:eastAsia="Times New Roman" w:hAnsi="Times New Roman"/>
          <w:sz w:val="21"/>
          <w:szCs w:val="21"/>
          <w:color w:val="auto"/>
        </w:rPr>
        <w:t>” means JPMorgan Chase Bank, N.A., in its capacity as administrative agent under any of the Loan Documents, or any successor administrative agent.</w:t>
      </w:r>
    </w:p>
    <w:p>
      <w:pPr>
        <w:spacing w:after="0" w:line="135" w:lineRule="exact"/>
        <w:rPr>
          <w:sz w:val="20"/>
          <w:szCs w:val="20"/>
          <w:color w:val="auto"/>
        </w:rPr>
      </w:pPr>
    </w:p>
    <w:p>
      <w:pPr>
        <w:jc w:val="both"/>
        <w:ind w:firstLine="636"/>
        <w:spacing w:after="0" w:line="23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Administrative Agent’s Office</w:t>
      </w:r>
      <w:r>
        <w:rPr>
          <w:rFonts w:ascii="Times New Roman" w:cs="Times New Roman" w:eastAsia="Times New Roman" w:hAnsi="Times New Roman"/>
          <w:sz w:val="21"/>
          <w:szCs w:val="21"/>
          <w:color w:val="auto"/>
        </w:rPr>
        <w:t xml:space="preserve">” means the Administrative Agent’s address and, as appropriate, account as set forth on </w:t>
      </w:r>
      <w:r>
        <w:rPr>
          <w:rFonts w:ascii="Times New Roman" w:cs="Times New Roman" w:eastAsia="Times New Roman" w:hAnsi="Times New Roman"/>
          <w:sz w:val="21"/>
          <w:szCs w:val="21"/>
          <w:u w:val="single" w:color="auto"/>
          <w:color w:val="auto"/>
        </w:rPr>
        <w:t>Schedule 10.02</w:t>
      </w:r>
      <w:r>
        <w:rPr>
          <w:rFonts w:ascii="Times New Roman" w:cs="Times New Roman" w:eastAsia="Times New Roman" w:hAnsi="Times New Roman"/>
          <w:sz w:val="21"/>
          <w:szCs w:val="21"/>
          <w:color w:val="auto"/>
        </w:rPr>
        <w:t>, or such other address or account as the Administrative Agent may from time to time notify the Borrower and the Lenders.</w:t>
      </w:r>
    </w:p>
    <w:p>
      <w:pPr>
        <w:spacing w:after="0" w:line="145"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Administrative Questionnaire</w:t>
      </w:r>
      <w:r>
        <w:rPr>
          <w:rFonts w:ascii="Times New Roman" w:cs="Times New Roman" w:eastAsia="Times New Roman" w:hAnsi="Times New Roman"/>
          <w:sz w:val="21"/>
          <w:szCs w:val="21"/>
          <w:color w:val="auto"/>
        </w:rPr>
        <w:t xml:space="preserve">” means an Administrative Questionnaire in substantially the form of </w:t>
      </w:r>
      <w:r>
        <w:rPr>
          <w:rFonts w:ascii="Times New Roman" w:cs="Times New Roman" w:eastAsia="Times New Roman" w:hAnsi="Times New Roman"/>
          <w:sz w:val="21"/>
          <w:szCs w:val="21"/>
          <w:u w:val="single" w:color="auto"/>
          <w:color w:val="auto"/>
        </w:rPr>
        <w:t>Exhibit E-2</w:t>
      </w:r>
      <w:r>
        <w:rPr>
          <w:rFonts w:ascii="Times New Roman" w:cs="Times New Roman" w:eastAsia="Times New Roman" w:hAnsi="Times New Roman"/>
          <w:sz w:val="21"/>
          <w:szCs w:val="21"/>
          <w:color w:val="auto"/>
        </w:rPr>
        <w:t xml:space="preserve"> or any other form approved by the Administrative Agent.</w:t>
      </w:r>
    </w:p>
    <w:p>
      <w:pPr>
        <w:spacing w:after="0" w:line="1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Affected Financial Institution</w:t>
      </w:r>
      <w:r>
        <w:rPr>
          <w:rFonts w:ascii="Times New Roman" w:cs="Times New Roman" w:eastAsia="Times New Roman" w:hAnsi="Times New Roman"/>
          <w:sz w:val="21"/>
          <w:szCs w:val="21"/>
          <w:color w:val="auto"/>
        </w:rPr>
        <w:t>” means (a) any EEA Financial Institution or (b) any UK Financial Institution.</w:t>
      </w:r>
    </w:p>
    <w:p>
      <w:pPr>
        <w:spacing w:after="0" w:line="183" w:lineRule="exact"/>
        <w:rPr>
          <w:sz w:val="20"/>
          <w:szCs w:val="20"/>
          <w:color w:val="auto"/>
        </w:rPr>
      </w:pPr>
    </w:p>
    <w:p>
      <w:pPr>
        <w:jc w:val="both"/>
        <w:ind w:firstLine="636"/>
        <w:spacing w:after="0" w:line="23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Affected Foreign Subsidiary</w:t>
      </w:r>
      <w:r>
        <w:rPr>
          <w:rFonts w:ascii="Times New Roman" w:cs="Times New Roman" w:eastAsia="Times New Roman" w:hAnsi="Times New Roman"/>
          <w:sz w:val="21"/>
          <w:szCs w:val="21"/>
          <w:color w:val="auto"/>
        </w:rPr>
        <w:t>” means any Foreign Subsidiary to the extent such Foreign Subsidiary acting as a Guarantor, or having a Lien granted in its Equity Interests to secure the Obligations or granting a Lien on any of its assets to secure the Obligations</w:t>
      </w:r>
      <w:r>
        <w:rPr>
          <w:rFonts w:ascii="Times New Roman" w:cs="Times New Roman" w:eastAsia="Times New Roman" w:hAnsi="Times New Roman"/>
          <w:sz w:val="21"/>
          <w:szCs w:val="21"/>
          <w:b w:val="1"/>
          <w:bCs w:val="1"/>
          <w:u w:val="single" w:color="auto"/>
          <w:color w:val="0000FF"/>
        </w:rPr>
        <w:t>,</w:t>
      </w:r>
      <w:r>
        <w:rPr>
          <w:rFonts w:ascii="Times New Roman" w:cs="Times New Roman" w:eastAsia="Times New Roman" w:hAnsi="Times New Roman"/>
          <w:sz w:val="21"/>
          <w:szCs w:val="21"/>
          <w:color w:val="auto"/>
        </w:rPr>
        <w:t xml:space="preserve"> would, in any case, cause a Deemed Dividend Problem.</w:t>
      </w:r>
    </w:p>
    <w:p>
      <w:pPr>
        <w:spacing w:after="0" w:line="145"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Affiliate</w:t>
      </w:r>
      <w:r>
        <w:rPr>
          <w:rFonts w:ascii="Times New Roman" w:cs="Times New Roman" w:eastAsia="Times New Roman" w:hAnsi="Times New Roman"/>
          <w:sz w:val="21"/>
          <w:szCs w:val="21"/>
          <w:color w:val="auto"/>
        </w:rPr>
        <w:t>” means, with respect to any Person, another Person that directly, or indirectly through one or more intermediaries, Controls or is Controlled by or is under common Control with the Person specified.</w:t>
      </w:r>
    </w:p>
    <w:p>
      <w:pPr>
        <w:spacing w:after="0" w:line="16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Agreed Currencies</w:t>
      </w:r>
      <w:r>
        <w:rPr>
          <w:rFonts w:ascii="Times New Roman" w:cs="Times New Roman" w:eastAsia="Times New Roman" w:hAnsi="Times New Roman"/>
          <w:sz w:val="21"/>
          <w:szCs w:val="21"/>
          <w:color w:val="auto"/>
        </w:rPr>
        <w:t>” means U.S. Dollars and each Alternative Currency.</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Agent</w:t>
      </w:r>
      <w:r>
        <w:rPr>
          <w:rFonts w:ascii="Times New Roman" w:cs="Times New Roman" w:eastAsia="Times New Roman" w:hAnsi="Times New Roman"/>
          <w:sz w:val="21"/>
          <w:szCs w:val="21"/>
          <w:color w:val="auto"/>
        </w:rPr>
        <w:t>” means the Administrative Agent.</w:t>
      </w:r>
    </w:p>
    <w:p>
      <w:pPr>
        <w:spacing w:after="0" w:line="20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Agent Parties</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10.02(c)</w:t>
      </w:r>
      <w:r>
        <w:rPr>
          <w:rFonts w:ascii="Times New Roman" w:cs="Times New Roman" w:eastAsia="Times New Roman" w:hAnsi="Times New Roman"/>
          <w:sz w:val="21"/>
          <w:szCs w:val="21"/>
          <w:color w:val="auto"/>
        </w:rPr>
        <w:t>.</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Aggregate Commitments</w:t>
      </w:r>
      <w:r>
        <w:rPr>
          <w:rFonts w:ascii="Times New Roman" w:cs="Times New Roman" w:eastAsia="Times New Roman" w:hAnsi="Times New Roman"/>
          <w:sz w:val="21"/>
          <w:szCs w:val="21"/>
          <w:color w:val="auto"/>
        </w:rPr>
        <w:t>” means the Commitments of all the Lenders.</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has the meaning specified in the introductory paragraph hereto.</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Agreement Currency</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10.20</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Alternative Currency</w:t>
      </w:r>
      <w:r>
        <w:rPr>
          <w:rFonts w:ascii="Times New Roman" w:cs="Times New Roman" w:eastAsia="Times New Roman" w:hAnsi="Times New Roman"/>
          <w:sz w:val="21"/>
          <w:szCs w:val="21"/>
          <w:color w:val="auto"/>
        </w:rPr>
        <w:t>” means Euros and Sterling.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393" w:right="339" w:bottom="1440" w:gutter="0" w:footer="0" w:header="0"/>
        </w:sectPr>
      </w:pPr>
    </w:p>
    <w:bookmarkStart w:id="109" w:name="page110"/>
    <w:bookmarkEnd w:id="109"/>
    <w:p>
      <w:pPr>
        <w:jc w:val="both"/>
        <w:ind w:firstLine="636"/>
        <w:spacing w:after="0" w:line="23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Annual Financial Statements</w:t>
      </w:r>
      <w:r>
        <w:rPr>
          <w:rFonts w:ascii="Times New Roman" w:cs="Times New Roman" w:eastAsia="Times New Roman" w:hAnsi="Times New Roman"/>
          <w:sz w:val="21"/>
          <w:szCs w:val="21"/>
          <w:color w:val="auto"/>
        </w:rPr>
        <w:t xml:space="preserve">” means the most recently delivered audited financial statements required to be delivered pursuant to </w:t>
      </w:r>
      <w:r>
        <w:rPr>
          <w:rFonts w:ascii="Times New Roman" w:cs="Times New Roman" w:eastAsia="Times New Roman" w:hAnsi="Times New Roman"/>
          <w:sz w:val="21"/>
          <w:szCs w:val="21"/>
          <w:u w:val="single" w:color="auto"/>
          <w:color w:val="auto"/>
        </w:rPr>
        <w:t>Section 6.01(a)</w:t>
      </w:r>
      <w:r>
        <w:rPr>
          <w:rFonts w:ascii="Times New Roman" w:cs="Times New Roman" w:eastAsia="Times New Roman" w:hAnsi="Times New Roman"/>
          <w:sz w:val="21"/>
          <w:szCs w:val="21"/>
          <w:color w:val="auto"/>
        </w:rPr>
        <w:t xml:space="preserve"> of this Agreement (or, until such time as such financial statements are so required to be delivered, the audited financial statements of Old BRBR for the period ended September 30, 2021).</w:t>
      </w:r>
    </w:p>
    <w:p>
      <w:pPr>
        <w:spacing w:after="0" w:line="145" w:lineRule="exact"/>
        <w:rPr>
          <w:sz w:val="20"/>
          <w:szCs w:val="20"/>
          <w:color w:val="auto"/>
        </w:rPr>
      </w:pPr>
    </w:p>
    <w:p>
      <w:pPr>
        <w:jc w:val="both"/>
        <w:ind w:firstLine="636"/>
        <w:spacing w:after="0" w:line="23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Anti-Corruption Laws”</w:t>
      </w:r>
      <w:r>
        <w:rPr>
          <w:rFonts w:ascii="Times New Roman" w:cs="Times New Roman" w:eastAsia="Times New Roman" w:hAnsi="Times New Roman"/>
          <w:sz w:val="21"/>
          <w:szCs w:val="21"/>
          <w:color w:val="auto"/>
        </w:rPr>
        <w:t xml:space="preserve"> means any laws, rules and regulations of any jurisdiction applicable to the Borrower or any of its Restricted Subsidiaries from time to time concerning or relating to bribery or corruption of public officials, including without limitation the U.S. Foreign Corrupt Practices Act of 1977, as amended.</w:t>
      </w:r>
    </w:p>
    <w:p>
      <w:pPr>
        <w:spacing w:after="0" w:line="1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Anti-Terrorism Laws</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5.19</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636"/>
        <w:spacing w:after="0" w:line="21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Applicable Percentage</w:t>
      </w:r>
      <w:r>
        <w:rPr>
          <w:rFonts w:ascii="Times New Roman" w:cs="Times New Roman" w:eastAsia="Times New Roman" w:hAnsi="Times New Roman"/>
          <w:sz w:val="21"/>
          <w:szCs w:val="21"/>
          <w:color w:val="auto"/>
        </w:rPr>
        <w:t xml:space="preserve">” means, with respect to any Lender at any time, the percentage (carried out to the ninth decimal place) of the aggregate principal amount of all Commitments and, if applicable and without duplication, Loans of such Lender under the applicable Facility or Facilities at such time;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with respect to any Revolving Credit Facility, if the commitment of each Revolving Credit Lender to make Revolving Credit Loans under such Revolving Credit Facility and the obligation of the L/C Issuers to make L/C Credit Extensions have been terminated pursuant to </w:t>
      </w:r>
      <w:r>
        <w:rPr>
          <w:rFonts w:ascii="Times New Roman" w:cs="Times New Roman" w:eastAsia="Times New Roman" w:hAnsi="Times New Roman"/>
          <w:sz w:val="21"/>
          <w:szCs w:val="21"/>
          <w:u w:val="single" w:color="auto"/>
          <w:color w:val="auto"/>
        </w:rPr>
        <w:t>Section 8.02</w:t>
      </w:r>
      <w:r>
        <w:rPr>
          <w:rFonts w:ascii="Times New Roman" w:cs="Times New Roman" w:eastAsia="Times New Roman" w:hAnsi="Times New Roman"/>
          <w:sz w:val="21"/>
          <w:szCs w:val="21"/>
          <w:color w:val="auto"/>
        </w:rPr>
        <w:t xml:space="preserve">, or if the Revolving Credit Commitments in respect thereof have expired, then the Applicable Percentage of each Revolving Credit Lender in respect of such Revolving Credit Facility shall be determined based on the Applicable Percentage of such Revolving Credit Lender immediately prior to such termination and after giving effect to any subsequent assignments. The initial Applicable Percentage of each </w:t>
      </w:r>
      <w:r>
        <w:rPr>
          <w:rFonts w:ascii="Times New Roman" w:cs="Times New Roman" w:eastAsia="Times New Roman" w:hAnsi="Times New Roman"/>
          <w:sz w:val="21"/>
          <w:szCs w:val="21"/>
          <w:b w:val="1"/>
          <w:bCs w:val="1"/>
          <w:color w:val="0000FF"/>
        </w:rPr>
        <w:t>2025</w:t>
      </w:r>
      <w:r>
        <w:rPr>
          <w:rFonts w:ascii="Times New Roman" w:cs="Times New Roman" w:eastAsia="Times New Roman" w:hAnsi="Times New Roman"/>
          <w:sz w:val="21"/>
          <w:szCs w:val="21"/>
          <w:color w:val="auto"/>
        </w:rPr>
        <w:t xml:space="preserve"> Revolving Credit Lender in respect of the </w:t>
      </w:r>
      <w:r>
        <w:rPr>
          <w:rFonts w:ascii="Times New Roman" w:cs="Times New Roman" w:eastAsia="Times New Roman" w:hAnsi="Times New Roman"/>
          <w:sz w:val="21"/>
          <w:szCs w:val="21"/>
          <w:b w:val="1"/>
          <w:bCs w:val="1"/>
          <w:u w:val="single" w:color="auto"/>
          <w:color w:val="0000FF"/>
        </w:rPr>
        <w:t>2025</w:t>
      </w:r>
      <w:r>
        <w:rPr>
          <w:rFonts w:ascii="Times New Roman" w:cs="Times New Roman" w:eastAsia="Times New Roman" w:hAnsi="Times New Roman"/>
          <w:sz w:val="21"/>
          <w:szCs w:val="21"/>
          <w:color w:val="auto"/>
        </w:rPr>
        <w:t xml:space="preserve"> Revolving Credit Facility is set forth opposite the name of such </w:t>
      </w:r>
      <w:r>
        <w:rPr>
          <w:rFonts w:ascii="Times New Roman" w:cs="Times New Roman" w:eastAsia="Times New Roman" w:hAnsi="Times New Roman"/>
          <w:sz w:val="21"/>
          <w:szCs w:val="21"/>
          <w:b w:val="1"/>
          <w:bCs w:val="1"/>
          <w:u w:val="single" w:color="auto"/>
          <w:color w:val="0000FF"/>
        </w:rPr>
        <w:t>2025</w:t>
      </w:r>
      <w:r>
        <w:rPr>
          <w:rFonts w:ascii="Times New Roman" w:cs="Times New Roman" w:eastAsia="Times New Roman" w:hAnsi="Times New Roman"/>
          <w:sz w:val="21"/>
          <w:szCs w:val="21"/>
          <w:color w:val="auto"/>
        </w:rPr>
        <w:t xml:space="preserve"> Revolving Credit Lender on </w:t>
      </w:r>
      <w:r>
        <w:rPr>
          <w:rFonts w:ascii="Times New Roman" w:cs="Times New Roman" w:eastAsia="Times New Roman" w:hAnsi="Times New Roman"/>
          <w:sz w:val="21"/>
          <w:szCs w:val="21"/>
          <w:b w:val="1"/>
          <w:bCs w:val="1"/>
          <w:u w:val="single" w:color="auto"/>
          <w:color w:val="FF0000"/>
          <w:strike w:val="1"/>
        </w:rPr>
        <w:t>Schedule 2.01</w:t>
      </w:r>
      <w:r>
        <w:rPr>
          <w:rFonts w:ascii="Times New Roman" w:cs="Times New Roman" w:eastAsia="Times New Roman" w:hAnsi="Times New Roman"/>
          <w:sz w:val="21"/>
          <w:szCs w:val="21"/>
          <w:b w:val="1"/>
          <w:bCs w:val="1"/>
          <w:u w:val="single" w:color="auto"/>
          <w:color w:val="0000FF"/>
        </w:rPr>
        <w:t>Annex I to the First Amendment</w:t>
      </w:r>
      <w:r>
        <w:rPr>
          <w:rFonts w:ascii="Times New Roman" w:cs="Times New Roman" w:eastAsia="Times New Roman" w:hAnsi="Times New Roman"/>
          <w:sz w:val="21"/>
          <w:szCs w:val="21"/>
          <w:color w:val="auto"/>
        </w:rPr>
        <w:t xml:space="preserve"> or in the Assignment and Assumption pursuant to which such </w:t>
      </w:r>
      <w:r>
        <w:rPr>
          <w:rFonts w:ascii="Times New Roman" w:cs="Times New Roman" w:eastAsia="Times New Roman" w:hAnsi="Times New Roman"/>
          <w:sz w:val="21"/>
          <w:szCs w:val="21"/>
          <w:b w:val="1"/>
          <w:bCs w:val="1"/>
          <w:color w:val="0000FF"/>
        </w:rPr>
        <w:t>2025</w:t>
      </w:r>
      <w:r>
        <w:rPr>
          <w:rFonts w:ascii="Times New Roman" w:cs="Times New Roman" w:eastAsia="Times New Roman" w:hAnsi="Times New Roman"/>
          <w:sz w:val="21"/>
          <w:szCs w:val="21"/>
          <w:color w:val="auto"/>
        </w:rPr>
        <w:t xml:space="preserve"> Revolving Credit Lender becomes a party hereto, as applicable. The Applicable Percentage of any Revolving Credit Lender is subject to adjustment as provided in </w:t>
      </w:r>
      <w:r>
        <w:rPr>
          <w:rFonts w:ascii="Times New Roman" w:cs="Times New Roman" w:eastAsia="Times New Roman" w:hAnsi="Times New Roman"/>
          <w:sz w:val="21"/>
          <w:szCs w:val="21"/>
          <w:u w:val="single" w:color="auto"/>
          <w:color w:val="auto"/>
        </w:rPr>
        <w:t>Section 2.16</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-432435</wp:posOffset>
            </wp:positionV>
            <wp:extent cx="31115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2">
                      <a:extLst>
                        <a:ext uri="{28A0092B-C50C-407E-A947-70E740481C1C}"/>
                      </a:extLst>
                    </a:blip>
                    <a:srcRect/>
                    <a:stretch>
                      <a:fillRect/>
                    </a:stretch>
                  </pic:blipFill>
                  <pic:spPr bwMode="auto">
                    <a:xfrm>
                      <a:off x="0" y="0"/>
                      <a:ext cx="311150" cy="8255"/>
                    </a:xfrm>
                    <a:prstGeom prst="rect">
                      <a:avLst/>
                    </a:prstGeom>
                    <a:noFill/>
                  </pic:spPr>
                </pic:pic>
              </a:graphicData>
            </a:graphic>
          </wp:anchor>
        </w:drawing>
        <w:drawing>
          <wp:anchor simplePos="0" relativeHeight="251657728" behindDoc="1" locked="0" layoutInCell="0" allowOverlap="1">
            <wp:simplePos x="0" y="0"/>
            <wp:positionH relativeFrom="column">
              <wp:posOffset>4319270</wp:posOffset>
            </wp:positionH>
            <wp:positionV relativeFrom="paragraph">
              <wp:posOffset>-297815</wp:posOffset>
            </wp:positionV>
            <wp:extent cx="4191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3">
                      <a:extLst>
                        <a:ext uri="{28A0092B-C50C-407E-A947-70E740481C1C}"/>
                      </a:extLst>
                    </a:blip>
                    <a:srcRect/>
                    <a:stretch>
                      <a:fillRect/>
                    </a:stretch>
                  </pic:blipFill>
                  <pic:spPr bwMode="auto">
                    <a:xfrm>
                      <a:off x="0" y="0"/>
                      <a:ext cx="41910" cy="8255"/>
                    </a:xfrm>
                    <a:prstGeom prst="rect">
                      <a:avLst/>
                    </a:prstGeom>
                    <a:noFill/>
                  </pic:spPr>
                </pic:pic>
              </a:graphicData>
            </a:graphic>
          </wp:anchor>
        </w:drawing>
        <w:drawing>
          <wp:anchor simplePos="0" relativeHeight="251657728" behindDoc="1" locked="0" layoutInCell="0" allowOverlap="1">
            <wp:simplePos x="0" y="0"/>
            <wp:positionH relativeFrom="column">
              <wp:posOffset>629920</wp:posOffset>
            </wp:positionH>
            <wp:positionV relativeFrom="paragraph">
              <wp:posOffset>-163195</wp:posOffset>
            </wp:positionV>
            <wp:extent cx="31940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4">
                      <a:extLst>
                        <a:ext uri="{28A0092B-C50C-407E-A947-70E740481C1C}"/>
                      </a:extLst>
                    </a:blip>
                    <a:srcRect/>
                    <a:stretch>
                      <a:fillRect/>
                    </a:stretch>
                  </pic:blipFill>
                  <pic:spPr bwMode="auto">
                    <a:xfrm>
                      <a:off x="0" y="0"/>
                      <a:ext cx="319405" cy="8255"/>
                    </a:xfrm>
                    <a:prstGeom prst="rect">
                      <a:avLst/>
                    </a:prstGeom>
                    <a:noFill/>
                  </pic:spPr>
                </pic:pic>
              </a:graphicData>
            </a:graphic>
          </wp:anchor>
        </w:drawing>
      </w:r>
    </w:p>
    <w:p>
      <w:pPr>
        <w:spacing w:after="0" w:line="128" w:lineRule="exact"/>
        <w:rPr>
          <w:sz w:val="20"/>
          <w:szCs w:val="20"/>
          <w:color w:val="auto"/>
        </w:rPr>
      </w:pPr>
    </w:p>
    <w:p>
      <w:pPr>
        <w:jc w:val="both"/>
        <w:ind w:firstLine="636"/>
        <w:spacing w:after="0" w:line="22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Applicable Rate</w:t>
      </w:r>
      <w:r>
        <w:rPr>
          <w:rFonts w:ascii="Times New Roman" w:cs="Times New Roman" w:eastAsia="Times New Roman" w:hAnsi="Times New Roman"/>
          <w:sz w:val="21"/>
          <w:szCs w:val="21"/>
          <w:color w:val="auto"/>
        </w:rPr>
        <w:t xml:space="preserve">” means in respect of </w:t>
      </w:r>
      <w:r>
        <w:rPr>
          <w:rFonts w:ascii="Times New Roman" w:cs="Times New Roman" w:eastAsia="Times New Roman" w:hAnsi="Times New Roman"/>
          <w:sz w:val="21"/>
          <w:szCs w:val="21"/>
          <w:b w:val="1"/>
          <w:bCs w:val="1"/>
          <w:color w:val="FF0000"/>
          <w:strike w:val="1"/>
        </w:rPr>
        <w:t>Original</w:t>
      </w:r>
      <w:r>
        <w:rPr>
          <w:rFonts w:ascii="Times New Roman" w:cs="Times New Roman" w:eastAsia="Times New Roman" w:hAnsi="Times New Roman"/>
          <w:sz w:val="21"/>
          <w:szCs w:val="21"/>
          <w:b w:val="1"/>
          <w:bCs w:val="1"/>
          <w:u w:val="single" w:color="auto"/>
          <w:color w:val="0000FF"/>
        </w:rPr>
        <w:t>2025</w:t>
      </w:r>
      <w:r>
        <w:rPr>
          <w:rFonts w:ascii="Times New Roman" w:cs="Times New Roman" w:eastAsia="Times New Roman" w:hAnsi="Times New Roman"/>
          <w:sz w:val="21"/>
          <w:szCs w:val="21"/>
          <w:color w:val="auto"/>
        </w:rPr>
        <w:t xml:space="preserve"> Revolving Credit Loans, (i) from the </w:t>
      </w:r>
      <w:r>
        <w:rPr>
          <w:rFonts w:ascii="Times New Roman" w:cs="Times New Roman" w:eastAsia="Times New Roman" w:hAnsi="Times New Roman"/>
          <w:sz w:val="21"/>
          <w:szCs w:val="21"/>
          <w:b w:val="1"/>
          <w:bCs w:val="1"/>
          <w:color w:val="FF0000"/>
          <w:strike w:val="1"/>
        </w:rPr>
        <w:t>Closing</w:t>
      </w:r>
      <w:r>
        <w:rPr>
          <w:rFonts w:ascii="Times New Roman" w:cs="Times New Roman" w:eastAsia="Times New Roman" w:hAnsi="Times New Roman"/>
          <w:sz w:val="21"/>
          <w:szCs w:val="21"/>
          <w:b w:val="1"/>
          <w:bCs w:val="1"/>
          <w:u w:val="single" w:color="auto"/>
          <w:color w:val="0000FF"/>
        </w:rPr>
        <w:t>First Amendment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0000FF"/>
        </w:rPr>
        <w:t>Effective</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Date to the date following the</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b w:val="1"/>
          <w:bCs w:val="1"/>
          <w:color w:val="FF0000"/>
          <w:strike w:val="1"/>
        </w:rPr>
        <w:t>Closing</w:t>
      </w:r>
      <w:r>
        <w:rPr>
          <w:rFonts w:ascii="Times New Roman" w:cs="Times New Roman" w:eastAsia="Times New Roman" w:hAnsi="Times New Roman"/>
          <w:sz w:val="21"/>
          <w:szCs w:val="21"/>
          <w:b w:val="1"/>
          <w:bCs w:val="1"/>
          <w:u w:val="single" w:color="auto"/>
          <w:color w:val="0000FF"/>
        </w:rPr>
        <w:t>First Amendment Effective</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Date on which a Compliance Certificate is delivered</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 xml:space="preserve">pursuant to </w:t>
      </w:r>
      <w:r>
        <w:rPr>
          <w:rFonts w:ascii="Times New Roman" w:cs="Times New Roman" w:eastAsia="Times New Roman" w:hAnsi="Times New Roman"/>
          <w:sz w:val="21"/>
          <w:szCs w:val="21"/>
          <w:u w:val="single" w:color="auto"/>
          <w:color w:val="000000"/>
        </w:rPr>
        <w:t>Section 6.02(a)</w:t>
      </w:r>
      <w:r>
        <w:rPr>
          <w:rFonts w:ascii="Times New Roman" w:cs="Times New Roman" w:eastAsia="Times New Roman" w:hAnsi="Times New Roman"/>
          <w:sz w:val="21"/>
          <w:szCs w:val="21"/>
          <w:color w:val="000000"/>
        </w:rPr>
        <w:t xml:space="preserve"> in respect of the first full fiscal quarter ending after the </w:t>
      </w:r>
      <w:r>
        <w:rPr>
          <w:rFonts w:ascii="Times New Roman" w:cs="Times New Roman" w:eastAsia="Times New Roman" w:hAnsi="Times New Roman"/>
          <w:sz w:val="21"/>
          <w:szCs w:val="21"/>
          <w:b w:val="1"/>
          <w:bCs w:val="1"/>
          <w:color w:val="FF0000"/>
          <w:strike w:val="1"/>
        </w:rPr>
        <w:t>Closing</w:t>
      </w:r>
      <w:r>
        <w:rPr>
          <w:rFonts w:ascii="Times New Roman" w:cs="Times New Roman" w:eastAsia="Times New Roman" w:hAnsi="Times New Roman"/>
          <w:sz w:val="21"/>
          <w:szCs w:val="21"/>
          <w:b w:val="1"/>
          <w:bCs w:val="1"/>
          <w:u w:val="single" w:color="auto"/>
          <w:color w:val="0000FF"/>
        </w:rPr>
        <w:t>First Amendment Effective</w:t>
      </w:r>
      <w:r>
        <w:rPr>
          <w:rFonts w:ascii="Times New Roman" w:cs="Times New Roman" w:eastAsia="Times New Roman" w:hAnsi="Times New Roman"/>
          <w:sz w:val="21"/>
          <w:szCs w:val="21"/>
          <w:color w:val="000000"/>
        </w:rPr>
        <w:t xml:space="preserve"> Date, </w:t>
      </w:r>
      <w:r>
        <w:rPr>
          <w:rFonts w:ascii="Times New Roman" w:cs="Times New Roman" w:eastAsia="Times New Roman" w:hAnsi="Times New Roman"/>
          <w:sz w:val="21"/>
          <w:szCs w:val="21"/>
          <w:b w:val="1"/>
          <w:bCs w:val="1"/>
          <w:color w:val="FF0000"/>
          <w:strike w:val="1"/>
        </w:rPr>
        <w:t>2.00</w:t>
      </w:r>
      <w:r>
        <w:rPr>
          <w:rFonts w:ascii="Times New Roman" w:cs="Times New Roman" w:eastAsia="Times New Roman" w:hAnsi="Times New Roman"/>
          <w:sz w:val="21"/>
          <w:szCs w:val="21"/>
          <w:b w:val="1"/>
          <w:bCs w:val="1"/>
          <w:u w:val="single" w:color="auto"/>
          <w:color w:val="0000FF"/>
        </w:rPr>
        <w:t>1.00</w:t>
      </w:r>
      <w:r>
        <w:rPr>
          <w:rFonts w:ascii="Times New Roman" w:cs="Times New Roman" w:eastAsia="Times New Roman" w:hAnsi="Times New Roman"/>
          <w:sz w:val="21"/>
          <w:szCs w:val="21"/>
          <w:color w:val="000000"/>
        </w:rPr>
        <w:t>% per annum for Base Rate Loans that are Revolving Credit Loans and</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b w:val="1"/>
          <w:bCs w:val="1"/>
          <w:color w:val="FF0000"/>
          <w:strike w:val="1"/>
        </w:rPr>
        <w:t>3.00</w:t>
      </w:r>
      <w:r>
        <w:rPr>
          <w:rFonts w:ascii="Times New Roman" w:cs="Times New Roman" w:eastAsia="Times New Roman" w:hAnsi="Times New Roman"/>
          <w:sz w:val="21"/>
          <w:szCs w:val="21"/>
          <w:b w:val="1"/>
          <w:bCs w:val="1"/>
          <w:u w:val="single" w:color="auto"/>
          <w:color w:val="0000FF"/>
        </w:rPr>
        <w:t>2.00</w:t>
      </w:r>
      <w:r>
        <w:rPr>
          <w:rFonts w:ascii="Times New Roman" w:cs="Times New Roman" w:eastAsia="Times New Roman" w:hAnsi="Times New Roman"/>
          <w:sz w:val="21"/>
          <w:szCs w:val="21"/>
          <w:color w:val="000000"/>
        </w:rPr>
        <w:t>% per annum for Eurodollar Rate Loans,</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color w:val="000000"/>
        </w:rPr>
        <w:t xml:space="preserve">RFR Loans and Term SOFR loans that are Revolving Credit Loans and Letter of Credit Fees and (ii) thereafter, the applicable percentage </w:t>
      </w:r>
      <w:r>
        <w:rPr>
          <w:rFonts w:ascii="Times New Roman" w:cs="Times New Roman" w:eastAsia="Times New Roman" w:hAnsi="Times New Roman"/>
          <w:sz w:val="21"/>
          <w:szCs w:val="21"/>
          <w:i w:val="1"/>
          <w:iCs w:val="1"/>
          <w:color w:val="000000"/>
        </w:rPr>
        <w:t>per annum</w:t>
      </w:r>
      <w:r>
        <w:rPr>
          <w:rFonts w:ascii="Times New Roman" w:cs="Times New Roman" w:eastAsia="Times New Roman" w:hAnsi="Times New Roman"/>
          <w:sz w:val="21"/>
          <w:szCs w:val="21"/>
          <w:color w:val="000000"/>
        </w:rPr>
        <w:t xml:space="preserve"> set forth below determined by reference to the Secured Net Leverage Ratio as set forth in the most recent Compliance Certificate received by the Administrative Agent pursuant to </w:t>
      </w:r>
      <w:r>
        <w:rPr>
          <w:rFonts w:ascii="Times New Roman" w:cs="Times New Roman" w:eastAsia="Times New Roman" w:hAnsi="Times New Roman"/>
          <w:sz w:val="21"/>
          <w:szCs w:val="21"/>
          <w:u w:val="single" w:color="auto"/>
          <w:color w:val="000000"/>
        </w:rPr>
        <w:t>Section 6.02(a</w:t>
      </w:r>
      <w:r>
        <w:rPr>
          <w:rFonts w:ascii="Times New Roman" w:cs="Times New Roman" w:eastAsia="Times New Roman" w:hAnsi="Times New Roman"/>
          <w:sz w:val="21"/>
          <w:szCs w:val="21"/>
          <w:color w:val="000000"/>
        </w:rPr>
        <w:t>):</w:t>
      </w:r>
    </w:p>
    <w:p>
      <w:pPr>
        <w:spacing w:after="0" w:line="198" w:lineRule="exact"/>
        <w:rPr>
          <w:sz w:val="20"/>
          <w:szCs w:val="20"/>
          <w:color w:val="auto"/>
        </w:rPr>
      </w:pPr>
    </w:p>
    <w:tbl>
      <w:tblPr>
        <w:tblLayout w:type="fixed"/>
        <w:tblInd w:w="550" w:type="dxa"/>
        <w:tblCellMar>
          <w:top w:w="0" w:type="dxa"/>
          <w:left w:w="0" w:type="dxa"/>
          <w:bottom w:w="0" w:type="dxa"/>
          <w:right w:w="0" w:type="dxa"/>
        </w:tblCellMar>
      </w:tblPr>
      <w:tr>
        <w:trPr>
          <w:trHeight w:val="225"/>
        </w:trPr>
        <w:tc>
          <w:tcPr>
            <w:tcW w:w="1000" w:type="dxa"/>
            <w:vAlign w:val="bottom"/>
            <w:tcBorders>
              <w:top w:val="single" w:sz="8" w:color="auto"/>
              <w:left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right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560" w:type="dxa"/>
            <w:vAlign w:val="bottom"/>
            <w:tcBorders>
              <w:top w:val="single" w:sz="8" w:color="auto"/>
              <w:right w:val="single" w:sz="8" w:color="auto"/>
            </w:tcBorders>
            <w:gridSpan w:val="2"/>
            <w:vMerge w:val="restart"/>
          </w:tcPr>
          <w:p>
            <w:pPr>
              <w:jc w:val="center"/>
              <w:ind w:right="300"/>
              <w:spacing w:after="0"/>
              <w:rPr>
                <w:sz w:val="20"/>
                <w:szCs w:val="20"/>
                <w:color w:val="auto"/>
              </w:rPr>
            </w:pPr>
            <w:r>
              <w:rPr>
                <w:rFonts w:ascii="Times New Roman" w:cs="Times New Roman" w:eastAsia="Times New Roman" w:hAnsi="Times New Roman"/>
                <w:sz w:val="21"/>
                <w:szCs w:val="21"/>
                <w:b w:val="1"/>
                <w:bCs w:val="1"/>
                <w:color w:val="auto"/>
              </w:rPr>
              <w:t>Secured Net</w:t>
            </w:r>
          </w:p>
        </w:tc>
        <w:tc>
          <w:tcPr>
            <w:tcW w:w="6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560" w:type="dxa"/>
            <w:vAlign w:val="bottom"/>
            <w:tcBorders>
              <w:top w:val="single" w:sz="8" w:color="auto"/>
              <w:right w:val="single" w:sz="8" w:color="auto"/>
            </w:tcBorders>
          </w:tcPr>
          <w:p>
            <w:pPr>
              <w:spacing w:after="0"/>
              <w:rPr>
                <w:sz w:val="19"/>
                <w:szCs w:val="19"/>
                <w:color w:val="auto"/>
              </w:rPr>
            </w:pPr>
          </w:p>
        </w:tc>
        <w:tc>
          <w:tcPr>
            <w:tcW w:w="3200" w:type="dxa"/>
            <w:vAlign w:val="bottom"/>
            <w:tcBorders>
              <w:top w:val="single" w:sz="8" w:color="auto"/>
              <w:right w:val="single" w:sz="8" w:color="auto"/>
            </w:tcBorders>
            <w:gridSpan w:val="3"/>
          </w:tcPr>
          <w:p>
            <w:pPr>
              <w:jc w:val="center"/>
              <w:ind w:right="40"/>
              <w:spacing w:after="0" w:line="225" w:lineRule="exact"/>
              <w:rPr>
                <w:sz w:val="20"/>
                <w:szCs w:val="20"/>
                <w:color w:val="auto"/>
              </w:rPr>
            </w:pPr>
            <w:r>
              <w:rPr>
                <w:rFonts w:ascii="Times New Roman" w:cs="Times New Roman" w:eastAsia="Times New Roman" w:hAnsi="Times New Roman"/>
                <w:sz w:val="21"/>
                <w:szCs w:val="21"/>
                <w:b w:val="1"/>
                <w:bCs w:val="1"/>
                <w:color w:val="auto"/>
              </w:rPr>
              <w:t>Eurodollar Rate Loans/Term</w:t>
            </w:r>
          </w:p>
        </w:tc>
        <w:tc>
          <w:tcPr>
            <w:tcW w:w="0" w:type="dxa"/>
            <w:vAlign w:val="bottom"/>
          </w:tcPr>
          <w:p>
            <w:pPr>
              <w:spacing w:after="0"/>
              <w:rPr>
                <w:sz w:val="1"/>
                <w:szCs w:val="1"/>
                <w:color w:val="auto"/>
              </w:rPr>
            </w:pPr>
          </w:p>
        </w:tc>
      </w:tr>
      <w:tr>
        <w:trPr>
          <w:trHeight w:val="212"/>
        </w:trPr>
        <w:tc>
          <w:tcPr>
            <w:tcW w:w="1360" w:type="dxa"/>
            <w:vAlign w:val="bottom"/>
            <w:tcBorders>
              <w:left w:val="single" w:sz="8" w:color="auto"/>
              <w:right w:val="single" w:sz="8" w:color="auto"/>
            </w:tcBorders>
            <w:gridSpan w:val="4"/>
            <w:vMerge w:val="restart"/>
          </w:tcPr>
          <w:p>
            <w:pPr>
              <w:ind w:left="80"/>
              <w:spacing w:after="0"/>
              <w:rPr>
                <w:sz w:val="20"/>
                <w:szCs w:val="20"/>
                <w:color w:val="auto"/>
              </w:rPr>
            </w:pPr>
            <w:r>
              <w:rPr>
                <w:rFonts w:ascii="Times New Roman" w:cs="Times New Roman" w:eastAsia="Times New Roman" w:hAnsi="Times New Roman"/>
                <w:sz w:val="21"/>
                <w:szCs w:val="21"/>
                <w:b w:val="1"/>
                <w:bCs w:val="1"/>
                <w:color w:val="auto"/>
              </w:rPr>
              <w:t>Pricing Level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Borders>
              <w:right w:val="single" w:sz="8" w:color="auto"/>
            </w:tcBorders>
            <w:gridSpan w:val="2"/>
            <w:vMerge w:val="continue"/>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Borders>
              <w:right w:val="single" w:sz="8" w:color="auto"/>
            </w:tcBorders>
            <w:gridSpan w:val="2"/>
            <w:vMerge w:val="restart"/>
          </w:tcPr>
          <w:p>
            <w:pPr>
              <w:jc w:val="right"/>
              <w:ind w:right="934"/>
              <w:spacing w:after="0"/>
              <w:rPr>
                <w:sz w:val="20"/>
                <w:szCs w:val="20"/>
                <w:color w:val="auto"/>
              </w:rPr>
            </w:pPr>
            <w:r>
              <w:rPr>
                <w:rFonts w:ascii="Times New Roman" w:cs="Times New Roman" w:eastAsia="Times New Roman" w:hAnsi="Times New Roman"/>
                <w:sz w:val="21"/>
                <w:szCs w:val="21"/>
                <w:b w:val="1"/>
                <w:bCs w:val="1"/>
                <w:color w:val="auto"/>
              </w:rPr>
              <w:t>Base Rate</w:t>
            </w:r>
          </w:p>
        </w:tc>
        <w:tc>
          <w:tcPr>
            <w:tcW w:w="3200" w:type="dxa"/>
            <w:vAlign w:val="bottom"/>
            <w:tcBorders>
              <w:right w:val="single" w:sz="8" w:color="auto"/>
            </w:tcBorders>
            <w:gridSpan w:val="3"/>
          </w:tcPr>
          <w:p>
            <w:pPr>
              <w:jc w:val="center"/>
              <w:ind w:right="40"/>
              <w:spacing w:after="0" w:line="212" w:lineRule="exact"/>
              <w:rPr>
                <w:sz w:val="20"/>
                <w:szCs w:val="20"/>
                <w:color w:val="auto"/>
              </w:rPr>
            </w:pPr>
            <w:r>
              <w:rPr>
                <w:rFonts w:ascii="Times New Roman" w:cs="Times New Roman" w:eastAsia="Times New Roman" w:hAnsi="Times New Roman"/>
                <w:sz w:val="21"/>
                <w:szCs w:val="21"/>
                <w:b w:val="1"/>
                <w:bCs w:val="1"/>
                <w:color w:val="auto"/>
              </w:rPr>
              <w:t>SOFR/RFR Loans/Letters of</w:t>
            </w:r>
          </w:p>
        </w:tc>
        <w:tc>
          <w:tcPr>
            <w:tcW w:w="0" w:type="dxa"/>
            <w:vAlign w:val="bottom"/>
          </w:tcPr>
          <w:p>
            <w:pPr>
              <w:spacing w:after="0"/>
              <w:rPr>
                <w:sz w:val="1"/>
                <w:szCs w:val="1"/>
                <w:color w:val="auto"/>
              </w:rPr>
            </w:pPr>
          </w:p>
        </w:tc>
      </w:tr>
      <w:tr>
        <w:trPr>
          <w:trHeight w:val="278"/>
        </w:trPr>
        <w:tc>
          <w:tcPr>
            <w:tcW w:w="1360" w:type="dxa"/>
            <w:vAlign w:val="bottom"/>
            <w:tcBorders>
              <w:left w:val="single" w:sz="8" w:color="auto"/>
              <w:bottom w:val="single" w:sz="8" w:color="auto"/>
              <w:right w:val="single" w:sz="8" w:color="auto"/>
            </w:tcBorders>
            <w:gridSpan w:val="4"/>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80" w:type="dxa"/>
            <w:vAlign w:val="bottom"/>
            <w:tcBorders>
              <w:bottom w:val="single" w:sz="8" w:color="auto"/>
              <w:right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21"/>
                <w:szCs w:val="21"/>
                <w:b w:val="1"/>
                <w:bCs w:val="1"/>
                <w:color w:val="auto"/>
              </w:rPr>
              <w:t>Leverage Ratio</w:t>
            </w: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60" w:type="dxa"/>
            <w:vAlign w:val="bottom"/>
            <w:tcBorders>
              <w:bottom w:val="single" w:sz="8" w:color="auto"/>
              <w:right w:val="single" w:sz="8" w:color="auto"/>
            </w:tcBorders>
            <w:gridSpan w:val="2"/>
            <w:vMerge w:val="continue"/>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360" w:type="dxa"/>
            <w:vAlign w:val="bottom"/>
            <w:tcBorders>
              <w:bottom w:val="single" w:sz="8" w:color="auto"/>
              <w:right w:val="single" w:sz="8" w:color="auto"/>
            </w:tcBorders>
            <w:gridSpan w:val="2"/>
          </w:tcPr>
          <w:p>
            <w:pPr>
              <w:jc w:val="center"/>
              <w:ind w:right="880"/>
              <w:spacing w:after="0"/>
              <w:rPr>
                <w:sz w:val="20"/>
                <w:szCs w:val="20"/>
                <w:color w:val="auto"/>
              </w:rPr>
            </w:pPr>
            <w:r>
              <w:rPr>
                <w:rFonts w:ascii="Times New Roman" w:cs="Times New Roman" w:eastAsia="Times New Roman" w:hAnsi="Times New Roman"/>
                <w:sz w:val="21"/>
                <w:szCs w:val="21"/>
                <w:b w:val="1"/>
                <w:bCs w:val="1"/>
                <w:color w:val="auto"/>
              </w:rPr>
              <w:t>Credit</w:t>
            </w:r>
          </w:p>
        </w:tc>
        <w:tc>
          <w:tcPr>
            <w:tcW w:w="0" w:type="dxa"/>
            <w:vAlign w:val="bottom"/>
          </w:tcPr>
          <w:p>
            <w:pPr>
              <w:spacing w:after="0"/>
              <w:rPr>
                <w:sz w:val="1"/>
                <w:szCs w:val="1"/>
                <w:color w:val="auto"/>
              </w:rPr>
            </w:pPr>
          </w:p>
        </w:tc>
      </w:tr>
      <w:tr>
        <w:trPr>
          <w:trHeight w:val="205"/>
        </w:trPr>
        <w:tc>
          <w:tcPr>
            <w:tcW w:w="1000" w:type="dxa"/>
            <w:vAlign w:val="bottom"/>
            <w:tcBorders>
              <w:left w:val="single" w:sz="8" w:color="auto"/>
              <w:right w:val="single" w:sz="8" w:color="auto"/>
            </w:tcBorders>
          </w:tcPr>
          <w:p>
            <w:pPr>
              <w:jc w:val="right"/>
              <w:ind w:right="334"/>
              <w:spacing w:after="0" w:line="205" w:lineRule="exact"/>
              <w:rPr>
                <w:sz w:val="20"/>
                <w:szCs w:val="20"/>
                <w:color w:val="auto"/>
              </w:rPr>
            </w:pPr>
            <w:r>
              <w:rPr>
                <w:rFonts w:ascii="Times New Roman" w:cs="Times New Roman" w:eastAsia="Times New Roman" w:hAnsi="Times New Roman"/>
                <w:sz w:val="21"/>
                <w:szCs w:val="21"/>
                <w:color w:val="auto"/>
              </w:rPr>
              <w:t>1</w:t>
            </w:r>
          </w:p>
        </w:tc>
        <w:tc>
          <w:tcPr>
            <w:tcW w:w="80" w:type="dxa"/>
            <w:vAlign w:val="bottom"/>
          </w:tcPr>
          <w:p>
            <w:pPr>
              <w:spacing w:after="0"/>
              <w:rPr>
                <w:sz w:val="17"/>
                <w:szCs w:val="17"/>
                <w:color w:val="auto"/>
              </w:rPr>
            </w:pPr>
          </w:p>
        </w:tc>
        <w:tc>
          <w:tcPr>
            <w:tcW w:w="1280" w:type="dxa"/>
            <w:vAlign w:val="bottom"/>
            <w:tcBorders>
              <w:right w:val="single" w:sz="8" w:color="auto"/>
            </w:tcBorders>
            <w:gridSpan w:val="5"/>
          </w:tcPr>
          <w:p>
            <w:pPr>
              <w:jc w:val="center"/>
              <w:spacing w:after="0" w:line="205" w:lineRule="exact"/>
              <w:rPr>
                <w:sz w:val="20"/>
                <w:szCs w:val="20"/>
                <w:color w:val="auto"/>
              </w:rPr>
            </w:pPr>
            <w:r>
              <w:rPr>
                <w:rFonts w:ascii="Times New Roman" w:cs="Times New Roman" w:eastAsia="Times New Roman" w:hAnsi="Times New Roman"/>
                <w:sz w:val="21"/>
                <w:szCs w:val="21"/>
                <w:color w:val="auto"/>
              </w:rPr>
              <w:t>&gt; 3.50 to 1.00</w:t>
            </w:r>
          </w:p>
        </w:tc>
        <w:tc>
          <w:tcPr>
            <w:tcW w:w="800" w:type="dxa"/>
            <w:vAlign w:val="bottom"/>
            <w:tcBorders>
              <w:bottom w:val="single" w:sz="8" w:color="CCCCFF"/>
              <w:right w:val="single" w:sz="8" w:color="CCCCFF"/>
            </w:tcBorders>
            <w:shd w:val="clear" w:color="auto" w:fill="CCCCFF"/>
          </w:tcPr>
          <w:p>
            <w:pPr>
              <w:spacing w:after="0"/>
              <w:rPr>
                <w:sz w:val="17"/>
                <w:szCs w:val="17"/>
                <w:color w:val="auto"/>
              </w:rPr>
            </w:pPr>
          </w:p>
        </w:tc>
        <w:tc>
          <w:tcPr>
            <w:tcW w:w="600" w:type="dxa"/>
            <w:vAlign w:val="bottom"/>
            <w:tcBorders>
              <w:bottom w:val="single" w:sz="8" w:color="0000FF"/>
            </w:tcBorders>
            <w:shd w:val="clear" w:color="auto" w:fill="CCCCFF"/>
          </w:tcPr>
          <w:p>
            <w:pPr>
              <w:jc w:val="right"/>
              <w:spacing w:after="0" w:line="192" w:lineRule="exact"/>
              <w:rPr>
                <w:sz w:val="20"/>
                <w:szCs w:val="20"/>
                <w:color w:val="auto"/>
              </w:rPr>
            </w:pPr>
            <w:r>
              <w:rPr>
                <w:rFonts w:ascii="Times New Roman" w:cs="Times New Roman" w:eastAsia="Times New Roman" w:hAnsi="Times New Roman"/>
                <w:sz w:val="21"/>
                <w:szCs w:val="21"/>
                <w:b w:val="1"/>
                <w:bCs w:val="1"/>
                <w:color w:val="0000FF"/>
              </w:rPr>
              <w:t>1.75%</w:t>
            </w:r>
          </w:p>
        </w:tc>
        <w:tc>
          <w:tcPr>
            <w:tcW w:w="220" w:type="dxa"/>
            <w:vAlign w:val="bottom"/>
            <w:tcBorders>
              <w:bottom w:val="single" w:sz="8" w:color="CCCCFF"/>
            </w:tcBorders>
            <w:shd w:val="clear" w:color="auto" w:fill="CCCCFF"/>
          </w:tcPr>
          <w:p>
            <w:pPr>
              <w:spacing w:after="0"/>
              <w:rPr>
                <w:sz w:val="17"/>
                <w:szCs w:val="17"/>
                <w:color w:val="auto"/>
              </w:rPr>
            </w:pPr>
          </w:p>
        </w:tc>
        <w:tc>
          <w:tcPr>
            <w:tcW w:w="600" w:type="dxa"/>
            <w:vAlign w:val="bottom"/>
            <w:tcBorders>
              <w:bottom w:val="single" w:sz="8" w:color="CCCCFF"/>
              <w:right w:val="single" w:sz="8" w:color="auto"/>
            </w:tcBorders>
            <w:shd w:val="clear" w:color="auto" w:fill="CCCCFF"/>
          </w:tcPr>
          <w:p>
            <w:pPr>
              <w:spacing w:after="0"/>
              <w:rPr>
                <w:sz w:val="17"/>
                <w:szCs w:val="17"/>
                <w:color w:val="auto"/>
              </w:rPr>
            </w:pPr>
          </w:p>
        </w:tc>
        <w:tc>
          <w:tcPr>
            <w:tcW w:w="1560" w:type="dxa"/>
            <w:vAlign w:val="bottom"/>
          </w:tcPr>
          <w:p>
            <w:pPr>
              <w:jc w:val="right"/>
              <w:spacing w:after="0" w:line="205" w:lineRule="exact"/>
              <w:rPr>
                <w:sz w:val="20"/>
                <w:szCs w:val="20"/>
                <w:color w:val="auto"/>
              </w:rPr>
            </w:pPr>
            <w:r>
              <w:rPr>
                <w:rFonts w:ascii="Times New Roman" w:cs="Times New Roman" w:eastAsia="Times New Roman" w:hAnsi="Times New Roman"/>
                <w:sz w:val="21"/>
                <w:szCs w:val="21"/>
                <w:color w:val="auto"/>
              </w:rPr>
              <w:t>2.75%</w:t>
            </w:r>
          </w:p>
        </w:tc>
        <w:tc>
          <w:tcPr>
            <w:tcW w:w="840" w:type="dxa"/>
            <w:vAlign w:val="bottom"/>
            <w:tcBorders>
              <w:right w:val="single" w:sz="8" w:color="auto"/>
            </w:tcBorders>
          </w:tcPr>
          <w:p>
            <w:pPr>
              <w:spacing w:after="0"/>
              <w:rPr>
                <w:sz w:val="17"/>
                <w:szCs w:val="17"/>
                <w:color w:val="auto"/>
              </w:rPr>
            </w:pPr>
          </w:p>
        </w:tc>
        <w:tc>
          <w:tcPr>
            <w:tcW w:w="1440" w:type="dxa"/>
            <w:vAlign w:val="bottom"/>
            <w:tcBorders>
              <w:bottom w:val="single" w:sz="8" w:color="FFCCCC"/>
            </w:tcBorders>
            <w:shd w:val="clear" w:color="auto" w:fill="FFCCCC"/>
          </w:tcPr>
          <w:p>
            <w:pPr>
              <w:jc w:val="right"/>
              <w:spacing w:after="0" w:line="205" w:lineRule="exact"/>
              <w:rPr>
                <w:sz w:val="20"/>
                <w:szCs w:val="20"/>
                <w:color w:val="auto"/>
              </w:rPr>
            </w:pPr>
            <w:r>
              <w:rPr>
                <w:rFonts w:ascii="Times New Roman" w:cs="Times New Roman" w:eastAsia="Times New Roman" w:hAnsi="Times New Roman"/>
                <w:sz w:val="21"/>
                <w:szCs w:val="21"/>
                <w:b w:val="1"/>
                <w:bCs w:val="1"/>
                <w:color w:val="FF0000"/>
                <w:strike w:val="1"/>
              </w:rPr>
              <w:t>3.75%</w:t>
            </w:r>
          </w:p>
        </w:tc>
        <w:tc>
          <w:tcPr>
            <w:tcW w:w="920" w:type="dxa"/>
            <w:vAlign w:val="bottom"/>
            <w:tcBorders>
              <w:bottom w:val="single" w:sz="8" w:color="FFCCCC"/>
              <w:right w:val="single" w:sz="8" w:color="auto"/>
            </w:tcBorders>
            <w:shd w:val="clear" w:color="auto" w:fill="FFCCCC"/>
          </w:tcPr>
          <w:p>
            <w:pPr>
              <w:spacing w:after="0"/>
              <w:rPr>
                <w:sz w:val="17"/>
                <w:szCs w:val="17"/>
                <w:color w:val="auto"/>
              </w:rPr>
            </w:pPr>
          </w:p>
        </w:tc>
        <w:tc>
          <w:tcPr>
            <w:tcW w:w="0" w:type="dxa"/>
            <w:vAlign w:val="bottom"/>
          </w:tcPr>
          <w:p>
            <w:pPr>
              <w:spacing w:after="0"/>
              <w:rPr>
                <w:sz w:val="1"/>
                <w:szCs w:val="1"/>
                <w:color w:val="auto"/>
              </w:rPr>
            </w:pPr>
          </w:p>
        </w:tc>
      </w:tr>
      <w:tr>
        <w:trPr>
          <w:trHeight w:val="73"/>
        </w:trPr>
        <w:tc>
          <w:tcPr>
            <w:tcW w:w="1000" w:type="dxa"/>
            <w:vAlign w:val="bottom"/>
            <w:tcBorders>
              <w:left w:val="single" w:sz="8" w:color="auto"/>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800" w:type="dxa"/>
            <w:vAlign w:val="bottom"/>
            <w:tcBorders>
              <w:bottom w:val="single" w:sz="8" w:color="CCCCFF"/>
              <w:right w:val="single" w:sz="8" w:color="CCCCFF"/>
            </w:tcBorders>
            <w:shd w:val="clear" w:color="auto" w:fill="CCCCFF"/>
          </w:tcPr>
          <w:p>
            <w:pPr>
              <w:spacing w:after="0"/>
              <w:rPr>
                <w:sz w:val="6"/>
                <w:szCs w:val="6"/>
                <w:color w:val="auto"/>
              </w:rPr>
            </w:pPr>
          </w:p>
        </w:tc>
        <w:tc>
          <w:tcPr>
            <w:tcW w:w="600" w:type="dxa"/>
            <w:vAlign w:val="bottom"/>
            <w:tcBorders>
              <w:bottom w:val="single" w:sz="8" w:color="CCCCFF"/>
            </w:tcBorders>
            <w:shd w:val="clear" w:color="auto" w:fill="CCCCFF"/>
          </w:tcPr>
          <w:p>
            <w:pPr>
              <w:spacing w:after="0"/>
              <w:rPr>
                <w:sz w:val="6"/>
                <w:szCs w:val="6"/>
                <w:color w:val="auto"/>
              </w:rPr>
            </w:pPr>
          </w:p>
        </w:tc>
        <w:tc>
          <w:tcPr>
            <w:tcW w:w="220" w:type="dxa"/>
            <w:vAlign w:val="bottom"/>
            <w:tcBorders>
              <w:bottom w:val="single" w:sz="8" w:color="CCCCFF"/>
            </w:tcBorders>
            <w:shd w:val="clear" w:color="auto" w:fill="CCCCFF"/>
          </w:tcPr>
          <w:p>
            <w:pPr>
              <w:spacing w:after="0"/>
              <w:rPr>
                <w:sz w:val="6"/>
                <w:szCs w:val="6"/>
                <w:color w:val="auto"/>
              </w:rPr>
            </w:pPr>
          </w:p>
        </w:tc>
        <w:tc>
          <w:tcPr>
            <w:tcW w:w="600" w:type="dxa"/>
            <w:vAlign w:val="bottom"/>
            <w:tcBorders>
              <w:bottom w:val="single" w:sz="8" w:color="CCCCFF"/>
              <w:right w:val="single" w:sz="8" w:color="auto"/>
            </w:tcBorders>
            <w:shd w:val="clear" w:color="auto" w:fill="CCCCFF"/>
          </w:tcPr>
          <w:p>
            <w:pPr>
              <w:spacing w:after="0"/>
              <w:rPr>
                <w:sz w:val="6"/>
                <w:szCs w:val="6"/>
                <w:color w:val="auto"/>
              </w:rPr>
            </w:pPr>
          </w:p>
        </w:tc>
        <w:tc>
          <w:tcPr>
            <w:tcW w:w="1560" w:type="dxa"/>
            <w:vAlign w:val="bottom"/>
          </w:tcPr>
          <w:p>
            <w:pPr>
              <w:spacing w:after="0"/>
              <w:rPr>
                <w:sz w:val="6"/>
                <w:szCs w:val="6"/>
                <w:color w:val="auto"/>
              </w:rPr>
            </w:pPr>
          </w:p>
        </w:tc>
        <w:tc>
          <w:tcPr>
            <w:tcW w:w="840" w:type="dxa"/>
            <w:vAlign w:val="bottom"/>
            <w:tcBorders>
              <w:right w:val="single" w:sz="8" w:color="auto"/>
            </w:tcBorders>
          </w:tcPr>
          <w:p>
            <w:pPr>
              <w:spacing w:after="0"/>
              <w:rPr>
                <w:sz w:val="6"/>
                <w:szCs w:val="6"/>
                <w:color w:val="auto"/>
              </w:rPr>
            </w:pPr>
          </w:p>
        </w:tc>
        <w:tc>
          <w:tcPr>
            <w:tcW w:w="1440" w:type="dxa"/>
            <w:vAlign w:val="bottom"/>
            <w:tcBorders>
              <w:bottom w:val="single" w:sz="8" w:color="FFCCCC"/>
            </w:tcBorders>
            <w:shd w:val="clear" w:color="auto" w:fill="FFCCCC"/>
          </w:tcPr>
          <w:p>
            <w:pPr>
              <w:spacing w:after="0"/>
              <w:rPr>
                <w:sz w:val="6"/>
                <w:szCs w:val="6"/>
                <w:color w:val="auto"/>
              </w:rPr>
            </w:pPr>
          </w:p>
        </w:tc>
        <w:tc>
          <w:tcPr>
            <w:tcW w:w="920" w:type="dxa"/>
            <w:vAlign w:val="bottom"/>
            <w:tcBorders>
              <w:bottom w:val="single" w:sz="8" w:color="FFCCCC"/>
              <w:right w:val="single" w:sz="8" w:color="auto"/>
            </w:tcBorders>
            <w:shd w:val="clear" w:color="auto" w:fill="FFCCCC"/>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1000" w:type="dxa"/>
            <w:vAlign w:val="bottom"/>
            <w:tcBorders>
              <w:top w:val="single" w:sz="8" w:color="auto"/>
              <w:left w:val="single" w:sz="8" w:color="auto"/>
              <w:bottom w:val="single" w:sz="8" w:color="auto"/>
              <w:right w:val="single" w:sz="8" w:color="auto"/>
            </w:tcBorders>
          </w:tcPr>
          <w:p>
            <w:pPr>
              <w:jc w:val="right"/>
              <w:ind w:right="334"/>
              <w:spacing w:after="0" w:line="205" w:lineRule="exact"/>
              <w:rPr>
                <w:sz w:val="20"/>
                <w:szCs w:val="20"/>
                <w:color w:val="auto"/>
              </w:rPr>
            </w:pPr>
            <w:r>
              <w:rPr>
                <w:rFonts w:ascii="Times New Roman" w:cs="Times New Roman" w:eastAsia="Times New Roman" w:hAnsi="Times New Roman"/>
                <w:sz w:val="21"/>
                <w:szCs w:val="21"/>
                <w:color w:val="auto"/>
              </w:rPr>
              <w:t>2</w:t>
            </w:r>
          </w:p>
        </w:tc>
        <w:tc>
          <w:tcPr>
            <w:tcW w:w="80" w:type="dxa"/>
            <w:vAlign w:val="bottom"/>
            <w:tcBorders>
              <w:top w:val="single" w:sz="8" w:color="auto"/>
            </w:tcBorders>
          </w:tcPr>
          <w:p>
            <w:pPr>
              <w:spacing w:after="0"/>
              <w:rPr>
                <w:sz w:val="17"/>
                <w:szCs w:val="17"/>
                <w:color w:val="auto"/>
              </w:rPr>
            </w:pPr>
          </w:p>
        </w:tc>
        <w:tc>
          <w:tcPr>
            <w:tcW w:w="1280" w:type="dxa"/>
            <w:vAlign w:val="bottom"/>
            <w:tcBorders>
              <w:top w:val="single" w:sz="8" w:color="auto"/>
              <w:bottom w:val="single" w:sz="8" w:color="auto"/>
              <w:right w:val="single" w:sz="8" w:color="auto"/>
            </w:tcBorders>
            <w:gridSpan w:val="5"/>
          </w:tcPr>
          <w:p>
            <w:pPr>
              <w:jc w:val="center"/>
              <w:spacing w:after="0" w:line="205" w:lineRule="exact"/>
              <w:rPr>
                <w:sz w:val="20"/>
                <w:szCs w:val="20"/>
                <w:color w:val="auto"/>
              </w:rPr>
            </w:pPr>
            <w:r>
              <w:rPr>
                <w:rFonts w:ascii="Times New Roman" w:cs="Times New Roman" w:eastAsia="Times New Roman" w:hAnsi="Times New Roman"/>
                <w:sz w:val="21"/>
                <w:szCs w:val="21"/>
                <w:color w:val="auto"/>
              </w:rPr>
              <w:t>&lt; 3.50 to 1.00</w:t>
            </w:r>
          </w:p>
        </w:tc>
        <w:tc>
          <w:tcPr>
            <w:tcW w:w="800" w:type="dxa"/>
            <w:vAlign w:val="bottom"/>
            <w:tcBorders>
              <w:top w:val="single" w:sz="8" w:color="auto"/>
              <w:bottom w:val="single" w:sz="8" w:color="CCCCFF"/>
              <w:right w:val="single" w:sz="8" w:color="CCCCFF"/>
            </w:tcBorders>
            <w:shd w:val="clear" w:color="auto" w:fill="CCCCFF"/>
          </w:tcPr>
          <w:p>
            <w:pPr>
              <w:spacing w:after="0"/>
              <w:rPr>
                <w:sz w:val="17"/>
                <w:szCs w:val="17"/>
                <w:color w:val="auto"/>
              </w:rPr>
            </w:pPr>
          </w:p>
        </w:tc>
        <w:tc>
          <w:tcPr>
            <w:tcW w:w="600" w:type="dxa"/>
            <w:vAlign w:val="bottom"/>
            <w:tcBorders>
              <w:top w:val="single" w:sz="8" w:color="auto"/>
              <w:bottom w:val="single" w:sz="8" w:color="0000FF"/>
            </w:tcBorders>
            <w:shd w:val="clear" w:color="auto" w:fill="CCCCFF"/>
          </w:tcPr>
          <w:p>
            <w:pPr>
              <w:jc w:val="right"/>
              <w:spacing w:after="0" w:line="192" w:lineRule="exact"/>
              <w:rPr>
                <w:sz w:val="20"/>
                <w:szCs w:val="20"/>
                <w:color w:val="auto"/>
              </w:rPr>
            </w:pPr>
            <w:r>
              <w:rPr>
                <w:rFonts w:ascii="Times New Roman" w:cs="Times New Roman" w:eastAsia="Times New Roman" w:hAnsi="Times New Roman"/>
                <w:sz w:val="21"/>
                <w:szCs w:val="21"/>
                <w:b w:val="1"/>
                <w:bCs w:val="1"/>
                <w:color w:val="0000FF"/>
              </w:rPr>
              <w:t>1.50%</w:t>
            </w:r>
          </w:p>
        </w:tc>
        <w:tc>
          <w:tcPr>
            <w:tcW w:w="220" w:type="dxa"/>
            <w:vAlign w:val="bottom"/>
            <w:tcBorders>
              <w:top w:val="single" w:sz="8" w:color="auto"/>
              <w:bottom w:val="single" w:sz="8" w:color="auto"/>
            </w:tcBorders>
            <w:shd w:val="clear" w:color="auto" w:fill="CCCCFF"/>
          </w:tcPr>
          <w:p>
            <w:pPr>
              <w:spacing w:after="0"/>
              <w:rPr>
                <w:sz w:val="17"/>
                <w:szCs w:val="17"/>
                <w:color w:val="auto"/>
              </w:rPr>
            </w:pPr>
          </w:p>
        </w:tc>
        <w:tc>
          <w:tcPr>
            <w:tcW w:w="600" w:type="dxa"/>
            <w:vAlign w:val="bottom"/>
            <w:tcBorders>
              <w:top w:val="single" w:sz="8" w:color="auto"/>
              <w:bottom w:val="single" w:sz="8" w:color="CCCCFF"/>
              <w:right w:val="single" w:sz="8" w:color="auto"/>
            </w:tcBorders>
            <w:shd w:val="clear" w:color="auto" w:fill="CCCCFF"/>
          </w:tcPr>
          <w:p>
            <w:pPr>
              <w:spacing w:after="0"/>
              <w:rPr>
                <w:sz w:val="17"/>
                <w:szCs w:val="17"/>
                <w:color w:val="auto"/>
              </w:rPr>
            </w:pPr>
          </w:p>
        </w:tc>
        <w:tc>
          <w:tcPr>
            <w:tcW w:w="156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21"/>
                <w:szCs w:val="21"/>
                <w:color w:val="auto"/>
              </w:rPr>
              <w:t>2.50%</w:t>
            </w:r>
          </w:p>
        </w:tc>
        <w:tc>
          <w:tcPr>
            <w:tcW w:w="840" w:type="dxa"/>
            <w:vAlign w:val="bottom"/>
            <w:tcBorders>
              <w:top w:val="single" w:sz="8" w:color="auto"/>
              <w:right w:val="single" w:sz="8" w:color="auto"/>
            </w:tcBorders>
          </w:tcPr>
          <w:p>
            <w:pPr>
              <w:spacing w:after="0"/>
              <w:rPr>
                <w:sz w:val="17"/>
                <w:szCs w:val="17"/>
                <w:color w:val="auto"/>
              </w:rPr>
            </w:pPr>
          </w:p>
        </w:tc>
        <w:tc>
          <w:tcPr>
            <w:tcW w:w="1440" w:type="dxa"/>
            <w:vAlign w:val="bottom"/>
            <w:tcBorders>
              <w:top w:val="single" w:sz="8" w:color="auto"/>
              <w:bottom w:val="single" w:sz="8" w:color="auto"/>
            </w:tcBorders>
            <w:shd w:val="clear" w:color="auto" w:fill="FFCCCC"/>
          </w:tcPr>
          <w:p>
            <w:pPr>
              <w:jc w:val="right"/>
              <w:spacing w:after="0" w:line="205" w:lineRule="exact"/>
              <w:rPr>
                <w:sz w:val="20"/>
                <w:szCs w:val="20"/>
                <w:color w:val="auto"/>
              </w:rPr>
            </w:pPr>
            <w:r>
              <w:rPr>
                <w:rFonts w:ascii="Times New Roman" w:cs="Times New Roman" w:eastAsia="Times New Roman" w:hAnsi="Times New Roman"/>
                <w:sz w:val="21"/>
                <w:szCs w:val="21"/>
                <w:b w:val="1"/>
                <w:bCs w:val="1"/>
                <w:color w:val="FF0000"/>
                <w:strike w:val="1"/>
              </w:rPr>
              <w:t>3.50%</w:t>
            </w:r>
          </w:p>
        </w:tc>
        <w:tc>
          <w:tcPr>
            <w:tcW w:w="920" w:type="dxa"/>
            <w:vAlign w:val="bottom"/>
            <w:tcBorders>
              <w:top w:val="single" w:sz="8" w:color="auto"/>
              <w:bottom w:val="single" w:sz="8" w:color="FFCCCC"/>
              <w:right w:val="single" w:sz="8" w:color="auto"/>
            </w:tcBorders>
            <w:shd w:val="clear" w:color="auto" w:fill="FFCCCC"/>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000" w:type="dxa"/>
            <w:vAlign w:val="bottom"/>
            <w:tcBorders>
              <w:left w:val="single" w:sz="8" w:color="auto"/>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80" w:type="dxa"/>
            <w:vAlign w:val="bottom"/>
            <w:tcBorders>
              <w:right w:val="single" w:sz="8" w:color="auto"/>
            </w:tcBorders>
            <w:gridSpan w:val="5"/>
          </w:tcPr>
          <w:p>
            <w:pPr>
              <w:jc w:val="center"/>
              <w:spacing w:after="0"/>
              <w:rPr>
                <w:sz w:val="20"/>
                <w:szCs w:val="20"/>
                <w:color w:val="auto"/>
              </w:rPr>
            </w:pPr>
            <w:r>
              <w:rPr>
                <w:rFonts w:ascii="Times New Roman" w:cs="Times New Roman" w:eastAsia="Times New Roman" w:hAnsi="Times New Roman"/>
                <w:sz w:val="21"/>
                <w:szCs w:val="21"/>
                <w:color w:val="auto"/>
              </w:rPr>
              <w:t>and &gt; 2.50 to</w:t>
            </w:r>
          </w:p>
        </w:tc>
        <w:tc>
          <w:tcPr>
            <w:tcW w:w="800" w:type="dxa"/>
            <w:vAlign w:val="bottom"/>
            <w:tcBorders>
              <w:right w:val="single" w:sz="8" w:color="CCCCFF"/>
            </w:tcBorders>
            <w:shd w:val="clear" w:color="auto" w:fill="CCCCFF"/>
          </w:tcPr>
          <w:p>
            <w:pPr>
              <w:spacing w:after="0"/>
              <w:rPr>
                <w:sz w:val="22"/>
                <w:szCs w:val="22"/>
                <w:color w:val="auto"/>
              </w:rPr>
            </w:pPr>
          </w:p>
        </w:tc>
        <w:tc>
          <w:tcPr>
            <w:tcW w:w="600" w:type="dxa"/>
            <w:vAlign w:val="bottom"/>
            <w:shd w:val="clear" w:color="auto" w:fill="CCCCFF"/>
          </w:tcPr>
          <w:p>
            <w:pPr>
              <w:spacing w:after="0"/>
              <w:rPr>
                <w:sz w:val="22"/>
                <w:szCs w:val="22"/>
                <w:color w:val="auto"/>
              </w:rPr>
            </w:pPr>
          </w:p>
        </w:tc>
        <w:tc>
          <w:tcPr>
            <w:tcW w:w="220" w:type="dxa"/>
            <w:vAlign w:val="bottom"/>
            <w:shd w:val="clear" w:color="auto" w:fill="CCCCFF"/>
          </w:tcPr>
          <w:p>
            <w:pPr>
              <w:spacing w:after="0"/>
              <w:rPr>
                <w:sz w:val="22"/>
                <w:szCs w:val="22"/>
                <w:color w:val="auto"/>
              </w:rPr>
            </w:pPr>
          </w:p>
        </w:tc>
        <w:tc>
          <w:tcPr>
            <w:tcW w:w="600" w:type="dxa"/>
            <w:vAlign w:val="bottom"/>
            <w:tcBorders>
              <w:right w:val="single" w:sz="8" w:color="auto"/>
            </w:tcBorders>
            <w:shd w:val="clear" w:color="auto" w:fill="CCCCFF"/>
          </w:tcPr>
          <w:p>
            <w:pPr>
              <w:spacing w:after="0"/>
              <w:rPr>
                <w:sz w:val="22"/>
                <w:szCs w:val="22"/>
                <w:color w:val="auto"/>
              </w:rPr>
            </w:pPr>
          </w:p>
        </w:tc>
        <w:tc>
          <w:tcPr>
            <w:tcW w:w="1560" w:type="dxa"/>
            <w:vAlign w:val="bottom"/>
          </w:tcPr>
          <w:p>
            <w:pPr>
              <w:spacing w:after="0"/>
              <w:rPr>
                <w:sz w:val="22"/>
                <w:szCs w:val="22"/>
                <w:color w:val="auto"/>
              </w:rPr>
            </w:pPr>
          </w:p>
        </w:tc>
        <w:tc>
          <w:tcPr>
            <w:tcW w:w="840" w:type="dxa"/>
            <w:vAlign w:val="bottom"/>
            <w:tcBorders>
              <w:right w:val="single" w:sz="8" w:color="auto"/>
            </w:tcBorders>
          </w:tcPr>
          <w:p>
            <w:pPr>
              <w:spacing w:after="0"/>
              <w:rPr>
                <w:sz w:val="22"/>
                <w:szCs w:val="22"/>
                <w:color w:val="auto"/>
              </w:rPr>
            </w:pPr>
          </w:p>
        </w:tc>
        <w:tc>
          <w:tcPr>
            <w:tcW w:w="1440" w:type="dxa"/>
            <w:vAlign w:val="bottom"/>
            <w:shd w:val="clear" w:color="auto" w:fill="FFCCCC"/>
          </w:tcPr>
          <w:p>
            <w:pPr>
              <w:spacing w:after="0"/>
              <w:rPr>
                <w:sz w:val="22"/>
                <w:szCs w:val="22"/>
                <w:color w:val="auto"/>
              </w:rPr>
            </w:pPr>
          </w:p>
        </w:tc>
        <w:tc>
          <w:tcPr>
            <w:tcW w:w="920" w:type="dxa"/>
            <w:vAlign w:val="bottom"/>
            <w:tcBorders>
              <w:right w:val="single" w:sz="8" w:color="auto"/>
            </w:tcBorders>
            <w:shd w:val="clear" w:color="auto" w:fill="FFCCC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00" w:type="dxa"/>
            <w:vAlign w:val="bottom"/>
            <w:tcBorders>
              <w:left w:val="single" w:sz="8" w:color="auto"/>
              <w:right w:val="single" w:sz="8" w:color="auto"/>
            </w:tcBorders>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tcPr>
          <w:p>
            <w:pPr>
              <w:spacing w:after="0" w:line="20" w:lineRule="exact"/>
              <w:rPr>
                <w:sz w:val="1"/>
                <w:szCs w:val="1"/>
                <w:color w:val="auto"/>
              </w:rPr>
            </w:pPr>
          </w:p>
        </w:tc>
        <w:tc>
          <w:tcPr>
            <w:tcW w:w="800" w:type="dxa"/>
            <w:vAlign w:val="bottom"/>
            <w:tcBorders>
              <w:right w:val="single" w:sz="8" w:color="CCCCFF"/>
            </w:tcBorders>
            <w:shd w:val="clear" w:color="auto" w:fill="CCCCFF"/>
          </w:tcPr>
          <w:p>
            <w:pPr>
              <w:spacing w:after="0" w:line="20" w:lineRule="exact"/>
              <w:rPr>
                <w:sz w:val="1"/>
                <w:szCs w:val="1"/>
                <w:color w:val="auto"/>
              </w:rPr>
            </w:pPr>
          </w:p>
        </w:tc>
        <w:tc>
          <w:tcPr>
            <w:tcW w:w="600" w:type="dxa"/>
            <w:vAlign w:val="bottom"/>
            <w:shd w:val="clear" w:color="auto" w:fill="CCCCFF"/>
          </w:tcPr>
          <w:p>
            <w:pPr>
              <w:spacing w:after="0" w:line="20" w:lineRule="exact"/>
              <w:rPr>
                <w:sz w:val="1"/>
                <w:szCs w:val="1"/>
                <w:color w:val="auto"/>
              </w:rPr>
            </w:pPr>
          </w:p>
        </w:tc>
        <w:tc>
          <w:tcPr>
            <w:tcW w:w="220" w:type="dxa"/>
            <w:vAlign w:val="bottom"/>
            <w:shd w:val="clear" w:color="auto" w:fill="CCCCFF"/>
          </w:tcPr>
          <w:p>
            <w:pPr>
              <w:spacing w:after="0" w:line="20" w:lineRule="exact"/>
              <w:rPr>
                <w:sz w:val="1"/>
                <w:szCs w:val="1"/>
                <w:color w:val="auto"/>
              </w:rPr>
            </w:pPr>
          </w:p>
        </w:tc>
        <w:tc>
          <w:tcPr>
            <w:tcW w:w="600" w:type="dxa"/>
            <w:vAlign w:val="bottom"/>
            <w:tcBorders>
              <w:right w:val="single" w:sz="8" w:color="auto"/>
            </w:tcBorders>
            <w:shd w:val="clear" w:color="auto" w:fill="CCCC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40" w:type="dxa"/>
            <w:vAlign w:val="bottom"/>
            <w:tcBorders>
              <w:right w:val="single" w:sz="8" w:color="auto"/>
            </w:tcBorders>
          </w:tcPr>
          <w:p>
            <w:pPr>
              <w:spacing w:after="0" w:line="20" w:lineRule="exact"/>
              <w:rPr>
                <w:sz w:val="1"/>
                <w:szCs w:val="1"/>
                <w:color w:val="auto"/>
              </w:rPr>
            </w:pPr>
          </w:p>
        </w:tc>
        <w:tc>
          <w:tcPr>
            <w:tcW w:w="1440" w:type="dxa"/>
            <w:vAlign w:val="bottom"/>
            <w:shd w:val="clear" w:color="auto" w:fill="FFCCCC"/>
          </w:tcPr>
          <w:p>
            <w:pPr>
              <w:spacing w:after="0" w:line="20" w:lineRule="exact"/>
              <w:rPr>
                <w:sz w:val="1"/>
                <w:szCs w:val="1"/>
                <w:color w:val="auto"/>
              </w:rPr>
            </w:pPr>
          </w:p>
        </w:tc>
        <w:tc>
          <w:tcPr>
            <w:tcW w:w="920" w:type="dxa"/>
            <w:vAlign w:val="bottom"/>
            <w:tcBorders>
              <w:right w:val="single" w:sz="8" w:color="auto"/>
            </w:tcBorders>
            <w:shd w:val="clear" w:color="auto" w:fill="FFCC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00" w:type="dxa"/>
            <w:vAlign w:val="bottom"/>
            <w:tcBorders>
              <w:left w:val="single" w:sz="8" w:color="auto"/>
              <w:right w:val="single" w:sz="8" w:color="auto"/>
            </w:tcBorders>
          </w:tcPr>
          <w:p>
            <w:pPr>
              <w:spacing w:after="0"/>
              <w:rPr>
                <w:sz w:val="24"/>
                <w:szCs w:val="24"/>
                <w:color w:val="auto"/>
              </w:rPr>
            </w:pPr>
          </w:p>
        </w:tc>
        <w:tc>
          <w:tcPr>
            <w:tcW w:w="480" w:type="dxa"/>
            <w:vAlign w:val="bottom"/>
            <w:gridSpan w:val="4"/>
          </w:tcPr>
          <w:p>
            <w:pPr>
              <w:spacing w:after="0"/>
              <w:rPr>
                <w:sz w:val="24"/>
                <w:szCs w:val="24"/>
                <w:color w:val="auto"/>
              </w:rPr>
            </w:pPr>
          </w:p>
        </w:tc>
        <w:tc>
          <w:tcPr>
            <w:tcW w:w="880" w:type="dxa"/>
            <w:vAlign w:val="bottom"/>
            <w:tcBorders>
              <w:right w:val="single" w:sz="8" w:color="auto"/>
            </w:tcBorders>
            <w:gridSpan w:val="2"/>
          </w:tcPr>
          <w:p>
            <w:pPr>
              <w:jc w:val="center"/>
              <w:ind w:right="394"/>
              <w:spacing w:after="0"/>
              <w:rPr>
                <w:sz w:val="20"/>
                <w:szCs w:val="20"/>
                <w:color w:val="auto"/>
              </w:rPr>
            </w:pPr>
            <w:r>
              <w:rPr>
                <w:rFonts w:ascii="Times New Roman" w:cs="Times New Roman" w:eastAsia="Times New Roman" w:hAnsi="Times New Roman"/>
                <w:sz w:val="21"/>
                <w:szCs w:val="21"/>
                <w:color w:val="auto"/>
              </w:rPr>
              <w:t>1.00</w:t>
            </w:r>
          </w:p>
        </w:tc>
        <w:tc>
          <w:tcPr>
            <w:tcW w:w="800" w:type="dxa"/>
            <w:vAlign w:val="bottom"/>
            <w:tcBorders>
              <w:bottom w:val="single" w:sz="8" w:color="CCCCFF"/>
              <w:right w:val="single" w:sz="8" w:color="CCCCFF"/>
            </w:tcBorders>
            <w:shd w:val="clear" w:color="auto" w:fill="CCCCFF"/>
          </w:tcPr>
          <w:p>
            <w:pPr>
              <w:spacing w:after="0"/>
              <w:rPr>
                <w:sz w:val="24"/>
                <w:szCs w:val="24"/>
                <w:color w:val="auto"/>
              </w:rPr>
            </w:pPr>
          </w:p>
        </w:tc>
        <w:tc>
          <w:tcPr>
            <w:tcW w:w="600" w:type="dxa"/>
            <w:vAlign w:val="bottom"/>
            <w:tcBorders>
              <w:bottom w:val="single" w:sz="8" w:color="CCCCFF"/>
            </w:tcBorders>
            <w:shd w:val="clear" w:color="auto" w:fill="CCCCFF"/>
          </w:tcPr>
          <w:p>
            <w:pPr>
              <w:spacing w:after="0"/>
              <w:rPr>
                <w:sz w:val="24"/>
                <w:szCs w:val="24"/>
                <w:color w:val="auto"/>
              </w:rPr>
            </w:pPr>
          </w:p>
        </w:tc>
        <w:tc>
          <w:tcPr>
            <w:tcW w:w="220" w:type="dxa"/>
            <w:vAlign w:val="bottom"/>
            <w:tcBorders>
              <w:bottom w:val="single" w:sz="8" w:color="CCCCFF"/>
            </w:tcBorders>
            <w:shd w:val="clear" w:color="auto" w:fill="CCCCFF"/>
          </w:tcPr>
          <w:p>
            <w:pPr>
              <w:spacing w:after="0"/>
              <w:rPr>
                <w:sz w:val="24"/>
                <w:szCs w:val="24"/>
                <w:color w:val="auto"/>
              </w:rPr>
            </w:pPr>
          </w:p>
        </w:tc>
        <w:tc>
          <w:tcPr>
            <w:tcW w:w="600" w:type="dxa"/>
            <w:vAlign w:val="bottom"/>
            <w:tcBorders>
              <w:bottom w:val="single" w:sz="8" w:color="CCCCFF"/>
              <w:right w:val="single" w:sz="8" w:color="auto"/>
            </w:tcBorders>
            <w:shd w:val="clear" w:color="auto" w:fill="CCCCFF"/>
          </w:tcPr>
          <w:p>
            <w:pPr>
              <w:spacing w:after="0"/>
              <w:rPr>
                <w:sz w:val="24"/>
                <w:szCs w:val="24"/>
                <w:color w:val="auto"/>
              </w:rPr>
            </w:pPr>
          </w:p>
        </w:tc>
        <w:tc>
          <w:tcPr>
            <w:tcW w:w="156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440" w:type="dxa"/>
            <w:vAlign w:val="bottom"/>
            <w:tcBorders>
              <w:bottom w:val="single" w:sz="8" w:color="FFCCCC"/>
            </w:tcBorders>
            <w:shd w:val="clear" w:color="auto" w:fill="FFCCCC"/>
          </w:tcPr>
          <w:p>
            <w:pPr>
              <w:spacing w:after="0"/>
              <w:rPr>
                <w:sz w:val="24"/>
                <w:szCs w:val="24"/>
                <w:color w:val="auto"/>
              </w:rPr>
            </w:pPr>
          </w:p>
        </w:tc>
        <w:tc>
          <w:tcPr>
            <w:tcW w:w="920" w:type="dxa"/>
            <w:vAlign w:val="bottom"/>
            <w:tcBorders>
              <w:bottom w:val="single" w:sz="8" w:color="FFCCCC"/>
              <w:right w:val="single" w:sz="8" w:color="auto"/>
            </w:tcBorders>
            <w:shd w:val="clear" w:color="auto" w:fill="FFCCCC"/>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1560" w:type="dxa"/>
            <w:vAlign w:val="bottom"/>
            <w:tcBorders>
              <w:right w:val="single" w:sz="8" w:color="auto"/>
            </w:tcBorders>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367" w:right="339" w:bottom="1440" w:gutter="0" w:footer="0" w:header="0"/>
        </w:sectPr>
      </w:pPr>
    </w:p>
    <w:bookmarkStart w:id="110" w:name="page111"/>
    <w:bookmarkEnd w:id="110"/>
    <w:tbl>
      <w:tblPr>
        <w:tblLayout w:type="fixed"/>
        <w:tblInd w:w="550" w:type="dxa"/>
        <w:tblCellMar>
          <w:top w:w="0" w:type="dxa"/>
          <w:left w:w="0" w:type="dxa"/>
          <w:bottom w:w="0" w:type="dxa"/>
          <w:right w:w="0" w:type="dxa"/>
        </w:tblCellMar>
      </w:tblPr>
      <w:tr>
        <w:trPr>
          <w:trHeight w:val="225"/>
        </w:trPr>
        <w:tc>
          <w:tcPr>
            <w:tcW w:w="1000" w:type="dxa"/>
            <w:vAlign w:val="bottom"/>
            <w:tcBorders>
              <w:top w:val="single" w:sz="8" w:color="auto"/>
              <w:left w:val="single" w:sz="8" w:color="auto"/>
              <w:bottom w:val="single" w:sz="8" w:color="auto"/>
              <w:right w:val="single" w:sz="8" w:color="auto"/>
            </w:tcBorders>
          </w:tcPr>
          <w:p>
            <w:pPr>
              <w:jc w:val="right"/>
              <w:ind w:right="334"/>
              <w:spacing w:after="0" w:line="225" w:lineRule="exact"/>
              <w:rPr>
                <w:sz w:val="20"/>
                <w:szCs w:val="20"/>
                <w:color w:val="auto"/>
              </w:rPr>
            </w:pPr>
            <w:r>
              <w:rPr>
                <w:rFonts w:ascii="Times New Roman" w:cs="Times New Roman" w:eastAsia="Times New Roman" w:hAnsi="Times New Roman"/>
                <w:sz w:val="21"/>
                <w:szCs w:val="21"/>
                <w:color w:val="auto"/>
              </w:rPr>
              <w:t>3</w:t>
            </w:r>
          </w:p>
        </w:tc>
        <w:tc>
          <w:tcPr>
            <w:tcW w:w="1360" w:type="dxa"/>
            <w:vAlign w:val="bottom"/>
            <w:tcBorders>
              <w:top w:val="single" w:sz="8" w:color="auto"/>
              <w:bottom w:val="single" w:sz="8" w:color="auto"/>
              <w:right w:val="single" w:sz="8" w:color="auto"/>
            </w:tcBorders>
            <w:gridSpan w:val="3"/>
          </w:tcPr>
          <w:p>
            <w:pPr>
              <w:jc w:val="center"/>
              <w:ind w:right="20"/>
              <w:spacing w:after="0" w:line="225" w:lineRule="exact"/>
              <w:rPr>
                <w:sz w:val="20"/>
                <w:szCs w:val="20"/>
                <w:color w:val="auto"/>
              </w:rPr>
            </w:pPr>
            <w:r>
              <w:rPr>
                <w:rFonts w:ascii="Times New Roman" w:cs="Times New Roman" w:eastAsia="Times New Roman" w:hAnsi="Times New Roman"/>
                <w:sz w:val="21"/>
                <w:szCs w:val="21"/>
                <w:color w:val="auto"/>
              </w:rPr>
              <w:t>&lt; 2.50 to 1.00</w:t>
            </w:r>
          </w:p>
        </w:tc>
        <w:tc>
          <w:tcPr>
            <w:tcW w:w="800" w:type="dxa"/>
            <w:vAlign w:val="bottom"/>
            <w:tcBorders>
              <w:top w:val="single" w:sz="8" w:color="auto"/>
              <w:bottom w:val="single" w:sz="8" w:color="auto"/>
            </w:tcBorders>
            <w:shd w:val="clear" w:color="auto" w:fill="CCCCFF"/>
          </w:tcPr>
          <w:p>
            <w:pPr>
              <w:spacing w:after="0"/>
              <w:rPr>
                <w:sz w:val="19"/>
                <w:szCs w:val="19"/>
                <w:color w:val="auto"/>
              </w:rPr>
            </w:pPr>
          </w:p>
        </w:tc>
        <w:tc>
          <w:tcPr>
            <w:tcW w:w="600" w:type="dxa"/>
            <w:vAlign w:val="bottom"/>
            <w:tcBorders>
              <w:top w:val="single" w:sz="8" w:color="auto"/>
              <w:bottom w:val="single" w:sz="8" w:color="0000FF"/>
            </w:tcBorders>
            <w:shd w:val="clear" w:color="auto" w:fill="CCCCFF"/>
          </w:tcPr>
          <w:p>
            <w:pPr>
              <w:jc w:val="right"/>
              <w:spacing w:after="0" w:line="212" w:lineRule="exact"/>
              <w:rPr>
                <w:sz w:val="20"/>
                <w:szCs w:val="20"/>
                <w:color w:val="auto"/>
              </w:rPr>
            </w:pPr>
            <w:r>
              <w:rPr>
                <w:rFonts w:ascii="Times New Roman" w:cs="Times New Roman" w:eastAsia="Times New Roman" w:hAnsi="Times New Roman"/>
                <w:sz w:val="21"/>
                <w:szCs w:val="21"/>
                <w:b w:val="1"/>
                <w:bCs w:val="1"/>
                <w:color w:val="0000FF"/>
              </w:rPr>
              <w:t>1.25%</w:t>
            </w:r>
          </w:p>
        </w:tc>
        <w:tc>
          <w:tcPr>
            <w:tcW w:w="820" w:type="dxa"/>
            <w:vAlign w:val="bottom"/>
            <w:tcBorders>
              <w:top w:val="single" w:sz="8" w:color="auto"/>
              <w:bottom w:val="single" w:sz="8" w:color="auto"/>
              <w:right w:val="single" w:sz="8" w:color="auto"/>
            </w:tcBorders>
            <w:shd w:val="clear" w:color="auto" w:fill="CCCCFF"/>
          </w:tcPr>
          <w:p>
            <w:pPr>
              <w:spacing w:after="0"/>
              <w:rPr>
                <w:sz w:val="19"/>
                <w:szCs w:val="19"/>
                <w:color w:val="auto"/>
              </w:rPr>
            </w:pPr>
          </w:p>
        </w:tc>
        <w:tc>
          <w:tcPr>
            <w:tcW w:w="2400" w:type="dxa"/>
            <w:vAlign w:val="bottom"/>
            <w:tcBorders>
              <w:top w:val="single" w:sz="8" w:color="auto"/>
              <w:bottom w:val="single" w:sz="8" w:color="auto"/>
              <w:right w:val="single" w:sz="8" w:color="auto"/>
            </w:tcBorders>
          </w:tcPr>
          <w:p>
            <w:pPr>
              <w:jc w:val="right"/>
              <w:ind w:right="834"/>
              <w:spacing w:after="0" w:line="225" w:lineRule="exact"/>
              <w:rPr>
                <w:sz w:val="20"/>
                <w:szCs w:val="20"/>
                <w:color w:val="auto"/>
              </w:rPr>
            </w:pPr>
            <w:r>
              <w:rPr>
                <w:rFonts w:ascii="Times New Roman" w:cs="Times New Roman" w:eastAsia="Times New Roman" w:hAnsi="Times New Roman"/>
                <w:sz w:val="21"/>
                <w:szCs w:val="21"/>
                <w:color w:val="auto"/>
              </w:rPr>
              <w:t>2.25%</w:t>
            </w:r>
          </w:p>
        </w:tc>
        <w:tc>
          <w:tcPr>
            <w:tcW w:w="2360" w:type="dxa"/>
            <w:vAlign w:val="bottom"/>
            <w:tcBorders>
              <w:top w:val="single" w:sz="8" w:color="auto"/>
              <w:bottom w:val="single" w:sz="8" w:color="auto"/>
              <w:right w:val="single" w:sz="8" w:color="auto"/>
            </w:tcBorders>
            <w:shd w:val="clear" w:color="auto" w:fill="FFCCCC"/>
          </w:tcPr>
          <w:p>
            <w:pPr>
              <w:jc w:val="right"/>
              <w:ind w:right="814"/>
              <w:spacing w:after="0" w:line="225" w:lineRule="exact"/>
              <w:rPr>
                <w:sz w:val="20"/>
                <w:szCs w:val="20"/>
                <w:color w:val="auto"/>
              </w:rPr>
            </w:pPr>
            <w:r>
              <w:rPr>
                <w:rFonts w:ascii="Times New Roman" w:cs="Times New Roman" w:eastAsia="Times New Roman" w:hAnsi="Times New Roman"/>
                <w:sz w:val="21"/>
                <w:szCs w:val="21"/>
                <w:b w:val="1"/>
                <w:bCs w:val="1"/>
                <w:color w:val="FF0000"/>
                <w:strike w:val="1"/>
              </w:rPr>
              <w:t>3.25%</w:t>
            </w:r>
          </w:p>
        </w:tc>
      </w:tr>
      <w:tr>
        <w:trPr>
          <w:trHeight w:val="258"/>
        </w:trPr>
        <w:tc>
          <w:tcPr>
            <w:tcW w:w="1000" w:type="dxa"/>
            <w:vAlign w:val="bottom"/>
            <w:tcBorders>
              <w:left w:val="single" w:sz="8" w:color="auto"/>
              <w:right w:val="single" w:sz="8" w:color="auto"/>
            </w:tcBorders>
          </w:tcPr>
          <w:p>
            <w:pPr>
              <w:spacing w:after="0"/>
              <w:rPr>
                <w:sz w:val="22"/>
                <w:szCs w:val="22"/>
                <w:color w:val="auto"/>
              </w:rPr>
            </w:pPr>
          </w:p>
        </w:tc>
        <w:tc>
          <w:tcPr>
            <w:tcW w:w="13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21"/>
                <w:szCs w:val="21"/>
                <w:color w:val="auto"/>
              </w:rPr>
              <w:t>and &gt; 1.50 to</w:t>
            </w:r>
          </w:p>
        </w:tc>
        <w:tc>
          <w:tcPr>
            <w:tcW w:w="800" w:type="dxa"/>
            <w:vAlign w:val="bottom"/>
            <w:shd w:val="clear" w:color="auto" w:fill="CCCCFF"/>
          </w:tcPr>
          <w:p>
            <w:pPr>
              <w:spacing w:after="0"/>
              <w:rPr>
                <w:sz w:val="22"/>
                <w:szCs w:val="22"/>
                <w:color w:val="auto"/>
              </w:rPr>
            </w:pPr>
          </w:p>
        </w:tc>
        <w:tc>
          <w:tcPr>
            <w:tcW w:w="600" w:type="dxa"/>
            <w:vAlign w:val="bottom"/>
            <w:shd w:val="clear" w:color="auto" w:fill="CCCCFF"/>
          </w:tcPr>
          <w:p>
            <w:pPr>
              <w:spacing w:after="0"/>
              <w:rPr>
                <w:sz w:val="22"/>
                <w:szCs w:val="22"/>
                <w:color w:val="auto"/>
              </w:rPr>
            </w:pPr>
          </w:p>
        </w:tc>
        <w:tc>
          <w:tcPr>
            <w:tcW w:w="820" w:type="dxa"/>
            <w:vAlign w:val="bottom"/>
            <w:tcBorders>
              <w:right w:val="single" w:sz="8" w:color="auto"/>
            </w:tcBorders>
            <w:shd w:val="clear" w:color="auto" w:fill="CCCCFF"/>
          </w:tcPr>
          <w:p>
            <w:pPr>
              <w:spacing w:after="0"/>
              <w:rPr>
                <w:sz w:val="22"/>
                <w:szCs w:val="22"/>
                <w:color w:val="auto"/>
              </w:rPr>
            </w:pPr>
          </w:p>
        </w:tc>
        <w:tc>
          <w:tcPr>
            <w:tcW w:w="2400" w:type="dxa"/>
            <w:vAlign w:val="bottom"/>
            <w:tcBorders>
              <w:right w:val="single" w:sz="8" w:color="auto"/>
            </w:tcBorders>
          </w:tcPr>
          <w:p>
            <w:pPr>
              <w:spacing w:after="0"/>
              <w:rPr>
                <w:sz w:val="22"/>
                <w:szCs w:val="22"/>
                <w:color w:val="auto"/>
              </w:rPr>
            </w:pPr>
          </w:p>
        </w:tc>
        <w:tc>
          <w:tcPr>
            <w:tcW w:w="2360" w:type="dxa"/>
            <w:vAlign w:val="bottom"/>
            <w:tcBorders>
              <w:right w:val="single" w:sz="8" w:color="auto"/>
            </w:tcBorders>
            <w:shd w:val="clear" w:color="auto" w:fill="FFCCCC"/>
          </w:tcPr>
          <w:p>
            <w:pPr>
              <w:spacing w:after="0"/>
              <w:rPr>
                <w:sz w:val="22"/>
                <w:szCs w:val="22"/>
                <w:color w:val="auto"/>
              </w:rPr>
            </w:pPr>
          </w:p>
        </w:tc>
      </w:tr>
      <w:tr>
        <w:trPr>
          <w:trHeight w:val="20"/>
        </w:trPr>
        <w:tc>
          <w:tcPr>
            <w:tcW w:w="1000" w:type="dxa"/>
            <w:vAlign w:val="bottom"/>
            <w:tcBorders>
              <w:left w:val="single" w:sz="8" w:color="auto"/>
              <w:right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CCCCFF"/>
          </w:tcPr>
          <w:p>
            <w:pPr>
              <w:spacing w:after="0" w:line="20" w:lineRule="exact"/>
              <w:rPr>
                <w:sz w:val="1"/>
                <w:szCs w:val="1"/>
                <w:color w:val="auto"/>
              </w:rPr>
            </w:pPr>
          </w:p>
        </w:tc>
        <w:tc>
          <w:tcPr>
            <w:tcW w:w="600" w:type="dxa"/>
            <w:vAlign w:val="bottom"/>
            <w:shd w:val="clear" w:color="auto" w:fill="CCCCFF"/>
          </w:tcPr>
          <w:p>
            <w:pPr>
              <w:spacing w:after="0" w:line="20" w:lineRule="exact"/>
              <w:rPr>
                <w:sz w:val="1"/>
                <w:szCs w:val="1"/>
                <w:color w:val="auto"/>
              </w:rPr>
            </w:pPr>
          </w:p>
        </w:tc>
        <w:tc>
          <w:tcPr>
            <w:tcW w:w="820" w:type="dxa"/>
            <w:vAlign w:val="bottom"/>
            <w:tcBorders>
              <w:right w:val="single" w:sz="8" w:color="auto"/>
            </w:tcBorders>
            <w:shd w:val="clear" w:color="auto" w:fill="CCCCFF"/>
          </w:tcPr>
          <w:p>
            <w:pPr>
              <w:spacing w:after="0" w:line="20" w:lineRule="exact"/>
              <w:rPr>
                <w:sz w:val="1"/>
                <w:szCs w:val="1"/>
                <w:color w:val="auto"/>
              </w:rPr>
            </w:pPr>
          </w:p>
        </w:tc>
        <w:tc>
          <w:tcPr>
            <w:tcW w:w="2400" w:type="dxa"/>
            <w:vAlign w:val="bottom"/>
            <w:tcBorders>
              <w:right w:val="single" w:sz="8" w:color="auto"/>
            </w:tcBorders>
          </w:tcPr>
          <w:p>
            <w:pPr>
              <w:spacing w:after="0" w:line="20" w:lineRule="exact"/>
              <w:rPr>
                <w:sz w:val="1"/>
                <w:szCs w:val="1"/>
                <w:color w:val="auto"/>
              </w:rPr>
            </w:pPr>
          </w:p>
        </w:tc>
        <w:tc>
          <w:tcPr>
            <w:tcW w:w="2360" w:type="dxa"/>
            <w:vAlign w:val="bottom"/>
            <w:tcBorders>
              <w:right w:val="single" w:sz="8" w:color="auto"/>
            </w:tcBorders>
            <w:shd w:val="clear" w:color="auto" w:fill="FFCCCC"/>
          </w:tcPr>
          <w:p>
            <w:pPr>
              <w:spacing w:after="0" w:line="20" w:lineRule="exact"/>
              <w:rPr>
                <w:sz w:val="1"/>
                <w:szCs w:val="1"/>
                <w:color w:val="auto"/>
              </w:rPr>
            </w:pPr>
          </w:p>
        </w:tc>
      </w:tr>
      <w:tr>
        <w:trPr>
          <w:trHeight w:val="311"/>
        </w:trPr>
        <w:tc>
          <w:tcPr>
            <w:tcW w:w="1000" w:type="dxa"/>
            <w:vAlign w:val="bottom"/>
            <w:tcBorders>
              <w:left w:val="single" w:sz="8" w:color="auto"/>
              <w:righ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Borders>
              <w:right w:val="single" w:sz="8" w:color="auto"/>
            </w:tcBorders>
            <w:gridSpan w:val="2"/>
          </w:tcPr>
          <w:p>
            <w:pPr>
              <w:jc w:val="center"/>
              <w:ind w:right="500"/>
              <w:spacing w:after="0"/>
              <w:rPr>
                <w:sz w:val="20"/>
                <w:szCs w:val="20"/>
                <w:color w:val="auto"/>
              </w:rPr>
            </w:pPr>
            <w:r>
              <w:rPr>
                <w:rFonts w:ascii="Times New Roman" w:cs="Times New Roman" w:eastAsia="Times New Roman" w:hAnsi="Times New Roman"/>
                <w:sz w:val="21"/>
                <w:szCs w:val="21"/>
                <w:color w:val="auto"/>
              </w:rPr>
              <w:t>1.00</w:t>
            </w:r>
          </w:p>
        </w:tc>
        <w:tc>
          <w:tcPr>
            <w:tcW w:w="800" w:type="dxa"/>
            <w:vAlign w:val="bottom"/>
            <w:tcBorders>
              <w:bottom w:val="single" w:sz="8" w:color="CCCCFF"/>
            </w:tcBorders>
            <w:shd w:val="clear" w:color="auto" w:fill="CCCCFF"/>
          </w:tcPr>
          <w:p>
            <w:pPr>
              <w:spacing w:after="0"/>
              <w:rPr>
                <w:sz w:val="24"/>
                <w:szCs w:val="24"/>
                <w:color w:val="auto"/>
              </w:rPr>
            </w:pPr>
          </w:p>
        </w:tc>
        <w:tc>
          <w:tcPr>
            <w:tcW w:w="600" w:type="dxa"/>
            <w:vAlign w:val="bottom"/>
            <w:tcBorders>
              <w:bottom w:val="single" w:sz="8" w:color="CCCCFF"/>
            </w:tcBorders>
            <w:shd w:val="clear" w:color="auto" w:fill="CCCCFF"/>
          </w:tcPr>
          <w:p>
            <w:pPr>
              <w:spacing w:after="0"/>
              <w:rPr>
                <w:sz w:val="24"/>
                <w:szCs w:val="24"/>
                <w:color w:val="auto"/>
              </w:rPr>
            </w:pPr>
          </w:p>
        </w:tc>
        <w:tc>
          <w:tcPr>
            <w:tcW w:w="820" w:type="dxa"/>
            <w:vAlign w:val="bottom"/>
            <w:tcBorders>
              <w:bottom w:val="single" w:sz="8" w:color="CCCCFF"/>
              <w:right w:val="single" w:sz="8" w:color="auto"/>
            </w:tcBorders>
            <w:shd w:val="clear" w:color="auto" w:fill="CCCCFF"/>
          </w:tcPr>
          <w:p>
            <w:pPr>
              <w:spacing w:after="0"/>
              <w:rPr>
                <w:sz w:val="24"/>
                <w:szCs w:val="24"/>
                <w:color w:val="auto"/>
              </w:rPr>
            </w:pPr>
          </w:p>
        </w:tc>
        <w:tc>
          <w:tcPr>
            <w:tcW w:w="2400" w:type="dxa"/>
            <w:vAlign w:val="bottom"/>
            <w:tcBorders>
              <w:right w:val="single" w:sz="8" w:color="auto"/>
            </w:tcBorders>
          </w:tcPr>
          <w:p>
            <w:pPr>
              <w:spacing w:after="0"/>
              <w:rPr>
                <w:sz w:val="24"/>
                <w:szCs w:val="24"/>
                <w:color w:val="auto"/>
              </w:rPr>
            </w:pPr>
          </w:p>
        </w:tc>
        <w:tc>
          <w:tcPr>
            <w:tcW w:w="2360" w:type="dxa"/>
            <w:vAlign w:val="bottom"/>
            <w:tcBorders>
              <w:bottom w:val="single" w:sz="8" w:color="FFCCCC"/>
              <w:right w:val="single" w:sz="8" w:color="auto"/>
            </w:tcBorders>
            <w:shd w:val="clear" w:color="auto" w:fill="FFCCCC"/>
          </w:tcPr>
          <w:p>
            <w:pPr>
              <w:spacing w:after="0"/>
              <w:rPr>
                <w:sz w:val="24"/>
                <w:szCs w:val="24"/>
                <w:color w:val="auto"/>
              </w:rPr>
            </w:pPr>
          </w:p>
        </w:tc>
      </w:tr>
      <w:tr>
        <w:trPr>
          <w:trHeight w:val="265"/>
        </w:trPr>
        <w:tc>
          <w:tcPr>
            <w:tcW w:w="1000" w:type="dxa"/>
            <w:vAlign w:val="bottom"/>
            <w:tcBorders>
              <w:top w:val="single" w:sz="8" w:color="auto"/>
              <w:left w:val="single" w:sz="8" w:color="auto"/>
              <w:bottom w:val="single" w:sz="8" w:color="auto"/>
              <w:right w:val="single" w:sz="8" w:color="auto"/>
            </w:tcBorders>
          </w:tcPr>
          <w:p>
            <w:pPr>
              <w:jc w:val="right"/>
              <w:ind w:right="334"/>
              <w:spacing w:after="0" w:line="205" w:lineRule="exact"/>
              <w:rPr>
                <w:sz w:val="20"/>
                <w:szCs w:val="20"/>
                <w:color w:val="auto"/>
              </w:rPr>
            </w:pPr>
            <w:r>
              <w:rPr>
                <w:rFonts w:ascii="Times New Roman" w:cs="Times New Roman" w:eastAsia="Times New Roman" w:hAnsi="Times New Roman"/>
                <w:sz w:val="21"/>
                <w:szCs w:val="21"/>
                <w:color w:val="auto"/>
              </w:rPr>
              <w:t>4</w:t>
            </w:r>
          </w:p>
        </w:tc>
        <w:tc>
          <w:tcPr>
            <w:tcW w:w="1360" w:type="dxa"/>
            <w:vAlign w:val="bottom"/>
            <w:tcBorders>
              <w:top w:val="single" w:sz="8" w:color="auto"/>
              <w:bottom w:val="single" w:sz="8" w:color="auto"/>
              <w:right w:val="single" w:sz="8" w:color="auto"/>
            </w:tcBorders>
            <w:gridSpan w:val="3"/>
          </w:tcPr>
          <w:p>
            <w:pPr>
              <w:jc w:val="center"/>
              <w:ind w:right="20"/>
              <w:spacing w:after="0" w:line="205" w:lineRule="exact"/>
              <w:rPr>
                <w:sz w:val="20"/>
                <w:szCs w:val="20"/>
                <w:color w:val="auto"/>
              </w:rPr>
            </w:pPr>
            <w:r>
              <w:rPr>
                <w:rFonts w:ascii="Times New Roman" w:cs="Times New Roman" w:eastAsia="Times New Roman" w:hAnsi="Times New Roman"/>
                <w:sz w:val="21"/>
                <w:szCs w:val="21"/>
                <w:color w:val="auto"/>
              </w:rPr>
              <w:t>&lt; 1.50 to 1.00</w:t>
            </w:r>
          </w:p>
        </w:tc>
        <w:tc>
          <w:tcPr>
            <w:tcW w:w="2220" w:type="dxa"/>
            <w:vAlign w:val="bottom"/>
            <w:tcBorders>
              <w:top w:val="single" w:sz="8" w:color="auto"/>
              <w:bottom w:val="single" w:sz="8" w:color="auto"/>
              <w:right w:val="single" w:sz="8" w:color="auto"/>
            </w:tcBorders>
            <w:gridSpan w:val="3"/>
            <w:shd w:val="clear" w:color="auto" w:fill="CCCCFF"/>
          </w:tcPr>
          <w:p>
            <w:pPr>
              <w:jc w:val="right"/>
              <w:ind w:right="820"/>
              <w:spacing w:after="0" w:line="205" w:lineRule="exact"/>
              <w:rPr>
                <w:sz w:val="20"/>
                <w:szCs w:val="20"/>
                <w:color w:val="auto"/>
              </w:rPr>
            </w:pPr>
            <w:r>
              <w:rPr>
                <w:rFonts w:ascii="Times New Roman" w:cs="Times New Roman" w:eastAsia="Times New Roman" w:hAnsi="Times New Roman"/>
                <w:sz w:val="21"/>
                <w:szCs w:val="21"/>
                <w:b w:val="1"/>
                <w:bCs w:val="1"/>
                <w:color w:val="0000FF"/>
              </w:rPr>
              <w:t>1.00%</w:t>
            </w:r>
          </w:p>
        </w:tc>
        <w:tc>
          <w:tcPr>
            <w:tcW w:w="2400" w:type="dxa"/>
            <w:vAlign w:val="bottom"/>
            <w:tcBorders>
              <w:top w:val="single" w:sz="8" w:color="auto"/>
              <w:bottom w:val="single" w:sz="8" w:color="auto"/>
              <w:right w:val="single" w:sz="8" w:color="auto"/>
            </w:tcBorders>
          </w:tcPr>
          <w:p>
            <w:pPr>
              <w:jc w:val="right"/>
              <w:ind w:right="834"/>
              <w:spacing w:after="0" w:line="205" w:lineRule="exact"/>
              <w:rPr>
                <w:sz w:val="20"/>
                <w:szCs w:val="20"/>
                <w:color w:val="auto"/>
              </w:rPr>
            </w:pPr>
            <w:r>
              <w:rPr>
                <w:rFonts w:ascii="Times New Roman" w:cs="Times New Roman" w:eastAsia="Times New Roman" w:hAnsi="Times New Roman"/>
                <w:sz w:val="21"/>
                <w:szCs w:val="21"/>
                <w:color w:val="auto"/>
              </w:rPr>
              <w:t>2.00%</w:t>
            </w:r>
          </w:p>
        </w:tc>
        <w:tc>
          <w:tcPr>
            <w:tcW w:w="2360" w:type="dxa"/>
            <w:vAlign w:val="bottom"/>
            <w:tcBorders>
              <w:top w:val="single" w:sz="8" w:color="auto"/>
              <w:bottom w:val="single" w:sz="8" w:color="auto"/>
              <w:right w:val="single" w:sz="8" w:color="auto"/>
            </w:tcBorders>
            <w:shd w:val="clear" w:color="auto" w:fill="FFCCCC"/>
          </w:tcPr>
          <w:p>
            <w:pPr>
              <w:jc w:val="right"/>
              <w:ind w:right="814"/>
              <w:spacing w:after="0" w:line="205" w:lineRule="exact"/>
              <w:rPr>
                <w:sz w:val="20"/>
                <w:szCs w:val="20"/>
                <w:color w:val="auto"/>
              </w:rPr>
            </w:pPr>
            <w:r>
              <w:rPr>
                <w:rFonts w:ascii="Times New Roman" w:cs="Times New Roman" w:eastAsia="Times New Roman" w:hAnsi="Times New Roman"/>
                <w:sz w:val="21"/>
                <w:szCs w:val="21"/>
                <w:b w:val="1"/>
                <w:bCs w:val="1"/>
                <w:color w:val="FF0000"/>
                <w:strike w:val="1"/>
              </w:rPr>
              <w:t>3.00%</w:t>
            </w:r>
          </w:p>
        </w:tc>
      </w:tr>
    </w:tbl>
    <w:p>
      <w:pPr>
        <w:spacing w:after="0" w:line="31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 xml:space="preserve">Any increase or decrease in the Applicable Rate resulting from a change in the Secured Net Leverage Ratio shall become effective as of the </w:t>
      </w:r>
      <w:r>
        <w:rPr>
          <w:rFonts w:ascii="Times New Roman" w:cs="Times New Roman" w:eastAsia="Times New Roman" w:hAnsi="Times New Roman"/>
          <w:sz w:val="21"/>
          <w:szCs w:val="21"/>
          <w:b w:val="1"/>
          <w:bCs w:val="1"/>
          <w:color w:val="FF0000"/>
          <w:strike w:val="1"/>
        </w:rPr>
        <w:t>first</w:t>
      </w:r>
      <w:r>
        <w:rPr>
          <w:rFonts w:ascii="Times New Roman" w:cs="Times New Roman" w:eastAsia="Times New Roman" w:hAnsi="Times New Roman"/>
          <w:sz w:val="21"/>
          <w:szCs w:val="21"/>
          <w:b w:val="1"/>
          <w:bCs w:val="1"/>
          <w:u w:val="single" w:color="auto"/>
          <w:color w:val="0000FF"/>
        </w:rPr>
        <w:t>third</w:t>
      </w:r>
      <w:r>
        <w:rPr>
          <w:rFonts w:ascii="Times New Roman" w:cs="Times New Roman" w:eastAsia="Times New Roman" w:hAnsi="Times New Roman"/>
          <w:sz w:val="21"/>
          <w:szCs w:val="21"/>
          <w:color w:val="auto"/>
        </w:rPr>
        <w:t xml:space="preserve"> Business Day immediately following the date a Compliance Certificate is delivered pursuant to </w:t>
      </w:r>
      <w:r>
        <w:rPr>
          <w:rFonts w:ascii="Times New Roman" w:cs="Times New Roman" w:eastAsia="Times New Roman" w:hAnsi="Times New Roman"/>
          <w:sz w:val="21"/>
          <w:szCs w:val="21"/>
          <w:u w:val="single" w:color="auto"/>
          <w:color w:val="auto"/>
        </w:rPr>
        <w:t>Section 6.02(a)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 xml:space="preserve">provided, however, </w:t>
      </w:r>
      <w:r>
        <w:rPr>
          <w:rFonts w:ascii="Times New Roman" w:cs="Times New Roman" w:eastAsia="Times New Roman" w:hAnsi="Times New Roman"/>
          <w:sz w:val="21"/>
          <w:szCs w:val="21"/>
          <w:color w:val="auto"/>
        </w:rPr>
        <w:t>that if a Compliance Certificate is not delivered when due in accordance with such Section, then Pricing Level 1</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shall apply as of the first Business Day after the date on which such Compliance Certificate was required to have been delivered and shall remain in effect until the date on which such Compliance Certificate is delivered (and thereafter the Pricing Level otherwise determined in accordance with this definition shall apply).</w:t>
      </w:r>
    </w:p>
    <w:p>
      <w:pPr>
        <w:spacing w:after="0" w:line="172"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21"/>
          <w:szCs w:val="21"/>
          <w:color w:val="auto"/>
        </w:rPr>
        <w:t>Furthermore, and notwithstanding anything to the contrary contained in this definition, the Applicable Rate in respect of any Incremental Term Loans, any Refinancing Term Loans or any Other Revolving Commitments (and any Other Revolving Loans thereunder) shall be the applicable percentages per annum set forth in the relevant Joinder Agreement or Refinancing Amendment, as applicable.</w:t>
      </w:r>
    </w:p>
    <w:p>
      <w:pPr>
        <w:spacing w:after="0" w:line="182" w:lineRule="exact"/>
        <w:rPr>
          <w:sz w:val="20"/>
          <w:szCs w:val="20"/>
          <w:color w:val="auto"/>
        </w:rPr>
      </w:pPr>
    </w:p>
    <w:p>
      <w:pPr>
        <w:jc w:val="both"/>
        <w:ind w:firstLine="636"/>
        <w:spacing w:after="0" w:line="285" w:lineRule="auto"/>
        <w:rPr>
          <w:sz w:val="20"/>
          <w:szCs w:val="20"/>
          <w:color w:val="auto"/>
        </w:rPr>
      </w:pPr>
      <w:r>
        <w:rPr>
          <w:rFonts w:ascii="Times New Roman" w:cs="Times New Roman" w:eastAsia="Times New Roman" w:hAnsi="Times New Roman"/>
          <w:sz w:val="21"/>
          <w:szCs w:val="21"/>
          <w:color w:val="auto"/>
        </w:rPr>
        <w:t xml:space="preserve">Notwithstanding anything to the contrary contained in this definition, the determination of the Applicable Rate for any period shall be subject to the provisions of </w:t>
      </w:r>
      <w:r>
        <w:rPr>
          <w:rFonts w:ascii="Times New Roman" w:cs="Times New Roman" w:eastAsia="Times New Roman" w:hAnsi="Times New Roman"/>
          <w:sz w:val="21"/>
          <w:szCs w:val="21"/>
          <w:u w:val="single" w:color="auto"/>
          <w:color w:val="auto"/>
        </w:rPr>
        <w:t>Section 2.10(b)</w:t>
      </w:r>
      <w:r>
        <w:rPr>
          <w:rFonts w:ascii="Times New Roman" w:cs="Times New Roman" w:eastAsia="Times New Roman" w:hAnsi="Times New Roman"/>
          <w:sz w:val="21"/>
          <w:szCs w:val="21"/>
          <w:color w:val="auto"/>
        </w:rPr>
        <w:t>.</w:t>
      </w:r>
    </w:p>
    <w:p>
      <w:pPr>
        <w:spacing w:after="0" w:line="138"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21"/>
          <w:szCs w:val="21"/>
          <w:b w:val="1"/>
          <w:bCs w:val="1"/>
          <w:u w:val="single" w:color="auto"/>
          <w:color w:val="0000FF"/>
        </w:rPr>
        <w:t>For the avoidance of doubt, for periods prior to the First Amendment Effective Date, the “Applicable Rate” shall be as defined in the Existing Credit Agreement, and the foregoing rates shall be deemed effective on and after the First Amendment Effective Date.</w:t>
      </w:r>
    </w:p>
    <w:p>
      <w:pPr>
        <w:spacing w:after="0" w:line="129"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Applicable Revolving Credit Percentage</w:t>
      </w:r>
      <w:r>
        <w:rPr>
          <w:rFonts w:ascii="Times New Roman" w:cs="Times New Roman" w:eastAsia="Times New Roman" w:hAnsi="Times New Roman"/>
          <w:sz w:val="21"/>
          <w:szCs w:val="21"/>
          <w:color w:val="auto"/>
        </w:rPr>
        <w:t>” means with respect to any Revolving Credit Lender at any time, such Revolving Credit Lender’s Applicable Percentages in respect of the Revolving Credit Facilities at such time.</w:t>
      </w:r>
    </w:p>
    <w:p>
      <w:pPr>
        <w:spacing w:after="0" w:line="161" w:lineRule="exact"/>
        <w:rPr>
          <w:sz w:val="20"/>
          <w:szCs w:val="20"/>
          <w:color w:val="auto"/>
        </w:rPr>
      </w:pPr>
    </w:p>
    <w:p>
      <w:pPr>
        <w:ind w:right="160" w:firstLine="636"/>
        <w:spacing w:after="0" w:line="302" w:lineRule="auto"/>
        <w:rPr>
          <w:sz w:val="20"/>
          <w:szCs w:val="20"/>
          <w:color w:val="auto"/>
        </w:rPr>
      </w:pPr>
      <w:r>
        <w:rPr>
          <w:rFonts w:ascii="Times New Roman" w:cs="Times New Roman" w:eastAsia="Times New Roman" w:hAnsi="Times New Roman"/>
          <w:sz w:val="21"/>
          <w:szCs w:val="21"/>
          <w:b w:val="1"/>
          <w:bCs w:val="1"/>
          <w:color w:val="FF0000"/>
          <w:strike w:val="1"/>
        </w:rPr>
        <w:t>“Applicable SOFR Adjustment” means the percentage set forth below for the corresponding Interest Period that is then in effect with respect to each Term SOFR Loan:</w:t>
      </w:r>
    </w:p>
    <w:p>
      <w:pPr>
        <w:spacing w:after="0" w:line="161" w:lineRule="exact"/>
        <w:rPr>
          <w:sz w:val="20"/>
          <w:szCs w:val="20"/>
          <w:color w:val="auto"/>
        </w:rPr>
      </w:pPr>
    </w:p>
    <w:tbl>
      <w:tblPr>
        <w:tblLayout w:type="fixed"/>
        <w:tblInd w:w="1440" w:type="dxa"/>
        <w:tblCellMar>
          <w:top w:w="0" w:type="dxa"/>
          <w:left w:w="0" w:type="dxa"/>
          <w:bottom w:w="0" w:type="dxa"/>
          <w:right w:w="0" w:type="dxa"/>
        </w:tblCellMar>
      </w:tblPr>
      <w:tr>
        <w:trPr>
          <w:trHeight w:val="278"/>
        </w:trPr>
        <w:tc>
          <w:tcPr>
            <w:tcW w:w="2340" w:type="dxa"/>
            <w:vAlign w:val="bottom"/>
          </w:tcPr>
          <w:p>
            <w:pPr>
              <w:jc w:val="center"/>
              <w:ind w:right="234"/>
              <w:spacing w:after="0"/>
              <w:rPr>
                <w:sz w:val="20"/>
                <w:szCs w:val="20"/>
                <w:color w:val="auto"/>
              </w:rPr>
            </w:pPr>
            <w:r>
              <w:rPr>
                <w:rFonts w:ascii="Times New Roman" w:cs="Times New Roman" w:eastAsia="Times New Roman" w:hAnsi="Times New Roman"/>
                <w:sz w:val="21"/>
                <w:szCs w:val="21"/>
                <w:b w:val="1"/>
                <w:bCs w:val="1"/>
                <w:color w:val="FF0000"/>
                <w:strike w:val="1"/>
              </w:rPr>
              <w:t>Interest Period</w:t>
            </w:r>
          </w:p>
        </w:tc>
        <w:tc>
          <w:tcPr>
            <w:tcW w:w="1320" w:type="dxa"/>
            <w:vAlign w:val="bottom"/>
          </w:tcPr>
          <w:p>
            <w:pPr>
              <w:jc w:val="center"/>
              <w:ind w:left="214"/>
              <w:spacing w:after="0"/>
              <w:rPr>
                <w:sz w:val="20"/>
                <w:szCs w:val="20"/>
                <w:color w:val="auto"/>
              </w:rPr>
            </w:pPr>
            <w:r>
              <w:rPr>
                <w:rFonts w:ascii="Times New Roman" w:cs="Times New Roman" w:eastAsia="Times New Roman" w:hAnsi="Times New Roman"/>
                <w:sz w:val="21"/>
                <w:szCs w:val="21"/>
                <w:b w:val="1"/>
                <w:bCs w:val="1"/>
                <w:color w:val="FF0000"/>
                <w:strike w:val="1"/>
              </w:rPr>
              <w:t>Percentage</w:t>
            </w:r>
          </w:p>
        </w:tc>
      </w:tr>
      <w:tr>
        <w:trPr>
          <w:trHeight w:val="217"/>
        </w:trPr>
        <w:tc>
          <w:tcPr>
            <w:tcW w:w="2340" w:type="dxa"/>
            <w:vAlign w:val="bottom"/>
          </w:tcPr>
          <w:p>
            <w:pPr>
              <w:jc w:val="center"/>
              <w:ind w:right="214"/>
              <w:spacing w:after="0" w:line="217" w:lineRule="exact"/>
              <w:rPr>
                <w:sz w:val="20"/>
                <w:szCs w:val="20"/>
                <w:color w:val="auto"/>
              </w:rPr>
            </w:pPr>
            <w:r>
              <w:rPr>
                <w:rFonts w:ascii="Times New Roman" w:cs="Times New Roman" w:eastAsia="Times New Roman" w:hAnsi="Times New Roman"/>
                <w:sz w:val="21"/>
                <w:szCs w:val="21"/>
                <w:b w:val="1"/>
                <w:bCs w:val="1"/>
                <w:color w:val="FF0000"/>
                <w:strike w:val="1"/>
              </w:rPr>
              <w:t>Up to and including 1-</w:t>
            </w:r>
          </w:p>
        </w:tc>
        <w:tc>
          <w:tcPr>
            <w:tcW w:w="1320" w:type="dxa"/>
            <w:vAlign w:val="bottom"/>
          </w:tcPr>
          <w:p>
            <w:pPr>
              <w:jc w:val="center"/>
              <w:ind w:left="194"/>
              <w:spacing w:after="0" w:line="217" w:lineRule="exact"/>
              <w:rPr>
                <w:sz w:val="20"/>
                <w:szCs w:val="20"/>
                <w:color w:val="auto"/>
              </w:rPr>
            </w:pPr>
            <w:r>
              <w:rPr>
                <w:rFonts w:ascii="Times New Roman" w:cs="Times New Roman" w:eastAsia="Times New Roman" w:hAnsi="Times New Roman"/>
                <w:sz w:val="21"/>
                <w:szCs w:val="21"/>
                <w:b w:val="1"/>
                <w:bCs w:val="1"/>
                <w:color w:val="FF0000"/>
                <w:strike w:val="1"/>
              </w:rPr>
              <w:t>0.10%</w:t>
            </w:r>
          </w:p>
        </w:tc>
      </w:tr>
      <w:tr>
        <w:trPr>
          <w:trHeight w:val="273"/>
        </w:trPr>
        <w:tc>
          <w:tcPr>
            <w:tcW w:w="2340" w:type="dxa"/>
            <w:vAlign w:val="bottom"/>
          </w:tcPr>
          <w:p>
            <w:pPr>
              <w:jc w:val="center"/>
              <w:ind w:right="214"/>
              <w:spacing w:after="0"/>
              <w:rPr>
                <w:sz w:val="20"/>
                <w:szCs w:val="20"/>
                <w:color w:val="auto"/>
              </w:rPr>
            </w:pPr>
            <w:r>
              <w:rPr>
                <w:rFonts w:ascii="Times New Roman" w:cs="Times New Roman" w:eastAsia="Times New Roman" w:hAnsi="Times New Roman"/>
                <w:sz w:val="21"/>
                <w:szCs w:val="21"/>
                <w:b w:val="1"/>
                <w:bCs w:val="1"/>
                <w:color w:val="FF0000"/>
                <w:strike w:val="1"/>
                <w:w w:val="99"/>
              </w:rPr>
              <w:t>month</w:t>
            </w:r>
          </w:p>
        </w:tc>
        <w:tc>
          <w:tcPr>
            <w:tcW w:w="1320" w:type="dxa"/>
            <w:vAlign w:val="bottom"/>
          </w:tcPr>
          <w:p>
            <w:pPr>
              <w:spacing w:after="0"/>
              <w:rPr>
                <w:sz w:val="23"/>
                <w:szCs w:val="23"/>
                <w:color w:val="auto"/>
              </w:rPr>
            </w:pPr>
          </w:p>
        </w:tc>
      </w:tr>
      <w:tr>
        <w:trPr>
          <w:trHeight w:val="217"/>
        </w:trPr>
        <w:tc>
          <w:tcPr>
            <w:tcW w:w="2340" w:type="dxa"/>
            <w:vAlign w:val="bottom"/>
          </w:tcPr>
          <w:p>
            <w:pPr>
              <w:jc w:val="center"/>
              <w:ind w:right="234"/>
              <w:spacing w:after="0" w:line="217" w:lineRule="exact"/>
              <w:rPr>
                <w:sz w:val="20"/>
                <w:szCs w:val="20"/>
                <w:color w:val="auto"/>
              </w:rPr>
            </w:pPr>
            <w:r>
              <w:rPr>
                <w:rFonts w:ascii="Times New Roman" w:cs="Times New Roman" w:eastAsia="Times New Roman" w:hAnsi="Times New Roman"/>
                <w:sz w:val="21"/>
                <w:szCs w:val="21"/>
                <w:b w:val="1"/>
                <w:bCs w:val="1"/>
                <w:color w:val="FF0000"/>
                <w:strike w:val="1"/>
              </w:rPr>
              <w:t>Greater than 1-month</w:t>
            </w:r>
          </w:p>
        </w:tc>
        <w:tc>
          <w:tcPr>
            <w:tcW w:w="1320" w:type="dxa"/>
            <w:vAlign w:val="bottom"/>
          </w:tcPr>
          <w:p>
            <w:pPr>
              <w:jc w:val="center"/>
              <w:ind w:left="194"/>
              <w:spacing w:after="0" w:line="217" w:lineRule="exact"/>
              <w:rPr>
                <w:sz w:val="20"/>
                <w:szCs w:val="20"/>
                <w:color w:val="auto"/>
              </w:rPr>
            </w:pPr>
            <w:r>
              <w:rPr>
                <w:rFonts w:ascii="Times New Roman" w:cs="Times New Roman" w:eastAsia="Times New Roman" w:hAnsi="Times New Roman"/>
                <w:sz w:val="21"/>
                <w:szCs w:val="21"/>
                <w:b w:val="1"/>
                <w:bCs w:val="1"/>
                <w:color w:val="FF0000"/>
                <w:strike w:val="1"/>
              </w:rPr>
              <w:t>0.15%</w:t>
            </w:r>
          </w:p>
        </w:tc>
      </w:tr>
      <w:tr>
        <w:trPr>
          <w:trHeight w:val="212"/>
        </w:trPr>
        <w:tc>
          <w:tcPr>
            <w:tcW w:w="2340" w:type="dxa"/>
            <w:vAlign w:val="bottom"/>
          </w:tcPr>
          <w:p>
            <w:pPr>
              <w:jc w:val="center"/>
              <w:ind w:right="214"/>
              <w:spacing w:after="0" w:line="212" w:lineRule="exact"/>
              <w:rPr>
                <w:sz w:val="20"/>
                <w:szCs w:val="20"/>
                <w:color w:val="auto"/>
              </w:rPr>
            </w:pPr>
            <w:r>
              <w:rPr>
                <w:rFonts w:ascii="Times New Roman" w:cs="Times New Roman" w:eastAsia="Times New Roman" w:hAnsi="Times New Roman"/>
                <w:sz w:val="21"/>
                <w:szCs w:val="21"/>
                <w:b w:val="1"/>
                <w:bCs w:val="1"/>
                <w:color w:val="FF0000"/>
                <w:strike w:val="1"/>
              </w:rPr>
              <w:t>and up to and</w:t>
            </w:r>
          </w:p>
        </w:tc>
        <w:tc>
          <w:tcPr>
            <w:tcW w:w="1320" w:type="dxa"/>
            <w:vAlign w:val="bottom"/>
          </w:tcPr>
          <w:p>
            <w:pPr>
              <w:spacing w:after="0"/>
              <w:rPr>
                <w:sz w:val="18"/>
                <w:szCs w:val="18"/>
                <w:color w:val="auto"/>
              </w:rPr>
            </w:pPr>
          </w:p>
        </w:tc>
      </w:tr>
      <w:tr>
        <w:trPr>
          <w:trHeight w:val="273"/>
        </w:trPr>
        <w:tc>
          <w:tcPr>
            <w:tcW w:w="2340" w:type="dxa"/>
            <w:vAlign w:val="bottom"/>
          </w:tcPr>
          <w:p>
            <w:pPr>
              <w:jc w:val="center"/>
              <w:ind w:right="214"/>
              <w:spacing w:after="0"/>
              <w:rPr>
                <w:sz w:val="20"/>
                <w:szCs w:val="20"/>
                <w:color w:val="auto"/>
              </w:rPr>
            </w:pPr>
            <w:r>
              <w:rPr>
                <w:rFonts w:ascii="Times New Roman" w:cs="Times New Roman" w:eastAsia="Times New Roman" w:hAnsi="Times New Roman"/>
                <w:sz w:val="21"/>
                <w:szCs w:val="21"/>
                <w:b w:val="1"/>
                <w:bCs w:val="1"/>
                <w:color w:val="FF0000"/>
                <w:strike w:val="1"/>
              </w:rPr>
              <w:t>including 3-month</w:t>
            </w:r>
          </w:p>
        </w:tc>
        <w:tc>
          <w:tcPr>
            <w:tcW w:w="1320" w:type="dxa"/>
            <w:vAlign w:val="bottom"/>
          </w:tcPr>
          <w:p>
            <w:pPr>
              <w:spacing w:after="0"/>
              <w:rPr>
                <w:sz w:val="23"/>
                <w:szCs w:val="23"/>
                <w:color w:val="auto"/>
              </w:rPr>
            </w:pPr>
          </w:p>
        </w:tc>
      </w:tr>
      <w:tr>
        <w:trPr>
          <w:trHeight w:val="281"/>
        </w:trPr>
        <w:tc>
          <w:tcPr>
            <w:tcW w:w="2340" w:type="dxa"/>
            <w:vAlign w:val="bottom"/>
          </w:tcPr>
          <w:p>
            <w:pPr>
              <w:jc w:val="center"/>
              <w:ind w:right="234"/>
              <w:spacing w:after="0"/>
              <w:rPr>
                <w:sz w:val="20"/>
                <w:szCs w:val="20"/>
                <w:color w:val="auto"/>
              </w:rPr>
            </w:pPr>
            <w:r>
              <w:rPr>
                <w:rFonts w:ascii="Times New Roman" w:cs="Times New Roman" w:eastAsia="Times New Roman" w:hAnsi="Times New Roman"/>
                <w:sz w:val="21"/>
                <w:szCs w:val="21"/>
                <w:b w:val="1"/>
                <w:bCs w:val="1"/>
                <w:color w:val="FF0000"/>
                <w:strike w:val="1"/>
              </w:rPr>
              <w:t>Greater than 3-month</w:t>
            </w:r>
          </w:p>
        </w:tc>
        <w:tc>
          <w:tcPr>
            <w:tcW w:w="1320" w:type="dxa"/>
            <w:vAlign w:val="bottom"/>
          </w:tcPr>
          <w:p>
            <w:pPr>
              <w:jc w:val="center"/>
              <w:ind w:left="194"/>
              <w:spacing w:after="0"/>
              <w:rPr>
                <w:sz w:val="20"/>
                <w:szCs w:val="20"/>
                <w:color w:val="auto"/>
              </w:rPr>
            </w:pPr>
            <w:r>
              <w:rPr>
                <w:rFonts w:ascii="Times New Roman" w:cs="Times New Roman" w:eastAsia="Times New Roman" w:hAnsi="Times New Roman"/>
                <w:sz w:val="21"/>
                <w:szCs w:val="21"/>
                <w:b w:val="1"/>
                <w:bCs w:val="1"/>
                <w:color w:val="FF0000"/>
                <w:strike w:val="1"/>
              </w:rPr>
              <w:t>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861695</wp:posOffset>
            </wp:positionH>
            <wp:positionV relativeFrom="paragraph">
              <wp:posOffset>-1108710</wp:posOffset>
            </wp:positionV>
            <wp:extent cx="2734310" cy="11188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5">
                      <a:extLst>
                        <a:ext uri="{28A0092B-C50C-407E-A947-70E740481C1C}"/>
                      </a:extLst>
                    </a:blip>
                    <a:srcRect/>
                    <a:stretch>
                      <a:fillRect/>
                    </a:stretch>
                  </pic:blipFill>
                  <pic:spPr bwMode="auto">
                    <a:xfrm>
                      <a:off x="0" y="0"/>
                      <a:ext cx="2734310" cy="1118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418" w:right="339" w:bottom="1440" w:gutter="0" w:footer="0" w:header="0"/>
        </w:sectPr>
      </w:pPr>
    </w:p>
    <w:bookmarkStart w:id="111" w:name="page112"/>
    <w:bookmarkEnd w:id="111"/>
    <w:p>
      <w:pPr>
        <w:spacing w:after="0" w:line="378" w:lineRule="exact"/>
        <w:rPr>
          <w:sz w:val="20"/>
          <w:szCs w:val="20"/>
          <w:color w:val="auto"/>
        </w:rPr>
      </w:pPr>
    </w:p>
    <w:p>
      <w:pPr>
        <w:jc w:val="both"/>
        <w:ind w:firstLine="636"/>
        <w:spacing w:after="0" w:line="22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Applicable Time</w:t>
      </w:r>
      <w:r>
        <w:rPr>
          <w:rFonts w:ascii="Times New Roman" w:cs="Times New Roman" w:eastAsia="Times New Roman" w:hAnsi="Times New Roman"/>
          <w:sz w:val="21"/>
          <w:szCs w:val="21"/>
          <w:color w:val="auto"/>
        </w:rPr>
        <w:t>” means, with respect to any borrowings and payments in any Alternative Currency, the local time in the place of settlement for such Alternative Currency as may be reasonably determined by the Administrative Agent or the applicable L/C Issuer to be necessary for timely settlement on the relevant date in accordance with normal banking procedures in the place of payment.</w:t>
      </w:r>
    </w:p>
    <w:p>
      <w:pPr>
        <w:spacing w:after="0" w:line="146"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Appropriate Lender</w:t>
      </w:r>
      <w:r>
        <w:rPr>
          <w:rFonts w:ascii="Times New Roman" w:cs="Times New Roman" w:eastAsia="Times New Roman" w:hAnsi="Times New Roman"/>
          <w:sz w:val="21"/>
          <w:szCs w:val="21"/>
          <w:color w:val="auto"/>
        </w:rPr>
        <w:t>” means, at any time, (a) with respect to Loans of any Class, the Lenders of such Class and (b) with respect to Letters of Credit, (i) the relevant L/C Issuer and (ii) the Revolving Credit Lenders.</w:t>
      </w:r>
    </w:p>
    <w:p>
      <w:pPr>
        <w:spacing w:after="0" w:line="1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b w:val="1"/>
          <w:bCs w:val="1"/>
          <w:u w:val="single" w:color="auto"/>
          <w:color w:val="0000FF"/>
        </w:rPr>
        <w:t>“Approved Borrower Portal” has the meaning specified in Section 9.14.</w:t>
      </w:r>
    </w:p>
    <w:p>
      <w:pPr>
        <w:spacing w:after="0" w:line="183"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Approved Fund</w:t>
      </w:r>
      <w:r>
        <w:rPr>
          <w:rFonts w:ascii="Times New Roman" w:cs="Times New Roman" w:eastAsia="Times New Roman" w:hAnsi="Times New Roman"/>
          <w:sz w:val="21"/>
          <w:szCs w:val="21"/>
          <w:color w:val="auto"/>
        </w:rPr>
        <w:t>” means any Fund that is administered or managed by (a) a Lender, (b) an Affiliate of a Lender or (c) an entity or an Affiliate of an entity that administers or manages a Lender.</w:t>
      </w:r>
    </w:p>
    <w:p>
      <w:pPr>
        <w:spacing w:after="0" w:line="135" w:lineRule="exact"/>
        <w:rPr>
          <w:sz w:val="20"/>
          <w:szCs w:val="20"/>
          <w:color w:val="auto"/>
        </w:rPr>
      </w:pPr>
    </w:p>
    <w:p>
      <w:pPr>
        <w:jc w:val="both"/>
        <w:ind w:firstLine="636"/>
        <w:spacing w:after="0" w:line="22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Arrangers</w:t>
      </w:r>
      <w:r>
        <w:rPr>
          <w:rFonts w:ascii="Times New Roman" w:cs="Times New Roman" w:eastAsia="Times New Roman" w:hAnsi="Times New Roman"/>
          <w:sz w:val="21"/>
          <w:szCs w:val="21"/>
          <w:color w:val="auto"/>
        </w:rPr>
        <w:t xml:space="preserve">” means </w:t>
      </w:r>
      <w:r>
        <w:rPr>
          <w:rFonts w:ascii="Times New Roman" w:cs="Times New Roman" w:eastAsia="Times New Roman" w:hAnsi="Times New Roman"/>
          <w:sz w:val="21"/>
          <w:szCs w:val="21"/>
          <w:b w:val="1"/>
          <w:bCs w:val="1"/>
          <w:color w:val="0000FF"/>
        </w:rPr>
        <w:t>(x) with respect to the Original Revolving Credit Facility,</w:t>
      </w:r>
      <w:r>
        <w:rPr>
          <w:rFonts w:ascii="Times New Roman" w:cs="Times New Roman" w:eastAsia="Times New Roman" w:hAnsi="Times New Roman"/>
          <w:sz w:val="21"/>
          <w:szCs w:val="21"/>
          <w:color w:val="auto"/>
        </w:rPr>
        <w:t xml:space="preserve"> JPMorgan Chase Bank, N.A., BOFA Securities, Inc., Barclays Bank PLC, Citibank, N.A., Credit Suisse Loan Funding LLC, Goldman Sachs Bank USA, Morgan Stanley Senior Funding, Inc. and Wells Fargo Securities, LLC in their capacities as joint lead arrangers and joint bookrunners </w:t>
      </w:r>
      <w:r>
        <w:rPr>
          <w:rFonts w:ascii="Times New Roman" w:cs="Times New Roman" w:eastAsia="Times New Roman" w:hAnsi="Times New Roman"/>
          <w:sz w:val="21"/>
          <w:szCs w:val="21"/>
          <w:b w:val="1"/>
          <w:bCs w:val="1"/>
          <w:color w:val="0000FF"/>
        </w:rPr>
        <w:t>and (y) with</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0000FF"/>
        </w:rPr>
        <w:t>respect to the 2025 Revolving Credit Facility, the 2025 Revolving Credit Facility Arrangers</w:t>
      </w:r>
      <w:r>
        <w:rPr>
          <w:rFonts w:ascii="Times New Roman" w:cs="Times New Roman" w:eastAsia="Times New Roman" w:hAnsi="Times New Roman"/>
          <w:sz w:val="21"/>
          <w:szCs w:val="2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1519555</wp:posOffset>
            </wp:positionH>
            <wp:positionV relativeFrom="paragraph">
              <wp:posOffset>-433070</wp:posOffset>
            </wp:positionV>
            <wp:extent cx="349250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6">
                      <a:extLst>
                        <a:ext uri="{28A0092B-C50C-407E-A947-70E740481C1C}"/>
                      </a:extLst>
                    </a:blip>
                    <a:srcRect/>
                    <a:stretch>
                      <a:fillRect/>
                    </a:stretch>
                  </pic:blipFill>
                  <pic:spPr bwMode="auto">
                    <a:xfrm>
                      <a:off x="0" y="0"/>
                      <a:ext cx="3492500" cy="8255"/>
                    </a:xfrm>
                    <a:prstGeom prst="rect">
                      <a:avLst/>
                    </a:prstGeom>
                    <a:noFill/>
                  </pic:spPr>
                </pic:pic>
              </a:graphicData>
            </a:graphic>
          </wp:anchor>
        </w:drawing>
        <w:drawing>
          <wp:anchor simplePos="0" relativeHeight="251657728" behindDoc="1" locked="0" layoutInCell="0" allowOverlap="1">
            <wp:simplePos x="0" y="0"/>
            <wp:positionH relativeFrom="column">
              <wp:posOffset>6390640</wp:posOffset>
            </wp:positionH>
            <wp:positionV relativeFrom="paragraph">
              <wp:posOffset>-163830</wp:posOffset>
            </wp:positionV>
            <wp:extent cx="7461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7">
                      <a:extLst>
                        <a:ext uri="{28A0092B-C50C-407E-A947-70E740481C1C}"/>
                      </a:extLst>
                    </a:blip>
                    <a:srcRect/>
                    <a:stretch>
                      <a:fillRect/>
                    </a:stretch>
                  </pic:blipFill>
                  <pic:spPr bwMode="auto">
                    <a:xfrm>
                      <a:off x="0" y="0"/>
                      <a:ext cx="746125" cy="8255"/>
                    </a:xfrm>
                    <a:prstGeom prst="rect">
                      <a:avLst/>
                    </a:prstGeom>
                    <a:noFill/>
                  </pic:spPr>
                </pic:pic>
              </a:graphicData>
            </a:graphic>
          </wp:anchor>
        </w:drawing>
      </w:r>
    </w:p>
    <w:p>
      <w:pPr>
        <w:spacing w:after="0" w:line="126"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Assignee Group</w:t>
      </w:r>
      <w:r>
        <w:rPr>
          <w:rFonts w:ascii="Times New Roman" w:cs="Times New Roman" w:eastAsia="Times New Roman" w:hAnsi="Times New Roman"/>
          <w:sz w:val="21"/>
          <w:szCs w:val="21"/>
          <w:color w:val="auto"/>
        </w:rPr>
        <w:t>” means two or more Eligible Assignees that are Affiliates of one another or two or more Approved Funds managed by the same investment advisor.</w:t>
      </w:r>
    </w:p>
    <w:p>
      <w:pPr>
        <w:spacing w:after="0" w:line="135" w:lineRule="exact"/>
        <w:rPr>
          <w:sz w:val="20"/>
          <w:szCs w:val="20"/>
          <w:color w:val="auto"/>
        </w:rPr>
      </w:pPr>
    </w:p>
    <w:p>
      <w:pPr>
        <w:jc w:val="both"/>
        <w:ind w:firstLine="636"/>
        <w:spacing w:after="0" w:line="23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Assignment and Assumption</w:t>
      </w:r>
      <w:r>
        <w:rPr>
          <w:rFonts w:ascii="Times New Roman" w:cs="Times New Roman" w:eastAsia="Times New Roman" w:hAnsi="Times New Roman"/>
          <w:sz w:val="21"/>
          <w:szCs w:val="21"/>
          <w:color w:val="auto"/>
        </w:rPr>
        <w:t xml:space="preserve">” means an assignment and assumption entered into by a Lender and an Eligible Assignee (with the consent of any party whose consent is required by </w:t>
      </w:r>
      <w:r>
        <w:rPr>
          <w:rFonts w:ascii="Times New Roman" w:cs="Times New Roman" w:eastAsia="Times New Roman" w:hAnsi="Times New Roman"/>
          <w:sz w:val="21"/>
          <w:szCs w:val="21"/>
          <w:u w:val="single" w:color="auto"/>
          <w:color w:val="auto"/>
        </w:rPr>
        <w:t>Section 10.06(b)</w:t>
      </w:r>
      <w:r>
        <w:rPr>
          <w:rFonts w:ascii="Times New Roman" w:cs="Times New Roman" w:eastAsia="Times New Roman" w:hAnsi="Times New Roman"/>
          <w:sz w:val="21"/>
          <w:szCs w:val="21"/>
          <w:color w:val="auto"/>
        </w:rPr>
        <w:t xml:space="preserve">), and accepted by the Administrative Agent, in substantially the form of </w:t>
      </w:r>
      <w:r>
        <w:rPr>
          <w:rFonts w:ascii="Times New Roman" w:cs="Times New Roman" w:eastAsia="Times New Roman" w:hAnsi="Times New Roman"/>
          <w:sz w:val="21"/>
          <w:szCs w:val="21"/>
          <w:u w:val="single" w:color="auto"/>
          <w:color w:val="auto"/>
        </w:rPr>
        <w:t>Exhibit E-1</w:t>
      </w:r>
      <w:r>
        <w:rPr>
          <w:rFonts w:ascii="Times New Roman" w:cs="Times New Roman" w:eastAsia="Times New Roman" w:hAnsi="Times New Roman"/>
          <w:sz w:val="21"/>
          <w:szCs w:val="21"/>
          <w:color w:val="auto"/>
        </w:rPr>
        <w:t xml:space="preserve"> or any other form approved by the Administrative Agent.</w:t>
      </w:r>
    </w:p>
    <w:p>
      <w:pPr>
        <w:spacing w:after="0" w:line="145"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Attributable Indebtedness</w:t>
      </w:r>
      <w:r>
        <w:rPr>
          <w:rFonts w:ascii="Times New Roman" w:cs="Times New Roman" w:eastAsia="Times New Roman" w:hAnsi="Times New Roman"/>
          <w:sz w:val="21"/>
          <w:szCs w:val="21"/>
          <w:color w:val="auto"/>
        </w:rPr>
        <w:t>” means, on any date, in respect of any Capital Lease of any Person, the capitalized amount thereof that would appear on a balance sheet of such Person prepared as of such date in accordance with GAAP.</w:t>
      </w:r>
    </w:p>
    <w:p>
      <w:pPr>
        <w:spacing w:after="0" w:line="1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Auction</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10.06(b)(vii)(A)</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636"/>
        <w:spacing w:after="0" w:line="21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Availability Period</w:t>
      </w:r>
      <w:r>
        <w:rPr>
          <w:rFonts w:ascii="Times New Roman" w:cs="Times New Roman" w:eastAsia="Times New Roman" w:hAnsi="Times New Roman"/>
          <w:sz w:val="21"/>
          <w:szCs w:val="21"/>
          <w:color w:val="auto"/>
        </w:rPr>
        <w:t xml:space="preserve">” means, in respect of </w:t>
      </w:r>
      <w:r>
        <w:rPr>
          <w:rFonts w:ascii="Times New Roman" w:cs="Times New Roman" w:eastAsia="Times New Roman" w:hAnsi="Times New Roman"/>
          <w:sz w:val="21"/>
          <w:szCs w:val="21"/>
          <w:b w:val="1"/>
          <w:bCs w:val="1"/>
          <w:color w:val="FF0000"/>
          <w:strike w:val="1"/>
        </w:rPr>
        <w:t>any</w:t>
      </w:r>
      <w:r>
        <w:rPr>
          <w:rFonts w:ascii="Times New Roman" w:cs="Times New Roman" w:eastAsia="Times New Roman" w:hAnsi="Times New Roman"/>
          <w:sz w:val="21"/>
          <w:szCs w:val="21"/>
          <w:b w:val="1"/>
          <w:bCs w:val="1"/>
          <w:u w:val="single" w:color="auto"/>
          <w:color w:val="0000FF"/>
        </w:rPr>
        <w:t>the 2025</w:t>
      </w:r>
      <w:r>
        <w:rPr>
          <w:rFonts w:ascii="Times New Roman" w:cs="Times New Roman" w:eastAsia="Times New Roman" w:hAnsi="Times New Roman"/>
          <w:sz w:val="21"/>
          <w:szCs w:val="21"/>
          <w:color w:val="auto"/>
        </w:rPr>
        <w:t xml:space="preserve"> Revolving Credit Facility, the period from and including the </w:t>
      </w:r>
      <w:r>
        <w:rPr>
          <w:rFonts w:ascii="Times New Roman" w:cs="Times New Roman" w:eastAsia="Times New Roman" w:hAnsi="Times New Roman"/>
          <w:sz w:val="21"/>
          <w:szCs w:val="21"/>
          <w:b w:val="1"/>
          <w:bCs w:val="1"/>
          <w:color w:val="FF0000"/>
          <w:strike w:val="1"/>
        </w:rPr>
        <w:t>Closing</w:t>
      </w:r>
      <w:r>
        <w:rPr>
          <w:rFonts w:ascii="Times New Roman" w:cs="Times New Roman" w:eastAsia="Times New Roman" w:hAnsi="Times New Roman"/>
          <w:sz w:val="21"/>
          <w:szCs w:val="21"/>
          <w:b w:val="1"/>
          <w:bCs w:val="1"/>
          <w:u w:val="single" w:color="auto"/>
          <w:color w:val="0000FF"/>
        </w:rPr>
        <w:t>First Amendment Effective</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color w:val="000000"/>
        </w:rPr>
        <w:t>Date (or the date of the effectiveness of the applicable Revolving Credit Commitments in the</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color w:val="000000"/>
        </w:rPr>
        <w:t xml:space="preserve">case of any Revolving Credit Commitments other than the </w:t>
      </w:r>
      <w:r>
        <w:rPr>
          <w:rFonts w:ascii="Times New Roman" w:cs="Times New Roman" w:eastAsia="Times New Roman" w:hAnsi="Times New Roman"/>
          <w:sz w:val="21"/>
          <w:szCs w:val="21"/>
          <w:b w:val="1"/>
          <w:bCs w:val="1"/>
          <w:color w:val="FF0000"/>
          <w:strike w:val="1"/>
        </w:rPr>
        <w:t>Original</w:t>
      </w:r>
      <w:r>
        <w:rPr>
          <w:rFonts w:ascii="Times New Roman" w:cs="Times New Roman" w:eastAsia="Times New Roman" w:hAnsi="Times New Roman"/>
          <w:sz w:val="21"/>
          <w:szCs w:val="21"/>
          <w:b w:val="1"/>
          <w:bCs w:val="1"/>
          <w:u w:val="single" w:color="auto"/>
          <w:color w:val="0000FF"/>
        </w:rPr>
        <w:t>2025</w:t>
      </w:r>
      <w:r>
        <w:rPr>
          <w:rFonts w:ascii="Times New Roman" w:cs="Times New Roman" w:eastAsia="Times New Roman" w:hAnsi="Times New Roman"/>
          <w:sz w:val="21"/>
          <w:szCs w:val="21"/>
          <w:color w:val="000000"/>
        </w:rPr>
        <w:t xml:space="preserve"> Revolving Credit Commitments) to the earliest of (i) the Maturity Date in respect of such Revolving Credit Facility, (ii) the date of termination of the Revolving Credit Commitments in respect of such Revolving Credit Facility pursuant to </w:t>
      </w:r>
      <w:r>
        <w:rPr>
          <w:rFonts w:ascii="Times New Roman" w:cs="Times New Roman" w:eastAsia="Times New Roman" w:hAnsi="Times New Roman"/>
          <w:sz w:val="21"/>
          <w:szCs w:val="21"/>
          <w:u w:val="single" w:color="auto"/>
          <w:color w:val="000000"/>
        </w:rPr>
        <w:t>Section 2.06</w:t>
      </w:r>
      <w:r>
        <w:rPr>
          <w:rFonts w:ascii="Times New Roman" w:cs="Times New Roman" w:eastAsia="Times New Roman" w:hAnsi="Times New Roman"/>
          <w:sz w:val="21"/>
          <w:szCs w:val="21"/>
          <w:color w:val="000000"/>
        </w:rPr>
        <w:t xml:space="preserve"> and (iii) the date of termination of the commitment of each Revolving Credit Lender in respect of such Revolving Credit Facility to make Revolving Credit Loans under such Revolving Credit Facility and of the obligation of the L/C Issuers to make L/C Credit Extensions in respect of such Revolving Credit Facility pursuant to </w:t>
      </w:r>
      <w:r>
        <w:rPr>
          <w:rFonts w:ascii="Times New Roman" w:cs="Times New Roman" w:eastAsia="Times New Roman" w:hAnsi="Times New Roman"/>
          <w:sz w:val="21"/>
          <w:szCs w:val="21"/>
          <w:u w:val="single" w:color="auto"/>
          <w:color w:val="000000"/>
        </w:rPr>
        <w:t>Section 8.02</w:t>
      </w:r>
      <w:r>
        <w:rPr>
          <w:rFonts w:ascii="Times New Roman" w:cs="Times New Roman" w:eastAsia="Times New Roman" w:hAnsi="Times New Roman"/>
          <w:sz w:val="21"/>
          <w:szCs w:val="21"/>
          <w:color w:val="000000"/>
        </w:rPr>
        <w:t>.</w:t>
      </w:r>
    </w:p>
    <w:p>
      <w:pPr>
        <w:spacing w:after="0" w:line="1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Available Amount</w:t>
      </w:r>
      <w:r>
        <w:rPr>
          <w:rFonts w:ascii="Times New Roman" w:cs="Times New Roman" w:eastAsia="Times New Roman" w:hAnsi="Times New Roman"/>
          <w:sz w:val="21"/>
          <w:szCs w:val="21"/>
          <w:color w:val="auto"/>
        </w:rPr>
        <w:t>” means, at any time, an amount equal to, without duplication:</w:t>
      </w:r>
    </w:p>
    <w:p>
      <w:pPr>
        <w:spacing w:after="0" w:line="187" w:lineRule="exact"/>
        <w:rPr>
          <w:sz w:val="20"/>
          <w:szCs w:val="20"/>
          <w:color w:val="auto"/>
        </w:rPr>
      </w:pPr>
    </w:p>
    <w:p>
      <w:pPr>
        <w:ind w:left="1920" w:hanging="642"/>
        <w:spacing w:after="0"/>
        <w:tabs>
          <w:tab w:leader="none" w:pos="1920"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sum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440" w:right="339" w:bottom="1440" w:gutter="0" w:footer="0" w:header="0"/>
        </w:sectPr>
      </w:pPr>
    </w:p>
    <w:bookmarkStart w:id="112" w:name="page113"/>
    <w:bookmarkEnd w:id="112"/>
    <w:p>
      <w:pPr>
        <w:ind w:left="1440" w:hanging="646"/>
        <w:spacing w:after="0" w:line="289" w:lineRule="auto"/>
        <w:tabs>
          <w:tab w:leader="none" w:pos="1435"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the sum of $125,000,000 and (B) the greater of (x) $</w:t>
      </w:r>
      <w:r>
        <w:rPr>
          <w:rFonts w:ascii="Times New Roman" w:cs="Times New Roman" w:eastAsia="Times New Roman" w:hAnsi="Times New Roman"/>
          <w:sz w:val="21"/>
          <w:szCs w:val="21"/>
          <w:b w:val="1"/>
          <w:bCs w:val="1"/>
          <w:color w:val="FF0000"/>
          <w:strike w:val="1"/>
        </w:rPr>
        <w:t>50,000,000</w:t>
      </w:r>
      <w:r>
        <w:rPr>
          <w:rFonts w:ascii="Times New Roman" w:cs="Times New Roman" w:eastAsia="Times New Roman" w:hAnsi="Times New Roman"/>
          <w:sz w:val="21"/>
          <w:szCs w:val="21"/>
          <w:b w:val="1"/>
          <w:bCs w:val="1"/>
          <w:u w:val="single" w:color="auto"/>
          <w:color w:val="0000FF"/>
        </w:rPr>
        <w:t>100,000,000</w:t>
      </w:r>
      <w:r>
        <w:rPr>
          <w:rFonts w:ascii="Times New Roman" w:cs="Times New Roman" w:eastAsia="Times New Roman" w:hAnsi="Times New Roman"/>
          <w:sz w:val="21"/>
          <w:szCs w:val="21"/>
          <w:color w:val="auto"/>
        </w:rPr>
        <w:t xml:space="preserve"> and (y) 20% of Consolidated EBITDA based on the Most Recent Financial Statements; </w:t>
      </w:r>
      <w:r>
        <w:rPr>
          <w:rFonts w:ascii="Times New Roman" w:cs="Times New Roman" w:eastAsia="Times New Roman" w:hAnsi="Times New Roman"/>
          <w:sz w:val="21"/>
          <w:szCs w:val="21"/>
          <w:u w:val="single" w:color="auto"/>
          <w:color w:val="auto"/>
        </w:rPr>
        <w:t>plus</w:t>
      </w:r>
    </w:p>
    <w:p>
      <w:pPr>
        <w:spacing w:after="0" w:line="137" w:lineRule="exact"/>
        <w:rPr>
          <w:rFonts w:ascii="Times New Roman" w:cs="Times New Roman" w:eastAsia="Times New Roman" w:hAnsi="Times New Roman"/>
          <w:sz w:val="21"/>
          <w:szCs w:val="21"/>
          <w:color w:val="auto"/>
        </w:rPr>
      </w:pPr>
    </w:p>
    <w:p>
      <w:pPr>
        <w:ind w:left="1440" w:hanging="646"/>
        <w:spacing w:after="0" w:line="298" w:lineRule="auto"/>
        <w:tabs>
          <w:tab w:leader="none" w:pos="1435"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 amount, not less than zero, determined on a cumulative basis equal to the Borrower Retained ECF Amount; </w:t>
      </w:r>
      <w:r>
        <w:rPr>
          <w:rFonts w:ascii="Times New Roman" w:cs="Times New Roman" w:eastAsia="Times New Roman" w:hAnsi="Times New Roman"/>
          <w:sz w:val="21"/>
          <w:szCs w:val="21"/>
          <w:u w:val="single" w:color="auto"/>
          <w:color w:val="auto"/>
        </w:rPr>
        <w:t>plus</w:t>
      </w:r>
    </w:p>
    <w:p>
      <w:pPr>
        <w:spacing w:after="0" w:line="129" w:lineRule="exact"/>
        <w:rPr>
          <w:rFonts w:ascii="Times New Roman" w:cs="Times New Roman" w:eastAsia="Times New Roman" w:hAnsi="Times New Roman"/>
          <w:sz w:val="21"/>
          <w:szCs w:val="21"/>
          <w:color w:val="auto"/>
        </w:rPr>
      </w:pPr>
    </w:p>
    <w:p>
      <w:pPr>
        <w:jc w:val="both"/>
        <w:ind w:left="1440" w:hanging="646"/>
        <w:spacing w:after="0" w:line="259" w:lineRule="auto"/>
        <w:tabs>
          <w:tab w:leader="none" w:pos="1435"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amount of any capital contributions or other proceeds of issuances of Equity Interests (other than Disqualified Equity Interests) received as cash and Cash Equivalents by the Borrower,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the fair market value, as determined in good faith by the Borrower, of marketable securities or other property received by the Borrower as a capital contribution or in return for issuances of Equity Interests (other than Disqualified Equity Interests), in each case, during the period from and including the day immediately following the Closing Date through and including such time; </w:t>
      </w:r>
      <w:r>
        <w:rPr>
          <w:rFonts w:ascii="Times New Roman" w:cs="Times New Roman" w:eastAsia="Times New Roman" w:hAnsi="Times New Roman"/>
          <w:sz w:val="21"/>
          <w:szCs w:val="21"/>
          <w:u w:val="single" w:color="auto"/>
          <w:color w:val="auto"/>
        </w:rPr>
        <w:t>plus</w:t>
      </w:r>
    </w:p>
    <w:p>
      <w:pPr>
        <w:spacing w:after="0" w:line="172" w:lineRule="exact"/>
        <w:rPr>
          <w:rFonts w:ascii="Times New Roman" w:cs="Times New Roman" w:eastAsia="Times New Roman" w:hAnsi="Times New Roman"/>
          <w:sz w:val="21"/>
          <w:szCs w:val="21"/>
          <w:color w:val="auto"/>
        </w:rPr>
      </w:pPr>
    </w:p>
    <w:p>
      <w:pPr>
        <w:jc w:val="both"/>
        <w:ind w:left="1440" w:hanging="646"/>
        <w:spacing w:after="0" w:line="257" w:lineRule="auto"/>
        <w:tabs>
          <w:tab w:leader="none" w:pos="1435"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aggregate principal amount of any Indebtedness or Disqualified Equity Interests, in each case, of the Borrower and/or any Restricted Subsidiary issued after the Closing Date (other than Indebtedness or Disqualified Equity Interests issued to the Borrower or a Restricted Subsidiary) which has been converted into or exchanged for Equity Interests (other than Disqualified Equity Interests) of the Borrower, together with the fair market value of any Cash Equivalents and the fair market value (as reasonably determined by the Borrower) of any other property or assets received by the Borrower or such Restricted Subsidiary upon such exchange or conversion, in each case, during the period from and including the day immediately following the Closing Date through and including such time; </w:t>
      </w:r>
      <w:r>
        <w:rPr>
          <w:rFonts w:ascii="Times New Roman" w:cs="Times New Roman" w:eastAsia="Times New Roman" w:hAnsi="Times New Roman"/>
          <w:sz w:val="21"/>
          <w:szCs w:val="21"/>
          <w:u w:val="single" w:color="auto"/>
          <w:color w:val="auto"/>
        </w:rPr>
        <w:t>plus</w:t>
      </w:r>
    </w:p>
    <w:p>
      <w:pPr>
        <w:spacing w:after="0" w:line="170" w:lineRule="exact"/>
        <w:rPr>
          <w:rFonts w:ascii="Times New Roman" w:cs="Times New Roman" w:eastAsia="Times New Roman" w:hAnsi="Times New Roman"/>
          <w:sz w:val="21"/>
          <w:szCs w:val="21"/>
          <w:color w:val="auto"/>
        </w:rPr>
      </w:pPr>
    </w:p>
    <w:p>
      <w:pPr>
        <w:jc w:val="both"/>
        <w:ind w:left="1440" w:hanging="646"/>
        <w:spacing w:after="0" w:line="262" w:lineRule="auto"/>
        <w:tabs>
          <w:tab w:leader="none" w:pos="1435"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net proceeds received by the Borrower or any Restricted Subsidiary during the period from and including the day immediately following the Closing Date through and including such time in connection with the Disposition to a Person (other than the Borrower or any Restricted Subsidiary) of any Investment made pursuant to </w:t>
      </w:r>
      <w:r>
        <w:rPr>
          <w:rFonts w:ascii="Times New Roman" w:cs="Times New Roman" w:eastAsia="Times New Roman" w:hAnsi="Times New Roman"/>
          <w:sz w:val="21"/>
          <w:szCs w:val="21"/>
          <w:u w:val="single" w:color="auto"/>
          <w:color w:val="auto"/>
        </w:rPr>
        <w:t>Section 7.02(o)(2)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amount does not exceed the amount of such Investment made pursuant to </w:t>
      </w:r>
      <w:r>
        <w:rPr>
          <w:rFonts w:ascii="Times New Roman" w:cs="Times New Roman" w:eastAsia="Times New Roman" w:hAnsi="Times New Roman"/>
          <w:sz w:val="21"/>
          <w:szCs w:val="21"/>
          <w:u w:val="single" w:color="auto"/>
          <w:color w:val="auto"/>
        </w:rPr>
        <w:t>Section 7.02(o)(2)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plus</w:t>
      </w:r>
    </w:p>
    <w:p>
      <w:pPr>
        <w:spacing w:after="0" w:line="165" w:lineRule="exact"/>
        <w:rPr>
          <w:rFonts w:ascii="Times New Roman" w:cs="Times New Roman" w:eastAsia="Times New Roman" w:hAnsi="Times New Roman"/>
          <w:sz w:val="21"/>
          <w:szCs w:val="21"/>
          <w:color w:val="auto"/>
        </w:rPr>
      </w:pPr>
    </w:p>
    <w:p>
      <w:pPr>
        <w:jc w:val="both"/>
        <w:ind w:left="1440" w:hanging="646"/>
        <w:spacing w:after="0" w:line="266" w:lineRule="auto"/>
        <w:tabs>
          <w:tab w:leader="none" w:pos="1435"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the extent not already reflected as a return of capital with respect to such Investment for purposes of determining the amount of such Investment, the cash proceeds received by the Borrower and/or any Restricted Subsidiary during the period from and including the day immediately following the Closing Date through and including such time in respect of any Investment made pursuant to </w:t>
      </w:r>
      <w:r>
        <w:rPr>
          <w:rFonts w:ascii="Times New Roman" w:cs="Times New Roman" w:eastAsia="Times New Roman" w:hAnsi="Times New Roman"/>
          <w:sz w:val="21"/>
          <w:szCs w:val="21"/>
          <w:u w:val="single" w:color="auto"/>
          <w:color w:val="auto"/>
        </w:rPr>
        <w:t>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0120"/>
          </w:cols>
          <w:pgMar w:left="1440" w:top="1393" w:right="339" w:bottom="1440" w:gutter="0" w:footer="0" w:header="0"/>
        </w:sectPr>
      </w:pPr>
    </w:p>
    <w:bookmarkStart w:id="113" w:name="page114"/>
    <w:bookmarkEnd w:id="113"/>
    <w:p>
      <w:pPr>
        <w:ind w:left="2560"/>
        <w:spacing w:after="0" w:line="285" w:lineRule="auto"/>
        <w:rPr>
          <w:sz w:val="20"/>
          <w:szCs w:val="20"/>
          <w:color w:val="auto"/>
        </w:rPr>
      </w:pPr>
      <w:r>
        <w:rPr>
          <w:rFonts w:ascii="Times New Roman" w:cs="Times New Roman" w:eastAsia="Times New Roman" w:hAnsi="Times New Roman"/>
          <w:sz w:val="21"/>
          <w:szCs w:val="21"/>
          <w:u w:val="single" w:color="auto"/>
          <w:color w:val="auto"/>
        </w:rPr>
        <w:t>7.02(o)(2)</w:t>
      </w:r>
      <w:r>
        <w:rPr>
          <w:rFonts w:ascii="Times New Roman" w:cs="Times New Roman" w:eastAsia="Times New Roman" w:hAnsi="Times New Roman"/>
          <w:sz w:val="21"/>
          <w:szCs w:val="21"/>
          <w:color w:val="auto"/>
        </w:rPr>
        <w:t xml:space="preserve"> (in an amount not to exceed the original amount of such Investment made pursuant to </w:t>
      </w:r>
      <w:r>
        <w:rPr>
          <w:rFonts w:ascii="Times New Roman" w:cs="Times New Roman" w:eastAsia="Times New Roman" w:hAnsi="Times New Roman"/>
          <w:sz w:val="21"/>
          <w:szCs w:val="21"/>
          <w:u w:val="single" w:color="auto"/>
          <w:color w:val="auto"/>
        </w:rPr>
        <w:t>Section 7.02(o)(2)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plus</w:t>
      </w:r>
    </w:p>
    <w:p>
      <w:pPr>
        <w:spacing w:after="0" w:line="142" w:lineRule="exact"/>
        <w:rPr>
          <w:sz w:val="20"/>
          <w:szCs w:val="20"/>
          <w:color w:val="auto"/>
        </w:rPr>
      </w:pPr>
    </w:p>
    <w:p>
      <w:pPr>
        <w:jc w:val="both"/>
        <w:ind w:left="2560" w:hanging="646"/>
        <w:spacing w:after="0" w:line="256" w:lineRule="auto"/>
        <w:tabs>
          <w:tab w:leader="none" w:pos="2555" w:val="left"/>
        </w:tabs>
        <w:numPr>
          <w:ilvl w:val="1"/>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 amount equal to the sum of (A) the amount of any Investments by the Borrower and/or any Restricted Subsidiary pursuant to </w:t>
      </w:r>
      <w:r>
        <w:rPr>
          <w:rFonts w:ascii="Times New Roman" w:cs="Times New Roman" w:eastAsia="Times New Roman" w:hAnsi="Times New Roman"/>
          <w:sz w:val="21"/>
          <w:szCs w:val="21"/>
          <w:u w:val="single" w:color="auto"/>
          <w:color w:val="auto"/>
        </w:rPr>
        <w:t>Section 7.02(o)(2)</w:t>
      </w:r>
      <w:r>
        <w:rPr>
          <w:rFonts w:ascii="Times New Roman" w:cs="Times New Roman" w:eastAsia="Times New Roman" w:hAnsi="Times New Roman"/>
          <w:sz w:val="21"/>
          <w:szCs w:val="21"/>
          <w:color w:val="auto"/>
        </w:rPr>
        <w:t xml:space="preserve"> in any Unrestricted Subsidiary (in an amount not to exceed the original amount of such Investment made pursuant to </w:t>
      </w:r>
      <w:r>
        <w:rPr>
          <w:rFonts w:ascii="Times New Roman" w:cs="Times New Roman" w:eastAsia="Times New Roman" w:hAnsi="Times New Roman"/>
          <w:sz w:val="21"/>
          <w:szCs w:val="21"/>
          <w:u w:val="single" w:color="auto"/>
          <w:color w:val="auto"/>
        </w:rPr>
        <w:t>Section 7.02(o)(2)</w:t>
      </w:r>
      <w:r>
        <w:rPr>
          <w:rFonts w:ascii="Times New Roman" w:cs="Times New Roman" w:eastAsia="Times New Roman" w:hAnsi="Times New Roman"/>
          <w:sz w:val="21"/>
          <w:szCs w:val="21"/>
          <w:color w:val="auto"/>
        </w:rPr>
        <w:t xml:space="preserve">) that has been re-designated as a Restricted Subsidiary or has been merged, consolidated or amalgamated with or into, or is liquidated, wound up or dissolved into, the Borrower or any Restricted Subsidiary and (B) the fair market value (as reasonably determined by the Borrower) of the property or assets of any Unrestricted Subsidiary that have been transferred, conveyed or otherwise distributed (in an amount not to exceed the original amount of the Investment in such Unrestricted Subsidiary made pursuant to </w:t>
      </w:r>
      <w:r>
        <w:rPr>
          <w:rFonts w:ascii="Times New Roman" w:cs="Times New Roman" w:eastAsia="Times New Roman" w:hAnsi="Times New Roman"/>
          <w:sz w:val="21"/>
          <w:szCs w:val="21"/>
          <w:u w:val="single" w:color="auto"/>
          <w:color w:val="auto"/>
        </w:rPr>
        <w:t>Section 7.02(o)(2)</w:t>
      </w:r>
      <w:r>
        <w:rPr>
          <w:rFonts w:ascii="Times New Roman" w:cs="Times New Roman" w:eastAsia="Times New Roman" w:hAnsi="Times New Roman"/>
          <w:sz w:val="21"/>
          <w:szCs w:val="21"/>
          <w:color w:val="auto"/>
        </w:rPr>
        <w:t xml:space="preserve">) to the Borrower and/or any Restricted Subsidiary, in each case, during the period from and including the day immediately following the Closing Date through and including such time; </w:t>
      </w:r>
      <w:r>
        <w:rPr>
          <w:rFonts w:ascii="Times New Roman" w:cs="Times New Roman" w:eastAsia="Times New Roman" w:hAnsi="Times New Roman"/>
          <w:sz w:val="21"/>
          <w:szCs w:val="21"/>
          <w:u w:val="single" w:color="auto"/>
          <w:color w:val="auto"/>
        </w:rPr>
        <w:t>plus</w:t>
      </w:r>
    </w:p>
    <w:p>
      <w:pPr>
        <w:spacing w:after="0" w:line="174" w:lineRule="exact"/>
        <w:rPr>
          <w:rFonts w:ascii="Times New Roman" w:cs="Times New Roman" w:eastAsia="Times New Roman" w:hAnsi="Times New Roman"/>
          <w:sz w:val="21"/>
          <w:szCs w:val="21"/>
          <w:color w:val="auto"/>
        </w:rPr>
      </w:pPr>
    </w:p>
    <w:p>
      <w:pPr>
        <w:ind w:left="2540" w:hanging="626"/>
        <w:spacing w:after="0"/>
        <w:tabs>
          <w:tab w:leader="none" w:pos="2540" w:val="left"/>
        </w:tabs>
        <w:numPr>
          <w:ilvl w:val="1"/>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amount of Declined Proceeds; </w:t>
      </w:r>
      <w:r>
        <w:rPr>
          <w:rFonts w:ascii="Times New Roman" w:cs="Times New Roman" w:eastAsia="Times New Roman" w:hAnsi="Times New Roman"/>
          <w:sz w:val="21"/>
          <w:szCs w:val="21"/>
          <w:u w:val="single" w:color="auto"/>
          <w:color w:val="auto"/>
        </w:rPr>
        <w:t>minus</w:t>
      </w:r>
    </w:p>
    <w:p>
      <w:pPr>
        <w:spacing w:after="0" w:line="209" w:lineRule="exact"/>
        <w:rPr>
          <w:rFonts w:ascii="Times New Roman" w:cs="Times New Roman" w:eastAsia="Times New Roman" w:hAnsi="Times New Roman"/>
          <w:sz w:val="21"/>
          <w:szCs w:val="21"/>
          <w:color w:val="auto"/>
        </w:rPr>
      </w:pPr>
    </w:p>
    <w:p>
      <w:pPr>
        <w:jc w:val="both"/>
        <w:ind w:left="640" w:firstLine="638"/>
        <w:spacing w:after="0" w:line="226" w:lineRule="auto"/>
        <w:tabs>
          <w:tab w:leader="none" w:pos="1907"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 amount equal to the sum of (1) Investments made pursuant to </w:t>
      </w:r>
      <w:r>
        <w:rPr>
          <w:rFonts w:ascii="Times New Roman" w:cs="Times New Roman" w:eastAsia="Times New Roman" w:hAnsi="Times New Roman"/>
          <w:sz w:val="21"/>
          <w:szCs w:val="21"/>
          <w:u w:val="single" w:color="auto"/>
          <w:color w:val="auto"/>
        </w:rPr>
        <w:t>Section 7.02(o)(2)</w:t>
      </w:r>
      <w:r>
        <w:rPr>
          <w:rFonts w:ascii="Times New Roman" w:cs="Times New Roman" w:eastAsia="Times New Roman" w:hAnsi="Times New Roman"/>
          <w:sz w:val="21"/>
          <w:szCs w:val="21"/>
          <w:color w:val="auto"/>
        </w:rPr>
        <w:t xml:space="preserve">, (2) Restricted Payments made pursuant to </w:t>
      </w:r>
      <w:r>
        <w:rPr>
          <w:rFonts w:ascii="Times New Roman" w:cs="Times New Roman" w:eastAsia="Times New Roman" w:hAnsi="Times New Roman"/>
          <w:sz w:val="21"/>
          <w:szCs w:val="21"/>
          <w:u w:val="single" w:color="auto"/>
          <w:color w:val="auto"/>
        </w:rPr>
        <w:t>Section 7.06(e)(2)</w:t>
      </w:r>
      <w:r>
        <w:rPr>
          <w:rFonts w:ascii="Times New Roman" w:cs="Times New Roman" w:eastAsia="Times New Roman" w:hAnsi="Times New Roman"/>
          <w:sz w:val="21"/>
          <w:szCs w:val="21"/>
          <w:color w:val="auto"/>
        </w:rPr>
        <w:t xml:space="preserve"> and (3) payments, redemptions, purchases, defeasements or other satisfactions of Restricted Indebtedness made pursuant to </w:t>
      </w:r>
      <w:r>
        <w:rPr>
          <w:rFonts w:ascii="Times New Roman" w:cs="Times New Roman" w:eastAsia="Times New Roman" w:hAnsi="Times New Roman"/>
          <w:sz w:val="21"/>
          <w:szCs w:val="21"/>
          <w:u w:val="single" w:color="auto"/>
          <w:color w:val="auto"/>
        </w:rPr>
        <w:t>Section 7.14(d)</w:t>
      </w:r>
      <w:r>
        <w:rPr>
          <w:rFonts w:ascii="Times New Roman" w:cs="Times New Roman" w:eastAsia="Times New Roman" w:hAnsi="Times New Roman"/>
          <w:sz w:val="21"/>
          <w:szCs w:val="21"/>
          <w:color w:val="auto"/>
        </w:rPr>
        <w:t>, in each case, made after the Closing Date and prior to such time, or contemporaneously therewith.</w:t>
      </w:r>
    </w:p>
    <w:p>
      <w:pPr>
        <w:spacing w:after="0" w:line="173" w:lineRule="exact"/>
        <w:rPr>
          <w:sz w:val="20"/>
          <w:szCs w:val="20"/>
          <w:color w:val="auto"/>
        </w:rPr>
      </w:pPr>
    </w:p>
    <w:p>
      <w:pPr>
        <w:jc w:val="both"/>
        <w:ind w:firstLine="636"/>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Available Tenor</w:t>
      </w:r>
      <w:r>
        <w:rPr>
          <w:rFonts w:ascii="Times New Roman" w:cs="Times New Roman" w:eastAsia="Times New Roman" w:hAnsi="Times New Roman"/>
          <w:sz w:val="21"/>
          <w:szCs w:val="21"/>
          <w:color w:val="auto"/>
        </w:rPr>
        <w:t xml:space="preserve">” means, as of any date of determination and with respect to the then-current Benchmark for any Agreed Currency,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w:t>
      </w:r>
      <w:r>
        <w:rPr>
          <w:rFonts w:ascii="Times New Roman" w:cs="Times New Roman" w:eastAsia="Times New Roman" w:hAnsi="Times New Roman"/>
          <w:sz w:val="21"/>
          <w:szCs w:val="21"/>
          <w:u w:val="single" w:color="auto"/>
          <w:color w:val="auto"/>
        </w:rPr>
        <w:t>Section 3.08</w:t>
      </w:r>
      <w:r>
        <w:rPr>
          <w:rFonts w:ascii="Times New Roman" w:cs="Times New Roman" w:eastAsia="Times New Roman" w:hAnsi="Times New Roman"/>
          <w:sz w:val="21"/>
          <w:szCs w:val="21"/>
          <w:color w:val="auto"/>
        </w:rPr>
        <w:t>.</w:t>
      </w:r>
    </w:p>
    <w:p>
      <w:pPr>
        <w:spacing w:after="0" w:line="140"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Bail-In Action</w:t>
      </w:r>
      <w:r>
        <w:rPr>
          <w:rFonts w:ascii="Times New Roman" w:cs="Times New Roman" w:eastAsia="Times New Roman" w:hAnsi="Times New Roman"/>
          <w:sz w:val="21"/>
          <w:szCs w:val="21"/>
          <w:color w:val="auto"/>
        </w:rPr>
        <w:t>” means the exercise of any Write-Down and Conversion Powers by the applicable Resolution Authority in respect of any liability of an Affected Financial Institution.</w:t>
      </w:r>
    </w:p>
    <w:p>
      <w:pPr>
        <w:spacing w:after="0" w:line="135" w:lineRule="exact"/>
        <w:rPr>
          <w:sz w:val="20"/>
          <w:szCs w:val="20"/>
          <w:color w:val="auto"/>
        </w:rPr>
      </w:pPr>
    </w:p>
    <w:p>
      <w:pPr>
        <w:jc w:val="both"/>
        <w:ind w:firstLine="636"/>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Bail-in Legislation</w:t>
      </w:r>
      <w:r>
        <w:rPr>
          <w:rFonts w:ascii="Times New Roman" w:cs="Times New Roman" w:eastAsia="Times New Roman" w:hAnsi="Times New Roman"/>
          <w:sz w:val="21"/>
          <w:szCs w:val="21"/>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397"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21"/>
          <w:szCs w:val="21"/>
          <w:color w:val="auto"/>
        </w:rPr>
        <w:t>financial institutions or their affiliates (other than through liquidation, administration or other insolvency proceedings).</w:t>
      </w:r>
    </w:p>
    <w:p>
      <w:pPr>
        <w:spacing w:after="0" w:line="179" w:lineRule="exact"/>
        <w:rPr>
          <w:sz w:val="20"/>
          <w:szCs w:val="20"/>
          <w:color w:val="auto"/>
        </w:rPr>
      </w:pPr>
    </w:p>
    <w:p>
      <w:pPr>
        <w:jc w:val="both"/>
        <w:ind w:firstLine="636"/>
        <w:spacing w:after="0" w:line="23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Bank Guarantee</w:t>
      </w:r>
      <w:r>
        <w:rPr>
          <w:rFonts w:ascii="Times New Roman" w:cs="Times New Roman" w:eastAsia="Times New Roman" w:hAnsi="Times New Roman"/>
          <w:sz w:val="21"/>
          <w:szCs w:val="21"/>
          <w:color w:val="auto"/>
        </w:rPr>
        <w:t>” means any bank guarantee, demand guarantee, bank bond or comparable instrument issued or to be issued pursuant to Section 2.03(a) by a Bank Guarantee Issuer or Affiliate thereof in form and substance satisfactory to the issuer thereof.</w:t>
      </w:r>
    </w:p>
    <w:p>
      <w:pPr>
        <w:spacing w:after="0" w:line="145"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Bank Guarantee Issuer</w:t>
      </w:r>
      <w:r>
        <w:rPr>
          <w:rFonts w:ascii="Times New Roman" w:cs="Times New Roman" w:eastAsia="Times New Roman" w:hAnsi="Times New Roman"/>
          <w:sz w:val="21"/>
          <w:szCs w:val="21"/>
          <w:color w:val="auto"/>
        </w:rPr>
        <w:t>” means any Revolving Credit Lender that agrees, in its sole discretion, to issue any Bank Guarantee pursuant hereto, in its capacity as issuer of such Bank Guarantee.</w:t>
      </w:r>
    </w:p>
    <w:p>
      <w:pPr>
        <w:spacing w:after="0" w:line="135" w:lineRule="exact"/>
        <w:rPr>
          <w:sz w:val="20"/>
          <w:szCs w:val="20"/>
          <w:color w:val="auto"/>
        </w:rPr>
      </w:pPr>
    </w:p>
    <w:p>
      <w:pPr>
        <w:jc w:val="both"/>
        <w:ind w:firstLine="636"/>
        <w:spacing w:after="0" w:line="21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Base Rate</w:t>
      </w:r>
      <w:r>
        <w:rPr>
          <w:rFonts w:ascii="Times New Roman" w:cs="Times New Roman" w:eastAsia="Times New Roman" w:hAnsi="Times New Roman"/>
          <w:sz w:val="21"/>
          <w:szCs w:val="21"/>
          <w:color w:val="auto"/>
        </w:rPr>
        <w:t xml:space="preserve">” means, for any day, a rate per annum equal to the greatest of (a) the Prime Rate in effect on such day, (b) the NYFRB Rate in effect on such day plus ½ of 1.00% and (c) </w:t>
      </w:r>
      <w:r>
        <w:rPr>
          <w:rFonts w:ascii="Times New Roman" w:cs="Times New Roman" w:eastAsia="Times New Roman" w:hAnsi="Times New Roman"/>
          <w:sz w:val="21"/>
          <w:szCs w:val="21"/>
          <w:b w:val="1"/>
          <w:bCs w:val="1"/>
          <w:color w:val="FF0000"/>
          <w:strike w:val="1"/>
        </w:rPr>
        <w:t>the Adjusted</w:t>
      </w:r>
      <w:r>
        <w:rPr>
          <w:rFonts w:ascii="Times New Roman" w:cs="Times New Roman" w:eastAsia="Times New Roman" w:hAnsi="Times New Roman"/>
          <w:sz w:val="21"/>
          <w:szCs w:val="21"/>
          <w:color w:val="auto"/>
        </w:rPr>
        <w:t xml:space="preserve"> Term SOFR </w:t>
      </w:r>
      <w:r>
        <w:rPr>
          <w:rFonts w:ascii="Times New Roman" w:cs="Times New Roman" w:eastAsia="Times New Roman" w:hAnsi="Times New Roman"/>
          <w:sz w:val="21"/>
          <w:szCs w:val="21"/>
          <w:b w:val="1"/>
          <w:bCs w:val="1"/>
          <w:color w:val="FF0000"/>
        </w:rPr>
        <w:t>Rate</w:t>
      </w:r>
      <w:r>
        <w:rPr>
          <w:rFonts w:ascii="Times New Roman" w:cs="Times New Roman" w:eastAsia="Times New Roman" w:hAnsi="Times New Roman"/>
          <w:sz w:val="21"/>
          <w:szCs w:val="21"/>
          <w:color w:val="auto"/>
        </w:rPr>
        <w:t xml:space="preserve"> for a one month Interest Period as published two U.S. Government Securities Business Days prior to such day (or if such day is not a U.S. Government Securities Business Day, the immediately preceding U.S. Government Securities Business Day) plus 1.00%; provided that for the purpose of this definition, </w:t>
      </w:r>
      <w:r>
        <w:rPr>
          <w:rFonts w:ascii="Times New Roman" w:cs="Times New Roman" w:eastAsia="Times New Roman" w:hAnsi="Times New Roman"/>
          <w:sz w:val="21"/>
          <w:szCs w:val="21"/>
          <w:b w:val="1"/>
          <w:bCs w:val="1"/>
          <w:color w:val="FF0000"/>
          <w:strike w:val="1"/>
        </w:rPr>
        <w:t>the Adjusted</w:t>
      </w:r>
      <w:r>
        <w:rPr>
          <w:rFonts w:ascii="Times New Roman" w:cs="Times New Roman" w:eastAsia="Times New Roman" w:hAnsi="Times New Roman"/>
          <w:sz w:val="21"/>
          <w:szCs w:val="21"/>
          <w:color w:val="auto"/>
        </w:rPr>
        <w:t xml:space="preserve"> Term SOFR </w:t>
      </w:r>
      <w:r>
        <w:rPr>
          <w:rFonts w:ascii="Times New Roman" w:cs="Times New Roman" w:eastAsia="Times New Roman" w:hAnsi="Times New Roman"/>
          <w:sz w:val="21"/>
          <w:szCs w:val="21"/>
          <w:b w:val="1"/>
          <w:bCs w:val="1"/>
          <w:color w:val="FF0000"/>
          <w:strike w:val="1"/>
        </w:rPr>
        <w:t>Rate</w:t>
      </w:r>
      <w:r>
        <w:rPr>
          <w:rFonts w:ascii="Times New Roman" w:cs="Times New Roman" w:eastAsia="Times New Roman" w:hAnsi="Times New Roman"/>
          <w:sz w:val="21"/>
          <w:szCs w:val="21"/>
          <w:color w:val="auto"/>
        </w:rPr>
        <w:t xml:space="preserve"> for any day shall be based on the Term SOFR Reference Rate at approximately 5:00 a.m. Chicago time on such day </w:t>
      </w:r>
      <w:r>
        <w:rPr>
          <w:rFonts w:ascii="Times New Roman" w:cs="Times New Roman" w:eastAsia="Times New Roman" w:hAnsi="Times New Roman"/>
          <w:sz w:val="21"/>
          <w:szCs w:val="21"/>
          <w:b w:val="1"/>
          <w:bCs w:val="1"/>
          <w:color w:val="FF0000"/>
          <w:strike w:val="1"/>
        </w:rPr>
        <w:t>the Adjusted</w:t>
      </w:r>
      <w:r>
        <w:rPr>
          <w:rFonts w:ascii="Times New Roman" w:cs="Times New Roman" w:eastAsia="Times New Roman" w:hAnsi="Times New Roman"/>
          <w:sz w:val="21"/>
          <w:szCs w:val="21"/>
          <w:color w:val="auto"/>
        </w:rPr>
        <w:t xml:space="preserve"> Term SOFR </w:t>
      </w:r>
      <w:r>
        <w:rPr>
          <w:rFonts w:ascii="Times New Roman" w:cs="Times New Roman" w:eastAsia="Times New Roman" w:hAnsi="Times New Roman"/>
          <w:sz w:val="21"/>
          <w:szCs w:val="21"/>
          <w:b w:val="1"/>
          <w:bCs w:val="1"/>
          <w:color w:val="FF0000"/>
        </w:rPr>
        <w:t>Rate</w:t>
      </w:r>
      <w:r>
        <w:rPr>
          <w:rFonts w:ascii="Times New Roman" w:cs="Times New Roman" w:eastAsia="Times New Roman" w:hAnsi="Times New Roman"/>
          <w:sz w:val="21"/>
          <w:szCs w:val="21"/>
          <w:color w:val="auto"/>
        </w:rPr>
        <w:t xml:space="preserve"> is published in accordance with clause (c) (or any amended publication time for the Term SOFR Reference Rate, as specified by the CME Term SOFR Administrator in the Term SOFR Reference Rate methodology). Any change in the Base Rate due to a change in the Prime Rate, the NYFRB Rate or </w:t>
      </w:r>
      <w:r>
        <w:rPr>
          <w:rFonts w:ascii="Times New Roman" w:cs="Times New Roman" w:eastAsia="Times New Roman" w:hAnsi="Times New Roman"/>
          <w:sz w:val="21"/>
          <w:szCs w:val="21"/>
          <w:b w:val="1"/>
          <w:bCs w:val="1"/>
          <w:color w:val="FF0000"/>
          <w:strike w:val="1"/>
        </w:rPr>
        <w:t>the Adjusted</w:t>
      </w:r>
      <w:r>
        <w:rPr>
          <w:rFonts w:ascii="Times New Roman" w:cs="Times New Roman" w:eastAsia="Times New Roman" w:hAnsi="Times New Roman"/>
          <w:sz w:val="21"/>
          <w:szCs w:val="21"/>
          <w:color w:val="auto"/>
        </w:rPr>
        <w:t xml:space="preserve"> Term SOFR </w:t>
      </w:r>
      <w:r>
        <w:rPr>
          <w:rFonts w:ascii="Times New Roman" w:cs="Times New Roman" w:eastAsia="Times New Roman" w:hAnsi="Times New Roman"/>
          <w:sz w:val="21"/>
          <w:szCs w:val="21"/>
          <w:b w:val="1"/>
          <w:bCs w:val="1"/>
          <w:color w:val="FF0000"/>
          <w:strike w:val="1"/>
        </w:rPr>
        <w:t>Rate</w:t>
      </w:r>
      <w:r>
        <w:rPr>
          <w:rFonts w:ascii="Times New Roman" w:cs="Times New Roman" w:eastAsia="Times New Roman" w:hAnsi="Times New Roman"/>
          <w:sz w:val="21"/>
          <w:szCs w:val="21"/>
          <w:color w:val="auto"/>
        </w:rPr>
        <w:t xml:space="preserve"> shall be effective from and including the effective date of such change in the Prime Rate, the NYFRB Rate or </w:t>
      </w:r>
      <w:r>
        <w:rPr>
          <w:rFonts w:ascii="Times New Roman" w:cs="Times New Roman" w:eastAsia="Times New Roman" w:hAnsi="Times New Roman"/>
          <w:sz w:val="21"/>
          <w:szCs w:val="21"/>
          <w:b w:val="1"/>
          <w:bCs w:val="1"/>
          <w:color w:val="FF0000"/>
          <w:strike w:val="1"/>
        </w:rPr>
        <w:t>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FF0000"/>
          <w:strike w:val="1"/>
        </w:rPr>
        <w:t>Adjusted</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color w:val="000000"/>
        </w:rPr>
        <w:t>Term SOFR</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b w:val="1"/>
          <w:bCs w:val="1"/>
          <w:color w:val="FF0000"/>
          <w:strike w:val="1"/>
        </w:rPr>
        <w:t>Rate</w:t>
      </w:r>
      <w:r>
        <w:rPr>
          <w:rFonts w:ascii="Times New Roman" w:cs="Times New Roman" w:eastAsia="Times New Roman" w:hAnsi="Times New Roman"/>
          <w:sz w:val="21"/>
          <w:szCs w:val="21"/>
          <w:color w:val="000000"/>
        </w:rPr>
        <w:t>, respectively. If the Base Rate is being used as an alternate rate of interest pursuant to</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u w:val="single" w:color="auto"/>
          <w:color w:val="000000"/>
        </w:rPr>
        <w:t>Section 3.08</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color w:val="000000"/>
        </w:rPr>
        <w:t>(for</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color w:val="000000"/>
        </w:rPr>
        <w:t xml:space="preserve">the avoidance of doubt, only until the Benchmark Replacement has been determined pursuant to </w:t>
      </w:r>
      <w:r>
        <w:rPr>
          <w:rFonts w:ascii="Times New Roman" w:cs="Times New Roman" w:eastAsia="Times New Roman" w:hAnsi="Times New Roman"/>
          <w:sz w:val="21"/>
          <w:szCs w:val="21"/>
          <w:u w:val="single" w:color="auto"/>
          <w:color w:val="000000"/>
        </w:rPr>
        <w:t>Section 3.08(a)</w:t>
      </w:r>
      <w:r>
        <w:rPr>
          <w:rFonts w:ascii="Times New Roman" w:cs="Times New Roman" w:eastAsia="Times New Roman" w:hAnsi="Times New Roman"/>
          <w:sz w:val="21"/>
          <w:szCs w:val="21"/>
          <w:color w:val="000000"/>
        </w:rPr>
        <w:t>), then the Base Rate shall be the greater of clauses (a) and (b) above and shall be determined without reference to clause (c)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4866640</wp:posOffset>
            </wp:positionH>
            <wp:positionV relativeFrom="paragraph">
              <wp:posOffset>-1424940</wp:posOffset>
            </wp:positionV>
            <wp:extent cx="31115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8">
                      <a:extLst>
                        <a:ext uri="{28A0092B-C50C-407E-A947-70E740481C1C}"/>
                      </a:extLst>
                    </a:blip>
                    <a:srcRect/>
                    <a:stretch>
                      <a:fillRect/>
                    </a:stretch>
                  </pic:blipFill>
                  <pic:spPr bwMode="auto">
                    <a:xfrm>
                      <a:off x="0" y="0"/>
                      <a:ext cx="311150" cy="8255"/>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-886460</wp:posOffset>
            </wp:positionV>
            <wp:extent cx="32829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9">
                      <a:extLst>
                        <a:ext uri="{28A0092B-C50C-407E-A947-70E740481C1C}"/>
                      </a:extLst>
                    </a:blip>
                    <a:srcRect/>
                    <a:stretch>
                      <a:fillRect/>
                    </a:stretch>
                  </pic:blipFill>
                  <pic:spPr bwMode="auto">
                    <a:xfrm>
                      <a:off x="0" y="0"/>
                      <a:ext cx="328295" cy="8255"/>
                    </a:xfrm>
                    <a:prstGeom prst="rect">
                      <a:avLst/>
                    </a:prstGeom>
                    <a:noFill/>
                  </pic:spPr>
                </pic:pic>
              </a:graphicData>
            </a:graphic>
          </wp:anchor>
        </w:drawing>
      </w:r>
    </w:p>
    <w:p>
      <w:pPr>
        <w:spacing w:after="0" w:line="1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Base Rate Loan</w:t>
      </w:r>
      <w:r>
        <w:rPr>
          <w:rFonts w:ascii="Times New Roman" w:cs="Times New Roman" w:eastAsia="Times New Roman" w:hAnsi="Times New Roman"/>
          <w:sz w:val="21"/>
          <w:szCs w:val="21"/>
          <w:color w:val="auto"/>
        </w:rPr>
        <w:t>” means a Revolving Credit Loan or a Term Loan that bears interest based on the Base Rate.</w:t>
      </w:r>
    </w:p>
    <w:p>
      <w:pPr>
        <w:spacing w:after="0" w:line="183" w:lineRule="exact"/>
        <w:rPr>
          <w:sz w:val="20"/>
          <w:szCs w:val="20"/>
          <w:color w:val="auto"/>
        </w:rPr>
      </w:pPr>
    </w:p>
    <w:p>
      <w:pPr>
        <w:jc w:val="both"/>
        <w:ind w:firstLine="636"/>
        <w:spacing w:after="0" w:line="22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Benchmark</w:t>
      </w:r>
      <w:r>
        <w:rPr>
          <w:rFonts w:ascii="Times New Roman" w:cs="Times New Roman" w:eastAsia="Times New Roman" w:hAnsi="Times New Roman"/>
          <w:sz w:val="21"/>
          <w:szCs w:val="21"/>
          <w:color w:val="auto"/>
        </w:rPr>
        <w:t xml:space="preserve">” means, initially, with respect to any (a) RFR Loan in any Agreed Currency, the applicable Relevant Rate for such Agreed Currency or (b) Term Benchmark Loan, the Relevant Rate for such Agreed Currency;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a Benchmark Transition Event, and the related Benchmark Replacement Date have occurred with respect to the applicable Relevant Rate or the then-current Benchmark for such Agreed Currency, then “Benchmark” means the applicable Benchmark Replacement to the extent that such Benchmark Replacement has replaced such prior benchmark rate pursuant to clause (a) of </w:t>
      </w:r>
      <w:r>
        <w:rPr>
          <w:rFonts w:ascii="Times New Roman" w:cs="Times New Roman" w:eastAsia="Times New Roman" w:hAnsi="Times New Roman"/>
          <w:sz w:val="21"/>
          <w:szCs w:val="21"/>
          <w:u w:val="single" w:color="auto"/>
          <w:color w:val="auto"/>
        </w:rPr>
        <w:t>Section 3.08</w:t>
      </w:r>
      <w:r>
        <w:rPr>
          <w:rFonts w:ascii="Times New Roman" w:cs="Times New Roman" w:eastAsia="Times New Roman" w:hAnsi="Times New Roman"/>
          <w:sz w:val="21"/>
          <w:szCs w:val="21"/>
          <w:color w:val="auto"/>
        </w:rPr>
        <w:t>.</w:t>
      </w:r>
    </w:p>
    <w:p>
      <w:pPr>
        <w:spacing w:after="0" w:line="172"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Benchmark Replacement</w:t>
      </w:r>
      <w:r>
        <w:rPr>
          <w:rFonts w:ascii="Times New Roman" w:cs="Times New Roman" w:eastAsia="Times New Roman" w:hAnsi="Times New Roman"/>
          <w:sz w:val="21"/>
          <w:szCs w:val="21"/>
          <w:color w:val="auto"/>
        </w:rPr>
        <w:t xml:space="preserve">” means, for any Available Tenor, the first alternative set forth in the order below that can be determined by the Administrative Agent for the applicable Benchmark Replacement Date;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in the case of any Loan denominated in an Alternative Currency, “Benchmark Replacement” shall mean the alternative set forth in clause (b) below:</w:t>
      </w:r>
    </w:p>
    <w:p>
      <w:pPr>
        <w:spacing w:after="0" w:line="169" w:lineRule="exact"/>
        <w:rPr>
          <w:sz w:val="20"/>
          <w:szCs w:val="20"/>
          <w:color w:val="auto"/>
        </w:rPr>
      </w:pPr>
    </w:p>
    <w:p>
      <w:pPr>
        <w:ind w:left="1720" w:hanging="442"/>
        <w:spacing w:after="0"/>
        <w:tabs>
          <w:tab w:leader="none" w:pos="1720"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case of any Loan denominated in U.S. Dollars, </w:t>
      </w:r>
      <w:r>
        <w:rPr>
          <w:rFonts w:ascii="Times New Roman" w:cs="Times New Roman" w:eastAsia="Times New Roman" w:hAnsi="Times New Roman"/>
          <w:sz w:val="21"/>
          <w:szCs w:val="21"/>
          <w:b w:val="1"/>
          <w:bCs w:val="1"/>
          <w:color w:val="FF0000"/>
          <w:strike w:val="1"/>
        </w:rPr>
        <w:t>the Adjusted</w:t>
      </w:r>
      <w:r>
        <w:rPr>
          <w:rFonts w:ascii="Times New Roman" w:cs="Times New Roman" w:eastAsia="Times New Roman" w:hAnsi="Times New Roman"/>
          <w:sz w:val="21"/>
          <w:szCs w:val="21"/>
          <w:color w:val="auto"/>
        </w:rPr>
        <w:t xml:space="preserve"> Daily Simple SOFR;</w:t>
      </w:r>
    </w:p>
    <w:p>
      <w:pPr>
        <w:spacing w:after="0" w:line="226" w:lineRule="exact"/>
        <w:rPr>
          <w:rFonts w:ascii="Times New Roman" w:cs="Times New Roman" w:eastAsia="Times New Roman" w:hAnsi="Times New Roman"/>
          <w:sz w:val="21"/>
          <w:szCs w:val="21"/>
          <w:color w:val="auto"/>
        </w:rPr>
      </w:pPr>
    </w:p>
    <w:p>
      <w:pPr>
        <w:jc w:val="both"/>
        <w:ind w:left="640" w:firstLine="638"/>
        <w:spacing w:after="0" w:line="267" w:lineRule="auto"/>
        <w:tabs>
          <w:tab w:leader="none" w:pos="1887"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sum of: (i) the alternate benchmark rate that has been selected by the Administrative Agent and the Borrower as the replacement for the then-current Benchmark for the applicable Corresponding Tenor giving due consideration to (A)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1371" w:right="339" w:bottom="1440" w:gutter="0" w:footer="0" w:header="0"/>
        </w:sectPr>
      </w:pPr>
    </w:p>
    <w:bookmarkStart w:id="115" w:name="page116"/>
    <w:bookmarkEnd w:id="115"/>
    <w:p>
      <w:pPr>
        <w:jc w:val="both"/>
        <w:ind w:left="640"/>
        <w:spacing w:after="0" w:line="266" w:lineRule="auto"/>
        <w:rPr>
          <w:sz w:val="20"/>
          <w:szCs w:val="20"/>
          <w:color w:val="auto"/>
        </w:rPr>
      </w:pPr>
      <w:r>
        <w:rPr>
          <w:rFonts w:ascii="Times New Roman" w:cs="Times New Roman" w:eastAsia="Times New Roman" w:hAnsi="Times New Roman"/>
          <w:sz w:val="21"/>
          <w:szCs w:val="21"/>
          <w:color w:val="auto"/>
        </w:rPr>
        <w:t>selection or recommendation of a replacement benchmark rate or the mechanism for determining such a rate by the Relevant Governmental Body and (B) any evolving or then-prevailing market convention for determining a benchmark rate as a replacement for the then-current Benchmark for syndicated credit facilities denominated in the applicable Agreed Currency at such time in the United States and (ii) the related Benchmark Replacement Adjustment;</w:t>
      </w:r>
    </w:p>
    <w:p>
      <w:pPr>
        <w:spacing w:after="0" w:line="135" w:lineRule="exact"/>
        <w:rPr>
          <w:sz w:val="20"/>
          <w:szCs w:val="20"/>
          <w:color w:val="auto"/>
        </w:rPr>
      </w:pPr>
    </w:p>
    <w:p>
      <w:pPr>
        <w:jc w:val="both"/>
        <w:ind w:firstLine="636"/>
        <w:spacing w:after="0" w:line="245" w:lineRule="auto"/>
        <w:rPr>
          <w:sz w:val="20"/>
          <w:szCs w:val="20"/>
          <w:color w:val="auto"/>
        </w:rPr>
      </w:pPr>
      <w:r>
        <w:rPr>
          <w:rFonts w:ascii="Times New Roman" w:cs="Times New Roman" w:eastAsia="Times New Roman" w:hAnsi="Times New Roman"/>
          <w:sz w:val="21"/>
          <w:szCs w:val="21"/>
          <w:color w:val="auto"/>
        </w:rPr>
        <w:t>If the Benchmark Replacement as determined pursuant to clause (a) or (b) above would be less than the Floor, the Benchmark Replacement will be deemed to be the Floor for the purposes of this Agreement and the other Loan Documents.</w:t>
      </w:r>
    </w:p>
    <w:p>
      <w:pPr>
        <w:spacing w:after="0" w:line="139" w:lineRule="exact"/>
        <w:rPr>
          <w:sz w:val="20"/>
          <w:szCs w:val="20"/>
          <w:color w:val="auto"/>
        </w:rPr>
      </w:pPr>
    </w:p>
    <w:p>
      <w:pPr>
        <w:jc w:val="both"/>
        <w:ind w:firstLine="636"/>
        <w:spacing w:after="0" w:line="21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Benchmark Replacement Adjustment</w:t>
      </w:r>
      <w:r>
        <w:rPr>
          <w:rFonts w:ascii="Times New Roman" w:cs="Times New Roman" w:eastAsia="Times New Roman" w:hAnsi="Times New Roman"/>
          <w:sz w:val="21"/>
          <w:szCs w:val="21"/>
          <w:color w:val="auto"/>
        </w:rPr>
        <w:t>” 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(a)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(b)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Agreed Currency at such time.</w:t>
      </w:r>
    </w:p>
    <w:p>
      <w:pPr>
        <w:spacing w:after="0" w:line="149" w:lineRule="exact"/>
        <w:rPr>
          <w:sz w:val="20"/>
          <w:szCs w:val="20"/>
          <w:color w:val="auto"/>
        </w:rPr>
      </w:pPr>
    </w:p>
    <w:p>
      <w:pPr>
        <w:jc w:val="both"/>
        <w:ind w:firstLine="636"/>
        <w:spacing w:after="0" w:line="21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Benchmark Replacement Conforming Changes</w:t>
      </w:r>
      <w:r>
        <w:rPr>
          <w:rFonts w:ascii="Times New Roman" w:cs="Times New Roman" w:eastAsia="Times New Roman" w:hAnsi="Times New Roman"/>
          <w:sz w:val="21"/>
          <w:szCs w:val="21"/>
          <w:color w:val="auto"/>
        </w:rPr>
        <w:t>” means, with respect to any Benchmark Replacement, any technical, administrative or operational changes (including changes to the definition of “Base Rate,” the definition of “Business Day,” the definition of “U.S. Government Securities Business Day,” the definition of “RFR Business Day,” the definition of “Interest Period,” timing and frequency of determining rates and making payments of interest, timing of request for credit extension and other technical or administrative matters) that the Administrative Agent decides may be appropriate to reflect the adoption and implementation of such Benchmark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exists, in such other manner of administration as the Administrative Agent decides is reasonably necessary in connection with the administration of this Agreement and the other Loan Documents).</w:t>
      </w:r>
    </w:p>
    <w:p>
      <w:pPr>
        <w:spacing w:after="0" w:line="175" w:lineRule="exact"/>
        <w:rPr>
          <w:sz w:val="20"/>
          <w:szCs w:val="20"/>
          <w:color w:val="auto"/>
        </w:rPr>
      </w:pPr>
    </w:p>
    <w:p>
      <w:pPr>
        <w:ind w:right="80" w:firstLine="636"/>
        <w:spacing w:after="0" w:line="28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Benchmark Replacement Date</w:t>
      </w:r>
      <w:r>
        <w:rPr>
          <w:rFonts w:ascii="Times New Roman" w:cs="Times New Roman" w:eastAsia="Times New Roman" w:hAnsi="Times New Roman"/>
          <w:sz w:val="21"/>
          <w:szCs w:val="21"/>
          <w:color w:val="auto"/>
        </w:rPr>
        <w:t>” means</w:t>
      </w:r>
      <w:r>
        <w:rPr>
          <w:rFonts w:ascii="Times New Roman" w:cs="Times New Roman" w:eastAsia="Times New Roman" w:hAnsi="Times New Roman"/>
          <w:sz w:val="21"/>
          <w:szCs w:val="21"/>
          <w:b w:val="1"/>
          <w:bCs w:val="1"/>
          <w:u w:val="single" w:color="auto"/>
          <w:color w:val="0000FF"/>
        </w:rPr>
        <w:t>,</w:t>
      </w:r>
      <w:r>
        <w:rPr>
          <w:rFonts w:ascii="Times New Roman" w:cs="Times New Roman" w:eastAsia="Times New Roman" w:hAnsi="Times New Roman"/>
          <w:sz w:val="21"/>
          <w:szCs w:val="21"/>
          <w:color w:val="auto"/>
        </w:rPr>
        <w:t xml:space="preserve"> with respect to any Benchmark, the earliest to occur of the following events with respect to such then-current Benchmark:</w:t>
      </w:r>
    </w:p>
    <w:p>
      <w:pPr>
        <w:spacing w:after="0" w:line="138" w:lineRule="exact"/>
        <w:rPr>
          <w:sz w:val="20"/>
          <w:szCs w:val="20"/>
          <w:color w:val="auto"/>
        </w:rPr>
      </w:pPr>
    </w:p>
    <w:p>
      <w:pPr>
        <w:jc w:val="both"/>
        <w:ind w:left="1280" w:firstLine="634"/>
        <w:spacing w:after="0" w:line="266" w:lineRule="auto"/>
        <w:tabs>
          <w:tab w:leader="none" w:pos="2549"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in the case of clause (a) or (b)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40"/>
          </w:cols>
          <w:pgMar w:left="320" w:top="1397" w:right="339" w:bottom="1440" w:gutter="0" w:footer="0" w:header="0"/>
        </w:sectPr>
      </w:pPr>
    </w:p>
    <w:bookmarkStart w:id="116" w:name="page117"/>
    <w:bookmarkEnd w:id="116"/>
    <w:p>
      <w:pPr>
        <w:jc w:val="both"/>
        <w:ind w:left="1280" w:firstLine="634"/>
        <w:spacing w:after="0" w:line="259" w:lineRule="auto"/>
        <w:tabs>
          <w:tab w:leader="none" w:pos="2547"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(ii) 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(c) and even if any Available Tenor of such Benchmark (or such component thereof) continues to be provided on such date.</w:t>
      </w:r>
    </w:p>
    <w:p>
      <w:pPr>
        <w:spacing w:after="0" w:line="172"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21"/>
          <w:szCs w:val="21"/>
          <w:color w:val="auto"/>
        </w:rPr>
        <w:t>For the avoidance of doubt, (x) if the event giving rise to the Benchmark Replacement Date occurs on the same day as, but earlier than, the Reference Time in respect of any determination, the Benchmark Replacement Date will be deemed to have occurred prior to the Reference Time for such determination and (y) the “Benchmark Replacement Date” will be deemed to have occurred in the case of clause (i) or (ii) above with respect to any Benchmark upon the occurrence of the applicable event or events set forth therein with respect to all then-current Available Tenors of such Benchmark (or the published component used in the calculation thereof).</w:t>
      </w:r>
    </w:p>
    <w:p>
      <w:pPr>
        <w:spacing w:after="0" w:line="168" w:lineRule="exact"/>
        <w:rPr>
          <w:sz w:val="20"/>
          <w:szCs w:val="20"/>
          <w:color w:val="auto"/>
        </w:rPr>
      </w:pPr>
    </w:p>
    <w:p>
      <w:pPr>
        <w:ind w:right="420" w:firstLine="636"/>
        <w:spacing w:after="0" w:line="28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Benchmark Transition Event</w:t>
      </w:r>
      <w:r>
        <w:rPr>
          <w:rFonts w:ascii="Times New Roman" w:cs="Times New Roman" w:eastAsia="Times New Roman" w:hAnsi="Times New Roman"/>
          <w:sz w:val="21"/>
          <w:szCs w:val="21"/>
          <w:color w:val="auto"/>
        </w:rPr>
        <w:t>” means with respect to any Benchmark, the occurrence of one or more of the following events with respect to such then-current Benchmark:</w:t>
      </w:r>
    </w:p>
    <w:p>
      <w:pPr>
        <w:spacing w:after="0" w:line="151" w:lineRule="exact"/>
        <w:rPr>
          <w:sz w:val="20"/>
          <w:szCs w:val="20"/>
          <w:color w:val="auto"/>
        </w:rPr>
      </w:pPr>
    </w:p>
    <w:p>
      <w:pPr>
        <w:jc w:val="both"/>
        <w:ind w:left="640" w:firstLine="638"/>
        <w:spacing w:after="0" w:line="259" w:lineRule="auto"/>
        <w:tabs>
          <w:tab w:leader="none" w:pos="1909"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81" w:lineRule="exact"/>
        <w:rPr>
          <w:rFonts w:ascii="Times New Roman" w:cs="Times New Roman" w:eastAsia="Times New Roman" w:hAnsi="Times New Roman"/>
          <w:sz w:val="21"/>
          <w:szCs w:val="21"/>
          <w:color w:val="auto"/>
        </w:rPr>
      </w:pPr>
    </w:p>
    <w:p>
      <w:pPr>
        <w:jc w:val="both"/>
        <w:ind w:left="640" w:firstLine="638"/>
        <w:spacing w:after="0" w:line="255" w:lineRule="auto"/>
        <w:tabs>
          <w:tab w:leader="none" w:pos="1907"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public statement or publication of information by the regulatory supervisor for the administrator of such Benchmark (or the published component used in the calculation thereof), the Federal Reserve Board, the NYFRB, the CME Term SOFR Administrator, the central bank for the Agreed Currency applicable to such Benchmark,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at the time of such statement or publication, there is no successor administrator that will continue to provide any Available Tenor of such Benchmark (or such component thereof); or</w:t>
      </w:r>
    </w:p>
    <w:p>
      <w:pPr>
        <w:spacing w:after="0" w:line="200" w:lineRule="exact"/>
        <w:rPr>
          <w:rFonts w:ascii="Times New Roman" w:cs="Times New Roman" w:eastAsia="Times New Roman" w:hAnsi="Times New Roman"/>
          <w:sz w:val="21"/>
          <w:szCs w:val="21"/>
          <w:color w:val="auto"/>
        </w:rPr>
      </w:pPr>
    </w:p>
    <w:p>
      <w:pPr>
        <w:spacing w:after="0" w:line="233" w:lineRule="exact"/>
        <w:rPr>
          <w:rFonts w:ascii="Times New Roman" w:cs="Times New Roman" w:eastAsia="Times New Roman" w:hAnsi="Times New Roman"/>
          <w:sz w:val="21"/>
          <w:szCs w:val="21"/>
          <w:color w:val="auto"/>
        </w:rPr>
      </w:pPr>
    </w:p>
    <w:p>
      <w:pPr>
        <w:jc w:val="both"/>
        <w:ind w:left="640" w:firstLine="638"/>
        <w:spacing w:after="0" w:line="274" w:lineRule="auto"/>
        <w:tabs>
          <w:tab w:leader="none" w:pos="1909"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public statement or publication of information by the regulatory supervisor for the administrator of such Benchmark (or the published component used in the calculation thereof) announcing that all Available Tenors of such Benchmark (or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40"/>
          </w:cols>
          <w:pgMar w:left="320" w:top="1397" w:right="339" w:bottom="1440" w:gutter="0" w:footer="0" w:header="0"/>
        </w:sectPr>
      </w:pPr>
    </w:p>
    <w:bookmarkStart w:id="117" w:name="page118"/>
    <w:bookmarkEnd w:id="117"/>
    <w:p>
      <w:pPr>
        <w:ind w:left="640"/>
        <w:spacing w:after="0"/>
        <w:rPr>
          <w:sz w:val="20"/>
          <w:szCs w:val="20"/>
          <w:color w:val="auto"/>
        </w:rPr>
      </w:pPr>
      <w:r>
        <w:rPr>
          <w:rFonts w:ascii="Times New Roman" w:cs="Times New Roman" w:eastAsia="Times New Roman" w:hAnsi="Times New Roman"/>
          <w:sz w:val="21"/>
          <w:szCs w:val="21"/>
          <w:color w:val="auto"/>
        </w:rPr>
        <w:t>component thereof) are no longer, or as of a specified future date will no longer be, representative.</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For the avoidance of doubt, a “Benchmark Transition Event” will be deemed to have occurred with respect to any</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Benchmark if a public statement or publication of information set forth above has occurred with respect to each then-current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Available Tenor of such Benchmark (or the published component used in the calculation thereof).</w:t>
      </w:r>
    </w:p>
    <w:p>
      <w:pPr>
        <w:spacing w:after="0" w:line="206" w:lineRule="exact"/>
        <w:rPr>
          <w:sz w:val="20"/>
          <w:szCs w:val="20"/>
          <w:color w:val="auto"/>
        </w:rPr>
      </w:pPr>
    </w:p>
    <w:p>
      <w:pPr>
        <w:jc w:val="both"/>
        <w:ind w:firstLine="636"/>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Benchmark Unavailability Period</w:t>
      </w:r>
      <w:r>
        <w:rPr>
          <w:rFonts w:ascii="Times New Roman" w:cs="Times New Roman" w:eastAsia="Times New Roman" w:hAnsi="Times New Roman"/>
          <w:sz w:val="21"/>
          <w:szCs w:val="21"/>
          <w:color w:val="auto"/>
        </w:rPr>
        <w:t xml:space="preserve">” means, with respect to any Benchmark, the period (if any) (x) beginning at the time that a Benchmark Replacement Date pursuant to clauses (i) or (ii) of that definition has occurred if, at such time, no Benchmark Replacement has replaced such then-current Benchmark for all purposes hereunder and under any Loan Document in accordance with </w:t>
      </w:r>
      <w:r>
        <w:rPr>
          <w:rFonts w:ascii="Times New Roman" w:cs="Times New Roman" w:eastAsia="Times New Roman" w:hAnsi="Times New Roman"/>
          <w:sz w:val="21"/>
          <w:szCs w:val="21"/>
          <w:u w:val="single" w:color="auto"/>
          <w:color w:val="auto"/>
        </w:rPr>
        <w:t>Section 3.08</w:t>
      </w:r>
      <w:r>
        <w:rPr>
          <w:rFonts w:ascii="Times New Roman" w:cs="Times New Roman" w:eastAsia="Times New Roman" w:hAnsi="Times New Roman"/>
          <w:sz w:val="21"/>
          <w:szCs w:val="21"/>
          <w:color w:val="auto"/>
        </w:rPr>
        <w:t xml:space="preserve"> and (y) ending at the time that a Benchmark Replacement has replaced such then-current Benchmark for all purposes hereunder and under any Loan Document in accordance with </w:t>
      </w:r>
      <w:r>
        <w:rPr>
          <w:rFonts w:ascii="Times New Roman" w:cs="Times New Roman" w:eastAsia="Times New Roman" w:hAnsi="Times New Roman"/>
          <w:sz w:val="21"/>
          <w:szCs w:val="21"/>
          <w:u w:val="single" w:color="auto"/>
          <w:color w:val="auto"/>
        </w:rPr>
        <w:t>Section 3.08</w:t>
      </w:r>
      <w:r>
        <w:rPr>
          <w:rFonts w:ascii="Times New Roman" w:cs="Times New Roman" w:eastAsia="Times New Roman" w:hAnsi="Times New Roman"/>
          <w:sz w:val="21"/>
          <w:szCs w:val="21"/>
          <w:color w:val="auto"/>
        </w:rPr>
        <w:t>.</w:t>
      </w:r>
    </w:p>
    <w:p>
      <w:pPr>
        <w:spacing w:after="0" w:line="161" w:lineRule="exact"/>
        <w:rPr>
          <w:sz w:val="20"/>
          <w:szCs w:val="20"/>
          <w:color w:val="auto"/>
        </w:rPr>
      </w:pPr>
    </w:p>
    <w:p>
      <w:pPr>
        <w:jc w:val="both"/>
        <w:ind w:firstLine="636"/>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Beneficial Owner</w:t>
      </w:r>
      <w:r>
        <w:rPr>
          <w:rFonts w:ascii="Times New Roman" w:cs="Times New Roman" w:eastAsia="Times New Roman" w:hAnsi="Times New Roman"/>
          <w:sz w:val="21"/>
          <w:szCs w:val="21"/>
          <w:color w:val="auto"/>
        </w:rPr>
        <w:t>” has the meaning assigned to such term in Rule 13d-3 and Rule 13d-5 under the Exchange Act, except that in calculating the beneficial ownership of any particular “person” (as such term is used in Section 13(d)(3) of the Exchange Act), such “person” shall be deemed to have beneficial ownership of all securities that such “person” has the right to acquire, whether such right is currently exercisable or is exercisable only upon the occurrence of a subsequent condition.</w:t>
      </w:r>
    </w:p>
    <w:p>
      <w:pPr>
        <w:spacing w:after="0" w:line="161" w:lineRule="exact"/>
        <w:rPr>
          <w:sz w:val="20"/>
          <w:szCs w:val="20"/>
          <w:color w:val="auto"/>
        </w:rPr>
      </w:pPr>
    </w:p>
    <w:p>
      <w:pPr>
        <w:jc w:val="both"/>
        <w:ind w:firstLine="636"/>
        <w:spacing w:after="0" w:line="30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Beneficial Ownership Certification</w:t>
      </w:r>
      <w:r>
        <w:rPr>
          <w:rFonts w:ascii="Times New Roman" w:cs="Times New Roman" w:eastAsia="Times New Roman" w:hAnsi="Times New Roman"/>
          <w:sz w:val="21"/>
          <w:szCs w:val="21"/>
          <w:color w:val="auto"/>
        </w:rPr>
        <w:t>” means a certification regarding beneficial ownership required by the Beneficial Ownership Regulation.</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Beneficial Ownership Regulation</w:t>
      </w:r>
      <w:r>
        <w:rPr>
          <w:rFonts w:ascii="Times New Roman" w:cs="Times New Roman" w:eastAsia="Times New Roman" w:hAnsi="Times New Roman"/>
          <w:sz w:val="21"/>
          <w:szCs w:val="21"/>
          <w:color w:val="auto"/>
        </w:rPr>
        <w:t>” means 31 C.F.R. § 1010.230.</w:t>
      </w:r>
    </w:p>
    <w:p>
      <w:pPr>
        <w:spacing w:after="0" w:line="222" w:lineRule="exact"/>
        <w:rPr>
          <w:sz w:val="20"/>
          <w:szCs w:val="20"/>
          <w:color w:val="auto"/>
        </w:rPr>
      </w:pPr>
    </w:p>
    <w:p>
      <w:pPr>
        <w:jc w:val="both"/>
        <w:ind w:firstLine="636"/>
        <w:spacing w:after="0" w:line="26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Benefit Plan</w:t>
      </w:r>
      <w:r>
        <w:rPr>
          <w:rFonts w:ascii="Times New Roman" w:cs="Times New Roman" w:eastAsia="Times New Roman" w:hAnsi="Times New Roman"/>
          <w:sz w:val="21"/>
          <w:szCs w:val="21"/>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Borrower</w:t>
      </w:r>
      <w:r>
        <w:rPr>
          <w:rFonts w:ascii="Times New Roman" w:cs="Times New Roman" w:eastAsia="Times New Roman" w:hAnsi="Times New Roman"/>
          <w:sz w:val="21"/>
          <w:szCs w:val="21"/>
          <w:color w:val="auto"/>
        </w:rPr>
        <w:t>” has the meaning specified in the introductory paragraph hereto.</w:t>
      </w:r>
    </w:p>
    <w:p>
      <w:pPr>
        <w:spacing w:after="0" w:line="222" w:lineRule="exact"/>
        <w:rPr>
          <w:sz w:val="20"/>
          <w:szCs w:val="20"/>
          <w:color w:val="auto"/>
        </w:rPr>
      </w:pPr>
    </w:p>
    <w:p>
      <w:pPr>
        <w:jc w:val="both"/>
        <w:ind w:firstLine="636"/>
        <w:spacing w:after="0" w:line="263" w:lineRule="auto"/>
        <w:rPr>
          <w:sz w:val="20"/>
          <w:szCs w:val="20"/>
          <w:color w:val="auto"/>
        </w:rPr>
      </w:pPr>
      <w:r>
        <w:rPr>
          <w:rFonts w:ascii="Times New Roman" w:cs="Times New Roman" w:eastAsia="Times New Roman" w:hAnsi="Times New Roman"/>
          <w:sz w:val="21"/>
          <w:szCs w:val="21"/>
          <w:b w:val="1"/>
          <w:bCs w:val="1"/>
          <w:u w:val="single" w:color="auto"/>
          <w:color w:val="0000FF"/>
        </w:rPr>
        <w:t>“Borrower Communications” means, collectively, any Committed Loan Notice, notice of prepayment, notice requesting the issuance, amendment or extension of a Letter of Credit or other notice, demand, communication, information, document or other material provided by or on behalf of the Borrower pursuant to any Loan Document or the transactions contemplated therein which is distributed by the Borrower to the Administrative Agent through an Approved Borrower Portal.</w:t>
      </w:r>
    </w:p>
    <w:p>
      <w:pPr>
        <w:spacing w:after="0" w:line="16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Borrower Materials</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6.02</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240"/>
          </w:cols>
          <w:pgMar w:left="320" w:top="1397" w:right="339" w:bottom="1440" w:gutter="0" w:footer="0" w:header="0"/>
        </w:sectPr>
      </w:pPr>
    </w:p>
    <w:bookmarkStart w:id="118" w:name="page119"/>
    <w:bookmarkEnd w:id="118"/>
    <w:p>
      <w:pPr>
        <w:jc w:val="both"/>
        <w:ind w:firstLine="636"/>
        <w:spacing w:after="0" w:line="26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Borrower Retained ECF Amount</w:t>
      </w:r>
      <w:r>
        <w:rPr>
          <w:rFonts w:ascii="Times New Roman" w:cs="Times New Roman" w:eastAsia="Times New Roman" w:hAnsi="Times New Roman"/>
          <w:sz w:val="21"/>
          <w:szCs w:val="21"/>
          <w:color w:val="auto"/>
        </w:rPr>
        <w:t xml:space="preserve">” means, as at any date of determination, an amount equal to the Borrower Retained ECF Percentage of the Consolidated Excess Cash Flow of the Borrower for each Fiscal Year beginning with the Fiscal Year commencing October 1, 2021 through and including the last day of the most recently completed Fiscal Year with respect to which the Administrative Agent has received the Compliance Certificate required to be delivered pursuant to </w:t>
      </w:r>
      <w:r>
        <w:rPr>
          <w:rFonts w:ascii="Times New Roman" w:cs="Times New Roman" w:eastAsia="Times New Roman" w:hAnsi="Times New Roman"/>
          <w:sz w:val="21"/>
          <w:szCs w:val="21"/>
          <w:u w:val="single" w:color="auto"/>
          <w:color w:val="auto"/>
        </w:rPr>
        <w:t>Section 6.02(a)</w:t>
      </w:r>
      <w:r>
        <w:rPr>
          <w:rFonts w:ascii="Times New Roman" w:cs="Times New Roman" w:eastAsia="Times New Roman" w:hAnsi="Times New Roman"/>
          <w:sz w:val="21"/>
          <w:szCs w:val="21"/>
          <w:color w:val="auto"/>
        </w:rPr>
        <w:t>.</w:t>
      </w:r>
    </w:p>
    <w:p>
      <w:pPr>
        <w:spacing w:after="0" w:line="158"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Borrower Retained ECF Percentage</w:t>
      </w:r>
      <w:r>
        <w:rPr>
          <w:rFonts w:ascii="Times New Roman" w:cs="Times New Roman" w:eastAsia="Times New Roman" w:hAnsi="Times New Roman"/>
          <w:sz w:val="21"/>
          <w:szCs w:val="21"/>
          <w:color w:val="auto"/>
        </w:rPr>
        <w:t xml:space="preserve">” means, for any given Fiscal Year, 50%;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as of the last day of such Fiscal Year, the Secured Net Leverage Ratio is (x) less than or equal to 3.00:1.00 but greater than 2.25:1.00, the Borrower Retained ECF Percentage shall be 75% or (y) less than or equal to 2.25:1.00, the Borrower Retained ECF Percentage shall be 100%.</w:t>
      </w:r>
    </w:p>
    <w:p>
      <w:pPr>
        <w:spacing w:after="0" w:line="155" w:lineRule="exact"/>
        <w:rPr>
          <w:sz w:val="20"/>
          <w:szCs w:val="20"/>
          <w:color w:val="auto"/>
        </w:rPr>
      </w:pPr>
    </w:p>
    <w:p>
      <w:pPr>
        <w:jc w:val="both"/>
        <w:ind w:firstLine="636"/>
        <w:spacing w:after="0" w:line="30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Borrowing</w:t>
      </w:r>
      <w:r>
        <w:rPr>
          <w:rFonts w:ascii="Times New Roman" w:cs="Times New Roman" w:eastAsia="Times New Roman" w:hAnsi="Times New Roman"/>
          <w:sz w:val="21"/>
          <w:szCs w:val="21"/>
          <w:color w:val="auto"/>
        </w:rPr>
        <w:t>” means a Revolving Credit Borrowing of a particular Class, a Refinancing Term Loan Borrowing or an Incremental Borrowing, as the context may require.</w:t>
      </w:r>
    </w:p>
    <w:p>
      <w:pPr>
        <w:spacing w:after="0" w:line="121" w:lineRule="exact"/>
        <w:rPr>
          <w:sz w:val="20"/>
          <w:szCs w:val="20"/>
          <w:color w:val="auto"/>
        </w:rPr>
      </w:pPr>
    </w:p>
    <w:p>
      <w:pPr>
        <w:jc w:val="both"/>
        <w:ind w:firstLine="636"/>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Business Day</w:t>
      </w:r>
      <w:r>
        <w:rPr>
          <w:rFonts w:ascii="Times New Roman" w:cs="Times New Roman" w:eastAsia="Times New Roman" w:hAnsi="Times New Roman"/>
          <w:sz w:val="21"/>
          <w:szCs w:val="21"/>
          <w:color w:val="auto"/>
        </w:rPr>
        <w:t>” means (a) any day excluding Saturday, Sunday and any day which is a legal holiday under the laws of the State of New York or is a day on which banking institutions located in such state are authorized or required by law or other governmental action to close, (b) with respect to all notices, determinations, fundings and payments in connection with Term SOFR or any Term SOFR Loans, the term “Business Day” shall exclude any day that is not a U.S. Government Securities Business Day,</w:t>
      </w:r>
    </w:p>
    <w:p>
      <w:pPr>
        <w:spacing w:after="0" w:line="1" w:lineRule="exact"/>
        <w:rPr>
          <w:sz w:val="20"/>
          <w:szCs w:val="20"/>
          <w:color w:val="auto"/>
        </w:rPr>
      </w:pPr>
    </w:p>
    <w:p>
      <w:pPr>
        <w:jc w:val="both"/>
        <w:ind w:firstLine="6"/>
        <w:spacing w:after="0" w:line="262" w:lineRule="auto"/>
        <w:tabs>
          <w:tab w:leader="none" w:pos="302"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when used in connection with an RFR Loan, the term “Business Day” shall exclude any day that is not an RFR Business Day and (d) when used in connection with a Eurodollar Rate or any Eurodollar Rate Loan, the term “Business Day” shall exclude any day that is not a TARGET Day.</w:t>
      </w:r>
    </w:p>
    <w:p>
      <w:pPr>
        <w:spacing w:after="0" w:line="162" w:lineRule="exact"/>
        <w:rPr>
          <w:sz w:val="20"/>
          <w:szCs w:val="20"/>
          <w:color w:val="auto"/>
        </w:rPr>
      </w:pPr>
    </w:p>
    <w:p>
      <w:pPr>
        <w:jc w:val="both"/>
        <w:ind w:firstLine="636"/>
        <w:spacing w:after="0" w:line="28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Capital Expenditures</w:t>
      </w:r>
      <w:r>
        <w:rPr>
          <w:rFonts w:ascii="Times New Roman" w:cs="Times New Roman" w:eastAsia="Times New Roman" w:hAnsi="Times New Roman"/>
          <w:sz w:val="21"/>
          <w:szCs w:val="21"/>
          <w:color w:val="auto"/>
        </w:rPr>
        <w:t xml:space="preserve">” means, with respect to any Person for any period, any expenditure in respect of the purchase or other acquisition or maintenance of any fixed or capital asset, in each case, that </w:t>
      </w:r>
      <w:r>
        <w:rPr>
          <w:rFonts w:ascii="Times New Roman" w:cs="Times New Roman" w:eastAsia="Times New Roman" w:hAnsi="Times New Roman"/>
          <w:sz w:val="21"/>
          <w:szCs w:val="21"/>
          <w:b w:val="1"/>
          <w:bCs w:val="1"/>
          <w:color w:val="FF0000"/>
          <w:strike w:val="1"/>
        </w:rPr>
        <w:t>are</w:t>
      </w:r>
      <w:r>
        <w:rPr>
          <w:rFonts w:ascii="Times New Roman" w:cs="Times New Roman" w:eastAsia="Times New Roman" w:hAnsi="Times New Roman"/>
          <w:sz w:val="21"/>
          <w:szCs w:val="21"/>
          <w:b w:val="1"/>
          <w:bCs w:val="1"/>
          <w:u w:val="single" w:color="auto"/>
          <w:color w:val="0000FF"/>
        </w:rPr>
        <w:t>is</w:t>
      </w:r>
      <w:r>
        <w:rPr>
          <w:rFonts w:ascii="Times New Roman" w:cs="Times New Roman" w:eastAsia="Times New Roman" w:hAnsi="Times New Roman"/>
          <w:sz w:val="21"/>
          <w:szCs w:val="21"/>
          <w:color w:val="auto"/>
        </w:rPr>
        <w:t xml:space="preserve"> capitalized in accordance with GAAP.</w:t>
      </w:r>
    </w:p>
    <w:p>
      <w:pPr>
        <w:spacing w:after="0" w:line="134" w:lineRule="exact"/>
        <w:rPr>
          <w:sz w:val="20"/>
          <w:szCs w:val="20"/>
          <w:color w:val="auto"/>
        </w:rPr>
      </w:pPr>
    </w:p>
    <w:p>
      <w:pPr>
        <w:jc w:val="both"/>
        <w:ind w:firstLine="636"/>
        <w:spacing w:after="0" w:line="30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Capital Lease</w:t>
      </w:r>
      <w:r>
        <w:rPr>
          <w:rFonts w:ascii="Times New Roman" w:cs="Times New Roman" w:eastAsia="Times New Roman" w:hAnsi="Times New Roman"/>
          <w:sz w:val="21"/>
          <w:szCs w:val="21"/>
          <w:color w:val="auto"/>
        </w:rPr>
        <w:t>” means, with respect to any Person, any lease that is required by GAAP to be capitalized on a balance sheet of such Person.</w:t>
      </w:r>
    </w:p>
    <w:p>
      <w:pPr>
        <w:spacing w:after="0" w:line="121" w:lineRule="exact"/>
        <w:rPr>
          <w:sz w:val="20"/>
          <w:szCs w:val="20"/>
          <w:color w:val="auto"/>
        </w:rPr>
      </w:pPr>
    </w:p>
    <w:p>
      <w:pPr>
        <w:jc w:val="both"/>
        <w:ind w:firstLine="636"/>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Cash Collateralize</w:t>
      </w:r>
      <w:r>
        <w:rPr>
          <w:rFonts w:ascii="Times New Roman" w:cs="Times New Roman" w:eastAsia="Times New Roman" w:hAnsi="Times New Roman"/>
          <w:sz w:val="21"/>
          <w:szCs w:val="21"/>
          <w:color w:val="auto"/>
        </w:rPr>
        <w:t>” means to pledge and deposit with or deliver to the Administrative Agent, for the benefit of the Administrative Agent or any L/C Issuer (as applicable) and the Revolving Credit Lenders, as collateral for L/C Obligations or obligations of Revolving Credit Lenders to fund participations in respect thereof (as the context may require), cash or deposit account balances or, if the applicable L/C Issuer benefiting from such collateral shall agree in its sole discretion, other credit support, in each case pursuant to documentation in form and substance reasonably satisfactory to (a) the Administrative Agent and</w:t>
      </w:r>
    </w:p>
    <w:p>
      <w:pPr>
        <w:spacing w:after="0" w:line="2" w:lineRule="exact"/>
        <w:rPr>
          <w:sz w:val="20"/>
          <w:szCs w:val="20"/>
          <w:color w:val="auto"/>
        </w:rPr>
      </w:pPr>
    </w:p>
    <w:p>
      <w:pPr>
        <w:ind w:firstLine="6"/>
        <w:spacing w:after="0" w:line="261" w:lineRule="auto"/>
        <w:tabs>
          <w:tab w:leader="none" w:pos="303"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applicable L/C Issuer. “</w:t>
      </w:r>
      <w:r>
        <w:rPr>
          <w:rFonts w:ascii="Times New Roman" w:cs="Times New Roman" w:eastAsia="Times New Roman" w:hAnsi="Times New Roman"/>
          <w:sz w:val="21"/>
          <w:szCs w:val="21"/>
          <w:b w:val="1"/>
          <w:bCs w:val="1"/>
          <w:color w:val="auto"/>
        </w:rPr>
        <w:t>Cash Collateral</w:t>
      </w:r>
      <w:r>
        <w:rPr>
          <w:rFonts w:ascii="Times New Roman" w:cs="Times New Roman" w:eastAsia="Times New Roman" w:hAnsi="Times New Roman"/>
          <w:sz w:val="21"/>
          <w:szCs w:val="21"/>
          <w:color w:val="auto"/>
        </w:rPr>
        <w:t>” shall have a meaning correlative to the foregoing and shall include the proceeds of such cash collateral and other credit support.</w:t>
      </w:r>
    </w:p>
    <w:p>
      <w:pPr>
        <w:spacing w:after="0" w:line="162"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Cash Equivalents</w:t>
      </w:r>
      <w:r>
        <w:rPr>
          <w:rFonts w:ascii="Times New Roman" w:cs="Times New Roman" w:eastAsia="Times New Roman" w:hAnsi="Times New Roman"/>
          <w:sz w:val="21"/>
          <w:szCs w:val="21"/>
          <w:color w:val="auto"/>
        </w:rPr>
        <w:t>” means any of the following types of Investments, to the extent owned by the Borrower or any of its Restricted Subsidiaries free and clear of all Liens (other than Liens created under the Collateral Documents and other Liens permitted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1240"/>
          </w:cols>
          <w:pgMar w:left="320" w:top="1393" w:right="339" w:bottom="1440" w:gutter="0" w:footer="0" w:header="0"/>
        </w:sectPr>
      </w:pPr>
    </w:p>
    <w:bookmarkStart w:id="119" w:name="page120"/>
    <w:bookmarkEnd w:id="119"/>
    <w:p>
      <w:pPr>
        <w:jc w:val="both"/>
        <w:ind w:left="640" w:firstLine="638"/>
        <w:spacing w:after="0" w:line="267" w:lineRule="auto"/>
        <w:tabs>
          <w:tab w:leader="none" w:pos="1907" w:val="left"/>
        </w:tabs>
        <w:numPr>
          <w:ilvl w:val="1"/>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readily marketable obligations issued or directly and fully guaranteed or insured by the United States of America or any agency or instrumentality thereof having maturities of not more than two years from the date of acquisition thereof;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full faith and credit of the United States of America is pledged in support thereof;</w:t>
      </w:r>
    </w:p>
    <w:p>
      <w:pPr>
        <w:spacing w:after="0" w:line="174" w:lineRule="exact"/>
        <w:rPr>
          <w:rFonts w:ascii="Times New Roman" w:cs="Times New Roman" w:eastAsia="Times New Roman" w:hAnsi="Times New Roman"/>
          <w:sz w:val="21"/>
          <w:szCs w:val="21"/>
          <w:color w:val="auto"/>
        </w:rPr>
      </w:pPr>
    </w:p>
    <w:p>
      <w:pPr>
        <w:ind w:left="1920" w:hanging="642"/>
        <w:spacing w:after="0"/>
        <w:tabs>
          <w:tab w:leader="none" w:pos="1920" w:val="left"/>
        </w:tabs>
        <w:numPr>
          <w:ilvl w:val="1"/>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time deposits with, or insured certificates of deposit or bankers’ acceptances of, any commercial bank that (i)</w:t>
      </w:r>
    </w:p>
    <w:p>
      <w:pPr>
        <w:spacing w:after="0" w:line="34" w:lineRule="exact"/>
        <w:rPr>
          <w:rFonts w:ascii="Times New Roman" w:cs="Times New Roman" w:eastAsia="Times New Roman" w:hAnsi="Times New Roman"/>
          <w:sz w:val="21"/>
          <w:szCs w:val="21"/>
          <w:color w:val="auto"/>
        </w:rPr>
      </w:pPr>
    </w:p>
    <w:p>
      <w:pPr>
        <w:jc w:val="both"/>
        <w:ind w:left="640" w:firstLine="2"/>
        <w:spacing w:after="0" w:line="255" w:lineRule="auto"/>
        <w:tabs>
          <w:tab w:leader="none" w:pos="995"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is a Lender or (B) is organized under the laws of the United States of America or Canada, any state or province thereof or the District of Columbia or is the principal banking subsidiary of a bank holding company organized under the laws of the United States of America, any state thereof or the District of Columbia, and is a member of the Federal Reserve System, (ii) issues (or the parent of which issues) commercial paper rated as described in </w:t>
      </w:r>
      <w:r>
        <w:rPr>
          <w:rFonts w:ascii="Times New Roman" w:cs="Times New Roman" w:eastAsia="Times New Roman" w:hAnsi="Times New Roman"/>
          <w:sz w:val="21"/>
          <w:szCs w:val="21"/>
          <w:u w:val="single" w:color="auto"/>
          <w:color w:val="auto"/>
        </w:rPr>
        <w:t>clause (c)</w:t>
      </w:r>
      <w:r>
        <w:rPr>
          <w:rFonts w:ascii="Times New Roman" w:cs="Times New Roman" w:eastAsia="Times New Roman" w:hAnsi="Times New Roman"/>
          <w:sz w:val="21"/>
          <w:szCs w:val="21"/>
          <w:color w:val="auto"/>
        </w:rPr>
        <w:t xml:space="preserve"> of this definition and (iii) has combined capital and surplus of at least $1,000,000,000, in each case with maturities of not more than 365 days from the date of acquisition thereof;</w:t>
      </w:r>
    </w:p>
    <w:p>
      <w:pPr>
        <w:spacing w:after="0" w:line="172" w:lineRule="exact"/>
        <w:rPr>
          <w:rFonts w:ascii="Times New Roman" w:cs="Times New Roman" w:eastAsia="Times New Roman" w:hAnsi="Times New Roman"/>
          <w:sz w:val="21"/>
          <w:szCs w:val="21"/>
          <w:color w:val="auto"/>
        </w:rPr>
      </w:pPr>
    </w:p>
    <w:p>
      <w:pPr>
        <w:jc w:val="both"/>
        <w:ind w:left="640" w:firstLine="638"/>
        <w:spacing w:after="0" w:line="264" w:lineRule="auto"/>
        <w:tabs>
          <w:tab w:leader="none" w:pos="1912" w:val="left"/>
        </w:tabs>
        <w:numPr>
          <w:ilvl w:val="1"/>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commercial paper issued by any Person organized under the laws of any state of the United States of America and maturing no more than two years from the time of the acquisition thereof, and having, at the time of acquisition thereof, a rating of A-1 (or the then equivalent grade) or better from S&amp;P or P-1 (or the then equivalent grade) or better from Moody’s;</w:t>
      </w:r>
    </w:p>
    <w:p>
      <w:pPr>
        <w:spacing w:after="0" w:line="200" w:lineRule="exact"/>
        <w:rPr>
          <w:rFonts w:ascii="Times New Roman" w:cs="Times New Roman" w:eastAsia="Times New Roman" w:hAnsi="Times New Roman"/>
          <w:sz w:val="21"/>
          <w:szCs w:val="21"/>
          <w:color w:val="auto"/>
        </w:rPr>
      </w:pPr>
    </w:p>
    <w:p>
      <w:pPr>
        <w:spacing w:after="0" w:line="235" w:lineRule="exact"/>
        <w:rPr>
          <w:rFonts w:ascii="Times New Roman" w:cs="Times New Roman" w:eastAsia="Times New Roman" w:hAnsi="Times New Roman"/>
          <w:sz w:val="21"/>
          <w:szCs w:val="21"/>
          <w:color w:val="auto"/>
        </w:rPr>
      </w:pPr>
    </w:p>
    <w:p>
      <w:pPr>
        <w:jc w:val="both"/>
        <w:ind w:left="640" w:firstLine="638"/>
        <w:spacing w:after="0" w:line="261" w:lineRule="auto"/>
        <w:tabs>
          <w:tab w:leader="none" w:pos="1907" w:val="left"/>
        </w:tabs>
        <w:numPr>
          <w:ilvl w:val="1"/>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Investments, classified in accordance with GAAP as current assets of the Borrower or any of its Restricted Subsidiaries, in money market investment programs registered under the Investment Company Act of 1940, which have portfolios which are limited solely to Investments of the character, quality and maturity described in </w:t>
      </w:r>
      <w:r>
        <w:rPr>
          <w:rFonts w:ascii="Times New Roman" w:cs="Times New Roman" w:eastAsia="Times New Roman" w:hAnsi="Times New Roman"/>
          <w:sz w:val="21"/>
          <w:szCs w:val="21"/>
          <w:u w:val="single" w:color="auto"/>
          <w:color w:val="auto"/>
        </w:rPr>
        <w:t>clauses (a)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(c)</w:t>
      </w:r>
      <w:r>
        <w:rPr>
          <w:rFonts w:ascii="Times New Roman" w:cs="Times New Roman" w:eastAsia="Times New Roman" w:hAnsi="Times New Roman"/>
          <w:sz w:val="21"/>
          <w:szCs w:val="21"/>
          <w:color w:val="auto"/>
        </w:rPr>
        <w:t xml:space="preserve"> of this definition; and</w:t>
      </w:r>
    </w:p>
    <w:p>
      <w:pPr>
        <w:spacing w:after="0" w:line="168" w:lineRule="exact"/>
        <w:rPr>
          <w:rFonts w:ascii="Times New Roman" w:cs="Times New Roman" w:eastAsia="Times New Roman" w:hAnsi="Times New Roman"/>
          <w:sz w:val="21"/>
          <w:szCs w:val="21"/>
          <w:color w:val="auto"/>
        </w:rPr>
      </w:pPr>
    </w:p>
    <w:p>
      <w:pPr>
        <w:jc w:val="both"/>
        <w:ind w:left="640" w:firstLine="638"/>
        <w:spacing w:after="0" w:line="274" w:lineRule="auto"/>
        <w:tabs>
          <w:tab w:leader="none" w:pos="1907" w:val="left"/>
        </w:tabs>
        <w:numPr>
          <w:ilvl w:val="1"/>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solely with respect to Foreign Subsidiaries, investments of the types and maturities described in </w:t>
      </w:r>
      <w:r>
        <w:rPr>
          <w:rFonts w:ascii="Times New Roman" w:cs="Times New Roman" w:eastAsia="Times New Roman" w:hAnsi="Times New Roman"/>
          <w:sz w:val="21"/>
          <w:szCs w:val="21"/>
          <w:u w:val="single" w:color="auto"/>
          <w:color w:val="auto"/>
        </w:rPr>
        <w:t>clauses (a)</w:t>
      </w:r>
      <w:r>
        <w:rPr>
          <w:rFonts w:ascii="Times New Roman" w:cs="Times New Roman" w:eastAsia="Times New Roman" w:hAnsi="Times New Roman"/>
          <w:sz w:val="21"/>
          <w:szCs w:val="21"/>
          <w:color w:val="auto"/>
        </w:rPr>
        <w:t xml:space="preserve"> through </w:t>
      </w:r>
      <w:r>
        <w:rPr>
          <w:rFonts w:ascii="Times New Roman" w:cs="Times New Roman" w:eastAsia="Times New Roman" w:hAnsi="Times New Roman"/>
          <w:sz w:val="21"/>
          <w:szCs w:val="21"/>
          <w:u w:val="single" w:color="auto"/>
          <w:color w:val="auto"/>
        </w:rPr>
        <w:t>(d)</w:t>
      </w:r>
      <w:r>
        <w:rPr>
          <w:rFonts w:ascii="Times New Roman" w:cs="Times New Roman" w:eastAsia="Times New Roman" w:hAnsi="Times New Roman"/>
          <w:sz w:val="21"/>
          <w:szCs w:val="21"/>
          <w:color w:val="auto"/>
        </w:rPr>
        <w:t xml:space="preserve"> above issued, where relevant, by any commercial bank of recognized international standing chartered in the country where such Foreign Subsidiary is domiciled having unimpaired capital and surplus of at least $500,000,000.</w:t>
      </w:r>
    </w:p>
    <w:p>
      <w:pPr>
        <w:spacing w:after="0" w:line="149" w:lineRule="exact"/>
        <w:rPr>
          <w:sz w:val="20"/>
          <w:szCs w:val="20"/>
          <w:color w:val="auto"/>
        </w:rPr>
      </w:pPr>
    </w:p>
    <w:p>
      <w:pPr>
        <w:jc w:val="both"/>
        <w:ind w:firstLine="636"/>
        <w:spacing w:after="0" w:line="26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Cash Management Agreement</w:t>
      </w:r>
      <w:r>
        <w:rPr>
          <w:rFonts w:ascii="Times New Roman" w:cs="Times New Roman" w:eastAsia="Times New Roman" w:hAnsi="Times New Roman"/>
          <w:sz w:val="21"/>
          <w:szCs w:val="21"/>
          <w:color w:val="auto"/>
        </w:rPr>
        <w:t>” means any agreement to provide cash management services, including treasury, depository, overdraft, card services (including services related to credit cards, including purchasing and commercial cards, prepaid cards, including payroll, stored value and gift cards, merchant services processing and debit cards), electronic funds transfer and other cash management arrangements.</w:t>
      </w:r>
    </w:p>
    <w:p>
      <w:pPr>
        <w:spacing w:after="0" w:line="158"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Cash Management Bank</w:t>
      </w:r>
      <w:r>
        <w:rPr>
          <w:rFonts w:ascii="Times New Roman" w:cs="Times New Roman" w:eastAsia="Times New Roman" w:hAnsi="Times New Roman"/>
          <w:sz w:val="21"/>
          <w:szCs w:val="21"/>
          <w:color w:val="auto"/>
        </w:rPr>
        <w:t>” means any Person that, (a) at the time it enters into a Cash Management Agreement with any Loan Party, is a Lender, the Administrative Agent or an Arranger or an Affiliate of a Lender, the Administrative Agent or an Arranger, in its capacity as a party to such Cash Management Agreement, and (b) in the case of any Cash Management Agreement entered into prior to, and existing on, the Closing Date, any Person that is, on the Closing Date, a Lender, the Administrative Agent or an Arranger or Affiliate of a Lender,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w:t>
      </w:r>
    </w:p>
    <w:p>
      <w:pPr>
        <w:sectPr>
          <w:pgSz w:w="11900" w:h="16838" w:orient="portrait"/>
          <w:cols w:equalWidth="0" w:num="1">
            <w:col w:w="11240"/>
          </w:cols>
          <w:pgMar w:left="320" w:top="1397"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21"/>
          <w:szCs w:val="21"/>
          <w:color w:val="auto"/>
        </w:rPr>
        <w:t>Administrative Agent or an Arranger, in its capacity as a party to such Cash Management Agreement.</w:t>
      </w:r>
    </w:p>
    <w:p>
      <w:pPr>
        <w:spacing w:after="0" w:line="218" w:lineRule="exact"/>
        <w:rPr>
          <w:sz w:val="20"/>
          <w:szCs w:val="20"/>
          <w:color w:val="auto"/>
        </w:rPr>
      </w:pPr>
    </w:p>
    <w:p>
      <w:pPr>
        <w:jc w:val="both"/>
        <w:ind w:firstLine="636"/>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Central Bank Rate</w:t>
      </w:r>
      <w:r>
        <w:rPr>
          <w:rFonts w:ascii="Times New Roman" w:cs="Times New Roman" w:eastAsia="Times New Roman" w:hAnsi="Times New Roman"/>
          <w:sz w:val="21"/>
          <w:szCs w:val="21"/>
          <w:color w:val="auto"/>
        </w:rPr>
        <w:t>” means, the greater of (i) (x) for any Loan denominated in Sterling, the Bank of England (or any successor thereto)’s “Bank Rate” as published by the Bank of England (or any successor thereto) from time to time plus the applicable Central Bank Rate Adjustment and (y) for any Loan denominated in Euro, one of the following three rates as may be selected by the Administrative Agent in its reasonable discretion plus the applicable Central Bank Rate Adjustment: (1) the fixed rate for the main refinancing operations of the European Central Bank (or any successor thereto), or, if that rate is not published, the minimum bid rate for the main refinancing operations of the European Central Bank (or any successor thereto), each as published by the European Central Bank (or any successor thereto) from time to time, (2) the rate for the marginal lending facility of the European Central Bank (or any successor thereto), as published by the European Central Bank (or any successor thereto) from time to time or (3) the rate for the deposit facility of the central banking system of the Participating Member States, as published by the European Central Bank (or any successor thereto) from time to time and (ii) the Floor.</w:t>
      </w:r>
    </w:p>
    <w:p>
      <w:pPr>
        <w:spacing w:after="0" w:line="170" w:lineRule="exact"/>
        <w:rPr>
          <w:sz w:val="20"/>
          <w:szCs w:val="20"/>
          <w:color w:val="auto"/>
        </w:rPr>
      </w:pPr>
    </w:p>
    <w:p>
      <w:pPr>
        <w:jc w:val="both"/>
        <w:ind w:firstLine="636"/>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Central Bank Rate Adjustment</w:t>
      </w:r>
      <w:r>
        <w:rPr>
          <w:rFonts w:ascii="Times New Roman" w:cs="Times New Roman" w:eastAsia="Times New Roman" w:hAnsi="Times New Roman"/>
          <w:sz w:val="21"/>
          <w:szCs w:val="21"/>
          <w:color w:val="auto"/>
        </w:rPr>
        <w:t xml:space="preserve">” means, for any day, for any Loan denominated in (a) Sterling, a rate equal to the difference (which may be a positive or negative value or zero) of (i) the average of </w:t>
      </w:r>
      <w:r>
        <w:rPr>
          <w:rFonts w:ascii="Times New Roman" w:cs="Times New Roman" w:eastAsia="Times New Roman" w:hAnsi="Times New Roman"/>
          <w:sz w:val="21"/>
          <w:szCs w:val="21"/>
          <w:b w:val="1"/>
          <w:bCs w:val="1"/>
          <w:color w:val="FF0000"/>
          <w:strike w:val="1"/>
        </w:rPr>
        <w:t>Adjusted</w:t>
      </w:r>
      <w:r>
        <w:rPr>
          <w:rFonts w:ascii="Times New Roman" w:cs="Times New Roman" w:eastAsia="Times New Roman" w:hAnsi="Times New Roman"/>
          <w:sz w:val="21"/>
          <w:szCs w:val="21"/>
          <w:color w:val="auto"/>
        </w:rPr>
        <w:t xml:space="preserve"> Daily Simple RFR for borrowings in Sterling for the five (5) most recent RFR Business Days preceding such day for which SONIA was available (excluding, from such averaging, the highest and the lowest such </w:t>
      </w:r>
      <w:r>
        <w:rPr>
          <w:rFonts w:ascii="Times New Roman" w:cs="Times New Roman" w:eastAsia="Times New Roman" w:hAnsi="Times New Roman"/>
          <w:sz w:val="21"/>
          <w:szCs w:val="21"/>
          <w:b w:val="1"/>
          <w:bCs w:val="1"/>
          <w:color w:val="FF0000"/>
          <w:strike w:val="1"/>
        </w:rPr>
        <w:t>Adjusted</w:t>
      </w:r>
      <w:r>
        <w:rPr>
          <w:rFonts w:ascii="Times New Roman" w:cs="Times New Roman" w:eastAsia="Times New Roman" w:hAnsi="Times New Roman"/>
          <w:sz w:val="21"/>
          <w:szCs w:val="21"/>
          <w:color w:val="auto"/>
        </w:rPr>
        <w:t xml:space="preserve"> Daily Simple RFR applicable during such period of five (5) RFR Business Days) minus (ii) the Central Bank Rate in respect of Sterling in effect on the last RFR Business Day in such period and (b) Euro, a rate equal to the difference (which may be a positive or negative value or zero) of (i) the average of the Adjusted Eurodollar Rate for the five most recent Business Days preceding such day for which the EURIBOR Screen Rate was available (excluding, from such averaging, the highest and the lowest Adjusted Eurodollar Rate applicable during such period of five Business Days) minus (ii) the Central Bank Rate in respect of Euro in effect on the last Business Day in such period. For purposes of this definition, the term Central Bank Rate shall be determined disregarding clause (B) of the definition of such term.</w:t>
      </w:r>
    </w:p>
    <w:p>
      <w:pPr>
        <w:spacing w:after="0" w:line="170" w:lineRule="exact"/>
        <w:rPr>
          <w:sz w:val="20"/>
          <w:szCs w:val="20"/>
          <w:color w:val="auto"/>
        </w:rPr>
      </w:pPr>
    </w:p>
    <w:p>
      <w:pPr>
        <w:jc w:val="both"/>
        <w:ind w:firstLine="636"/>
        <w:spacing w:after="0" w:line="28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CERCLA</w:t>
      </w:r>
      <w:r>
        <w:rPr>
          <w:rFonts w:ascii="Times New Roman" w:cs="Times New Roman" w:eastAsia="Times New Roman" w:hAnsi="Times New Roman"/>
          <w:sz w:val="21"/>
          <w:szCs w:val="21"/>
          <w:color w:val="auto"/>
        </w:rPr>
        <w:t>” means the Comprehensive Environmental Response, Compensation, and Liability Act of 1980, as amended, and any rules or regulations promulgated thereunder.</w:t>
      </w:r>
    </w:p>
    <w:p>
      <w:pPr>
        <w:spacing w:after="0" w:line="134" w:lineRule="exact"/>
        <w:rPr>
          <w:sz w:val="20"/>
          <w:szCs w:val="20"/>
          <w:color w:val="auto"/>
        </w:rPr>
      </w:pPr>
    </w:p>
    <w:p>
      <w:pPr>
        <w:jc w:val="both"/>
        <w:ind w:firstLine="636"/>
        <w:spacing w:after="0" w:line="30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CFC</w:t>
      </w:r>
      <w:r>
        <w:rPr>
          <w:rFonts w:ascii="Times New Roman" w:cs="Times New Roman" w:eastAsia="Times New Roman" w:hAnsi="Times New Roman"/>
          <w:sz w:val="21"/>
          <w:szCs w:val="21"/>
          <w:color w:val="auto"/>
        </w:rPr>
        <w:t>” means a Subsidiary of the Borrower that is a “controlled foreign corporation” within the meaning of Section 957 of the Code.</w:t>
      </w:r>
    </w:p>
    <w:p>
      <w:pPr>
        <w:spacing w:after="0" w:line="121" w:lineRule="exact"/>
        <w:rPr>
          <w:sz w:val="20"/>
          <w:szCs w:val="20"/>
          <w:color w:val="auto"/>
        </w:rPr>
      </w:pPr>
    </w:p>
    <w:p>
      <w:pPr>
        <w:jc w:val="both"/>
        <w:ind w:firstLine="636"/>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Change in Law</w:t>
      </w:r>
      <w:r>
        <w:rPr>
          <w:rFonts w:ascii="Times New Roman" w:cs="Times New Roman" w:eastAsia="Times New Roman" w:hAnsi="Times New Roman"/>
          <w:sz w:val="21"/>
          <w:szCs w:val="21"/>
          <w:color w:val="auto"/>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guideline or directive (whether or not having the force of law) by any Governmental Authority;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notwithstanding anything herein to the contrary, (x) the Dodd-Frank Wall Street Reform and Consumer Protection Act and all requests, rules, guidelines or directives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15</w:t>
      </w:r>
    </w:p>
    <w:p>
      <w:pPr>
        <w:sectPr>
          <w:pgSz w:w="11900" w:h="16838" w:orient="portrait"/>
          <w:cols w:equalWidth="0" w:num="1">
            <w:col w:w="11240"/>
          </w:cols>
          <w:pgMar w:left="320" w:top="1397" w:right="339" w:bottom="1440" w:gutter="0" w:footer="0" w:header="0"/>
        </w:sectPr>
      </w:pPr>
    </w:p>
    <w:bookmarkStart w:id="121" w:name="page122"/>
    <w:bookmarkEnd w:id="121"/>
    <w:p>
      <w:pPr>
        <w:jc w:val="both"/>
        <w:spacing w:after="0" w:line="266" w:lineRule="auto"/>
        <w:rPr>
          <w:sz w:val="20"/>
          <w:szCs w:val="20"/>
          <w:color w:val="auto"/>
        </w:rPr>
      </w:pPr>
      <w:r>
        <w:rPr>
          <w:rFonts w:ascii="Times New Roman" w:cs="Times New Roman" w:eastAsia="Times New Roman" w:hAnsi="Times New Roman"/>
          <w:sz w:val="21"/>
          <w:szCs w:val="21"/>
          <w:color w:val="auto"/>
        </w:rPr>
        <w:t>or issued in connection therewith and (y) all requests, rules, guidelines or directives promulgated by the Bank for International Settlements, the Basel Committee on Banking Supervision (or any successor or similar authority) or United States or foreign regulatory authorities, in each case pursuant to Basel III, shall in each case be deemed to be a “Change in Law,” regardless of the date enacted, adopted or issued.</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Change of Control</w:t>
      </w:r>
      <w:r>
        <w:rPr>
          <w:rFonts w:ascii="Times New Roman" w:cs="Times New Roman" w:eastAsia="Times New Roman" w:hAnsi="Times New Roman"/>
          <w:sz w:val="21"/>
          <w:szCs w:val="21"/>
          <w:color w:val="auto"/>
        </w:rPr>
        <w:t>” means the occurrence of any of the following:</w:t>
      </w:r>
    </w:p>
    <w:p>
      <w:pPr>
        <w:spacing w:after="0" w:line="226" w:lineRule="exact"/>
        <w:rPr>
          <w:sz w:val="20"/>
          <w:szCs w:val="20"/>
          <w:color w:val="auto"/>
        </w:rPr>
      </w:pPr>
    </w:p>
    <w:p>
      <w:pPr>
        <w:jc w:val="both"/>
        <w:ind w:left="640" w:firstLine="638"/>
        <w:spacing w:after="0" w:line="267" w:lineRule="auto"/>
        <w:tabs>
          <w:tab w:leader="none" w:pos="1900" w:val="left"/>
        </w:tabs>
        <w:numPr>
          <w:ilvl w:val="1"/>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sale, lease, transfer, conveyance or other disposition (other than by way of merger or consolidation), in one or a series of related transactions, of all or substantially all of the assets of the Borrower and its Subsidiaries taken as a whole to any “person” (as such term is used in Section 13(d)(3) of the Exchange Act);</w:t>
      </w:r>
    </w:p>
    <w:p>
      <w:pPr>
        <w:spacing w:after="0" w:line="174" w:lineRule="exact"/>
        <w:rPr>
          <w:rFonts w:ascii="Times New Roman" w:cs="Times New Roman" w:eastAsia="Times New Roman" w:hAnsi="Times New Roman"/>
          <w:sz w:val="21"/>
          <w:szCs w:val="21"/>
          <w:color w:val="auto"/>
        </w:rPr>
      </w:pPr>
    </w:p>
    <w:p>
      <w:pPr>
        <w:ind w:left="1900" w:hanging="622"/>
        <w:spacing w:after="0"/>
        <w:tabs>
          <w:tab w:leader="none" w:pos="1900" w:val="left"/>
        </w:tabs>
        <w:numPr>
          <w:ilvl w:val="1"/>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adoption of a plan relating to the liquidation or dissolution of the Borrower;</w:t>
      </w:r>
    </w:p>
    <w:p>
      <w:pPr>
        <w:spacing w:after="0" w:line="222" w:lineRule="exact"/>
        <w:rPr>
          <w:rFonts w:ascii="Times New Roman" w:cs="Times New Roman" w:eastAsia="Times New Roman" w:hAnsi="Times New Roman"/>
          <w:sz w:val="21"/>
          <w:szCs w:val="21"/>
          <w:color w:val="auto"/>
        </w:rPr>
      </w:pPr>
    </w:p>
    <w:p>
      <w:pPr>
        <w:jc w:val="both"/>
        <w:ind w:left="640" w:firstLine="638"/>
        <w:spacing w:after="0" w:line="267" w:lineRule="auto"/>
        <w:tabs>
          <w:tab w:leader="none" w:pos="1907" w:val="left"/>
        </w:tabs>
        <w:numPr>
          <w:ilvl w:val="1"/>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consummation of any transaction (including, without limitation, any merger or consolidation) the result of which is that any “person” (as defined above) becomes the Beneficial Owner, directly or indirectly, of 50% or more of the Voting Stock of the Borrower, measured by voting power rather than number of shares; or</w:t>
      </w:r>
    </w:p>
    <w:p>
      <w:pPr>
        <w:spacing w:after="0" w:line="161" w:lineRule="exact"/>
        <w:rPr>
          <w:rFonts w:ascii="Times New Roman" w:cs="Times New Roman" w:eastAsia="Times New Roman" w:hAnsi="Times New Roman"/>
          <w:sz w:val="21"/>
          <w:szCs w:val="21"/>
          <w:color w:val="auto"/>
        </w:rPr>
      </w:pPr>
    </w:p>
    <w:p>
      <w:pPr>
        <w:jc w:val="both"/>
        <w:ind w:left="640" w:firstLine="638"/>
        <w:spacing w:after="0" w:line="262" w:lineRule="auto"/>
        <w:tabs>
          <w:tab w:leader="none" w:pos="1900" w:val="left"/>
        </w:tabs>
        <w:numPr>
          <w:ilvl w:val="1"/>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“Change of Control”, “Change in Control” or other substantively similar term under any of the Senior Notes or any other Indebtedness of the Borrower or any of its Restricted Subsidiaries with an aggregate principal amount in excess of the Threshold Amount (to the extent that the occurrence of such event permits the holders of Indebtedness thereunder to accelerate the maturity thereof or to resell such other Indebtedness to the Borrower, or requires the Borrower to repay, or offer to repurchase, such Indebtedness prior to the stated maturity thereof).</w:t>
      </w:r>
    </w:p>
    <w:p>
      <w:pPr>
        <w:spacing w:after="0" w:line="165" w:lineRule="exact"/>
        <w:rPr>
          <w:rFonts w:ascii="Times New Roman" w:cs="Times New Roman" w:eastAsia="Times New Roman" w:hAnsi="Times New Roman"/>
          <w:sz w:val="21"/>
          <w:szCs w:val="21"/>
          <w:color w:val="auto"/>
        </w:rPr>
      </w:pPr>
    </w:p>
    <w:p>
      <w:pPr>
        <w:ind w:left="1260" w:hanging="618"/>
        <w:spacing w:after="0"/>
        <w:tabs>
          <w:tab w:leader="none" w:pos="1260"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foregoing, the consummation of any of the Transactions shall not give rise to a Change of</w:t>
      </w:r>
    </w:p>
    <w:p>
      <w:pPr>
        <w:spacing w:after="0" w:line="34"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Control.</w:t>
      </w:r>
    </w:p>
    <w:p>
      <w:pPr>
        <w:spacing w:after="0" w:line="208"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Class</w:t>
      </w:r>
      <w:r>
        <w:rPr>
          <w:rFonts w:ascii="Times New Roman" w:cs="Times New Roman" w:eastAsia="Times New Roman" w:hAnsi="Times New Roman"/>
          <w:sz w:val="21"/>
          <w:szCs w:val="21"/>
          <w:color w:val="auto"/>
        </w:rPr>
        <w:t xml:space="preserve">” (a) when used with respect to any Lender, refers to whether such Lender has a Loan or Commitment with respect to a particular class of Loans or Commitments, (b) when used with respect to Commitments, refers to whether such Commitments are Revolving Credit Commitments, </w:t>
      </w:r>
      <w:r>
        <w:rPr>
          <w:rFonts w:ascii="Times New Roman" w:cs="Times New Roman" w:eastAsia="Times New Roman" w:hAnsi="Times New Roman"/>
          <w:sz w:val="21"/>
          <w:szCs w:val="21"/>
          <w:b w:val="1"/>
          <w:bCs w:val="1"/>
          <w:u w:val="single" w:color="auto"/>
          <w:color w:val="0000FF"/>
        </w:rPr>
        <w:t>2025 Revolving Credit Commitments,</w:t>
      </w:r>
      <w:r>
        <w:rPr>
          <w:rFonts w:ascii="Times New Roman" w:cs="Times New Roman" w:eastAsia="Times New Roman" w:hAnsi="Times New Roman"/>
          <w:sz w:val="21"/>
          <w:szCs w:val="21"/>
          <w:color w:val="auto"/>
        </w:rPr>
        <w:t xml:space="preserve"> Incremental Revolving Credit Commitments, Other Revolving Commitments of a given Refinancing Series, Incremental Term Loan Commitments or Refinancing Term Commitments of a given Refinancing Series and (c) when used with respect to Loans or a Borrowing, refers to whether such Loans, or the Loans comprising such Borrowing, are </w:t>
      </w:r>
      <w:r>
        <w:rPr>
          <w:rFonts w:ascii="Times New Roman" w:cs="Times New Roman" w:eastAsia="Times New Roman" w:hAnsi="Times New Roman"/>
          <w:sz w:val="21"/>
          <w:szCs w:val="21"/>
          <w:b w:val="1"/>
          <w:bCs w:val="1"/>
          <w:color w:val="FF0000"/>
          <w:strike w:val="1"/>
        </w:rPr>
        <w:t>Original</w:t>
      </w:r>
      <w:r>
        <w:rPr>
          <w:rFonts w:ascii="Times New Roman" w:cs="Times New Roman" w:eastAsia="Times New Roman" w:hAnsi="Times New Roman"/>
          <w:sz w:val="21"/>
          <w:szCs w:val="21"/>
          <w:b w:val="1"/>
          <w:bCs w:val="1"/>
          <w:u w:val="single" w:color="auto"/>
          <w:color w:val="0000FF"/>
        </w:rPr>
        <w:t>2025</w:t>
      </w:r>
      <w:r>
        <w:rPr>
          <w:rFonts w:ascii="Times New Roman" w:cs="Times New Roman" w:eastAsia="Times New Roman" w:hAnsi="Times New Roman"/>
          <w:sz w:val="21"/>
          <w:szCs w:val="21"/>
          <w:color w:val="auto"/>
        </w:rPr>
        <w:t xml:space="preserve"> Revolving Credit Loans, Incremental Revolving Loans, Other Revolving Loans of a given Refinancing Series, Incremental Term Loans or Refinancing Term Loans of a given Refinancing Series. Loans that are not fungible for United States federal income tax purposes shall be construed to be in different Classes or tranches. Commitments that, if and when drawn in the form of Loans, would yield Loans that are construed to be in different Classes or tranches pursuant to the immediately preceding sentence shall be construed to be in different Classes or tranches of Commitments corresponding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16</w:t>
      </w:r>
    </w:p>
    <w:p>
      <w:pPr>
        <w:sectPr>
          <w:pgSz w:w="11900" w:h="16838" w:orient="portrait"/>
          <w:cols w:equalWidth="0" w:num="1">
            <w:col w:w="11240"/>
          </w:cols>
          <w:pgMar w:left="320" w:top="1397" w:right="339" w:bottom="1440" w:gutter="0" w:footer="0" w:header="0"/>
        </w:sectPr>
      </w:pPr>
    </w:p>
    <w:bookmarkStart w:id="122" w:name="page123"/>
    <w:bookmarkEnd w:id="122"/>
    <w:p>
      <w:pPr>
        <w:jc w:val="both"/>
        <w:spacing w:after="0" w:line="285" w:lineRule="auto"/>
        <w:rPr>
          <w:sz w:val="20"/>
          <w:szCs w:val="20"/>
          <w:color w:val="auto"/>
        </w:rPr>
      </w:pPr>
      <w:r>
        <w:rPr>
          <w:rFonts w:ascii="Times New Roman" w:cs="Times New Roman" w:eastAsia="Times New Roman" w:hAnsi="Times New Roman"/>
          <w:sz w:val="21"/>
          <w:szCs w:val="21"/>
          <w:color w:val="auto"/>
        </w:rPr>
        <w:t>Loans. There shall be no more than an aggregate of two Classes of revolving credit facilities and two Classes of term loan facilities under this Agreement.</w:t>
      </w:r>
    </w:p>
    <w:p>
      <w:pPr>
        <w:spacing w:after="0" w:line="138" w:lineRule="exact"/>
        <w:rPr>
          <w:sz w:val="20"/>
          <w:szCs w:val="20"/>
          <w:color w:val="auto"/>
        </w:rPr>
      </w:pPr>
    </w:p>
    <w:p>
      <w:pPr>
        <w:jc w:val="both"/>
        <w:ind w:firstLine="636"/>
        <w:spacing w:after="0" w:line="30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Closing Date</w:t>
      </w:r>
      <w:r>
        <w:rPr>
          <w:rFonts w:ascii="Times New Roman" w:cs="Times New Roman" w:eastAsia="Times New Roman" w:hAnsi="Times New Roman"/>
          <w:sz w:val="21"/>
          <w:szCs w:val="21"/>
          <w:color w:val="auto"/>
        </w:rPr>
        <w:t xml:space="preserve">” means the first date all the conditions precedent referred to in </w:t>
      </w:r>
      <w:r>
        <w:rPr>
          <w:rFonts w:ascii="Times New Roman" w:cs="Times New Roman" w:eastAsia="Times New Roman" w:hAnsi="Times New Roman"/>
          <w:sz w:val="21"/>
          <w:szCs w:val="21"/>
          <w:u w:val="single" w:color="auto"/>
          <w:color w:val="auto"/>
        </w:rPr>
        <w:t>Section 4.01</w:t>
      </w:r>
      <w:r>
        <w:rPr>
          <w:rFonts w:ascii="Times New Roman" w:cs="Times New Roman" w:eastAsia="Times New Roman" w:hAnsi="Times New Roman"/>
          <w:sz w:val="21"/>
          <w:szCs w:val="21"/>
          <w:color w:val="auto"/>
        </w:rPr>
        <w:t xml:space="preserve"> are satisfied or waived in accordance with </w:t>
      </w:r>
      <w:r>
        <w:rPr>
          <w:rFonts w:ascii="Times New Roman" w:cs="Times New Roman" w:eastAsia="Times New Roman" w:hAnsi="Times New Roman"/>
          <w:sz w:val="21"/>
          <w:szCs w:val="21"/>
          <w:u w:val="single" w:color="auto"/>
          <w:color w:val="auto"/>
        </w:rPr>
        <w:t>Section 10.01</w:t>
      </w:r>
      <w:r>
        <w:rPr>
          <w:rFonts w:ascii="Times New Roman" w:cs="Times New Roman" w:eastAsia="Times New Roman" w:hAnsi="Times New Roman"/>
          <w:sz w:val="21"/>
          <w:szCs w:val="21"/>
          <w:color w:val="auto"/>
        </w:rPr>
        <w:t>, which date is March 10, 2022.</w:t>
      </w:r>
    </w:p>
    <w:p>
      <w:pPr>
        <w:spacing w:after="0" w:line="121" w:lineRule="exact"/>
        <w:rPr>
          <w:sz w:val="20"/>
          <w:szCs w:val="20"/>
          <w:color w:val="auto"/>
        </w:rPr>
      </w:pPr>
    </w:p>
    <w:p>
      <w:pPr>
        <w:jc w:val="both"/>
        <w:ind w:firstLine="636"/>
        <w:spacing w:after="0" w:line="28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CME Term SOFR Administrator</w:t>
      </w:r>
      <w:r>
        <w:rPr>
          <w:rFonts w:ascii="Times New Roman" w:cs="Times New Roman" w:eastAsia="Times New Roman" w:hAnsi="Times New Roman"/>
          <w:sz w:val="21"/>
          <w:szCs w:val="21"/>
          <w:color w:val="auto"/>
        </w:rPr>
        <w:t>” means CME Group Benchmark Administration Limited as administrator of the forward-looking term Secured Overnight Financing Rate (SOFR) (or a successor administrator).</w:t>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Code</w:t>
      </w:r>
      <w:r>
        <w:rPr>
          <w:rFonts w:ascii="Times New Roman" w:cs="Times New Roman" w:eastAsia="Times New Roman" w:hAnsi="Times New Roman"/>
          <w:sz w:val="21"/>
          <w:szCs w:val="21"/>
          <w:color w:val="auto"/>
        </w:rPr>
        <w:t>” means the Internal Revenue Code of 1986, as amended (unless otherwise provided herein).</w:t>
      </w:r>
    </w:p>
    <w:p>
      <w:pPr>
        <w:spacing w:after="0" w:line="222" w:lineRule="exact"/>
        <w:rPr>
          <w:sz w:val="20"/>
          <w:szCs w:val="20"/>
          <w:color w:val="auto"/>
        </w:rPr>
      </w:pPr>
    </w:p>
    <w:p>
      <w:pPr>
        <w:jc w:val="both"/>
        <w:ind w:firstLine="636"/>
        <w:spacing w:after="0" w:line="30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Collateral</w:t>
      </w:r>
      <w:r>
        <w:rPr>
          <w:rFonts w:ascii="Times New Roman" w:cs="Times New Roman" w:eastAsia="Times New Roman" w:hAnsi="Times New Roman"/>
          <w:sz w:val="21"/>
          <w:szCs w:val="21"/>
          <w:color w:val="auto"/>
        </w:rPr>
        <w:t>” means all of the “Collateral” referred to in the Collateral Documents and all of the other property provided as collateral security under the terms of the Collateral Documents.</w:t>
      </w:r>
    </w:p>
    <w:p>
      <w:pPr>
        <w:spacing w:after="0" w:line="121" w:lineRule="exact"/>
        <w:rPr>
          <w:sz w:val="20"/>
          <w:szCs w:val="20"/>
          <w:color w:val="auto"/>
        </w:rPr>
      </w:pPr>
    </w:p>
    <w:p>
      <w:pPr>
        <w:jc w:val="both"/>
        <w:ind w:firstLine="636"/>
        <w:spacing w:after="0" w:line="28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Collateral Agreement</w:t>
      </w:r>
      <w:r>
        <w:rPr>
          <w:rFonts w:ascii="Times New Roman" w:cs="Times New Roman" w:eastAsia="Times New Roman" w:hAnsi="Times New Roman"/>
          <w:sz w:val="21"/>
          <w:szCs w:val="21"/>
          <w:color w:val="auto"/>
        </w:rPr>
        <w:t xml:space="preserve">” means the guarantee and collateral agreement dated as of March 10, 2022 executed and delivered by the Loan Parties and substantially in the form of </w:t>
      </w:r>
      <w:r>
        <w:rPr>
          <w:rFonts w:ascii="Times New Roman" w:cs="Times New Roman" w:eastAsia="Times New Roman" w:hAnsi="Times New Roman"/>
          <w:sz w:val="21"/>
          <w:szCs w:val="21"/>
          <w:u w:val="single" w:color="auto"/>
          <w:color w:val="auto"/>
        </w:rPr>
        <w:t>Exhibit G</w:t>
      </w:r>
      <w:r>
        <w:rPr>
          <w:rFonts w:ascii="Times New Roman" w:cs="Times New Roman" w:eastAsia="Times New Roman" w:hAnsi="Times New Roman"/>
          <w:sz w:val="21"/>
          <w:szCs w:val="21"/>
          <w:color w:val="auto"/>
        </w:rPr>
        <w:t>.</w:t>
      </w:r>
    </w:p>
    <w:p>
      <w:pPr>
        <w:spacing w:after="0" w:line="134" w:lineRule="exact"/>
        <w:rPr>
          <w:sz w:val="20"/>
          <w:szCs w:val="20"/>
          <w:color w:val="auto"/>
        </w:rPr>
      </w:pPr>
    </w:p>
    <w:p>
      <w:pPr>
        <w:jc w:val="both"/>
        <w:ind w:firstLine="636"/>
        <w:spacing w:after="0" w:line="26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Collateral Documents</w:t>
      </w:r>
      <w:r>
        <w:rPr>
          <w:rFonts w:ascii="Times New Roman" w:cs="Times New Roman" w:eastAsia="Times New Roman" w:hAnsi="Times New Roman"/>
          <w:sz w:val="21"/>
          <w:szCs w:val="21"/>
          <w:color w:val="auto"/>
        </w:rPr>
        <w:t xml:space="preserve">” means, collectively, the Collateral Agreement, collateral assignments, supplements to all of the foregoing, security agreements, pledge agreements, control agreements or other similar agreements delivered to the Administrative Agent pursuant to </w:t>
      </w:r>
      <w:r>
        <w:rPr>
          <w:rFonts w:ascii="Times New Roman" w:cs="Times New Roman" w:eastAsia="Times New Roman" w:hAnsi="Times New Roman"/>
          <w:sz w:val="21"/>
          <w:szCs w:val="21"/>
          <w:u w:val="single" w:color="auto"/>
          <w:color w:val="auto"/>
        </w:rPr>
        <w:t>Section 4.01(a)(ii)</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6.11</w:t>
      </w:r>
      <w:r>
        <w:rPr>
          <w:rFonts w:ascii="Times New Roman" w:cs="Times New Roman" w:eastAsia="Times New Roman" w:hAnsi="Times New Roman"/>
          <w:sz w:val="21"/>
          <w:szCs w:val="21"/>
          <w:color w:val="auto"/>
        </w:rPr>
        <w:t>, and each of the other agreements, instruments or documents that creates or purports to create a Lien in favor of the Administrative Agent for the benefit of the Secured Parties.</w:t>
      </w:r>
    </w:p>
    <w:p>
      <w:pPr>
        <w:spacing w:after="0" w:line="158" w:lineRule="exact"/>
        <w:rPr>
          <w:sz w:val="20"/>
          <w:szCs w:val="20"/>
          <w:color w:val="auto"/>
        </w:rPr>
      </w:pPr>
    </w:p>
    <w:p>
      <w:pPr>
        <w:jc w:val="both"/>
        <w:ind w:firstLine="636"/>
        <w:spacing w:after="0" w:line="28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Co-Managers</w:t>
      </w:r>
      <w:r>
        <w:rPr>
          <w:rFonts w:ascii="Times New Roman" w:cs="Times New Roman" w:eastAsia="Times New Roman" w:hAnsi="Times New Roman"/>
          <w:sz w:val="21"/>
          <w:szCs w:val="21"/>
          <w:color w:val="auto"/>
        </w:rPr>
        <w:t>” means BMO Capital Markets Corp., Coöperatieve Rabobank U.A., New York Branch, Truist Securities, Inc., and Stifel Bank &amp; Trust, in their capacities as co-managers.</w:t>
      </w:r>
    </w:p>
    <w:p>
      <w:pPr>
        <w:spacing w:after="0" w:line="134" w:lineRule="exact"/>
        <w:rPr>
          <w:sz w:val="20"/>
          <w:szCs w:val="20"/>
          <w:color w:val="auto"/>
        </w:rPr>
      </w:pPr>
    </w:p>
    <w:p>
      <w:pPr>
        <w:jc w:val="both"/>
        <w:ind w:firstLine="636"/>
        <w:spacing w:after="0" w:line="27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Commitment</w:t>
      </w:r>
      <w:r>
        <w:rPr>
          <w:rFonts w:ascii="Times New Roman" w:cs="Times New Roman" w:eastAsia="Times New Roman" w:hAnsi="Times New Roman"/>
          <w:sz w:val="21"/>
          <w:szCs w:val="21"/>
          <w:color w:val="auto"/>
        </w:rPr>
        <w:t xml:space="preserve">” means a Revolving Credit Commitment, </w:t>
      </w:r>
      <w:r>
        <w:rPr>
          <w:rFonts w:ascii="Times New Roman" w:cs="Times New Roman" w:eastAsia="Times New Roman" w:hAnsi="Times New Roman"/>
          <w:sz w:val="21"/>
          <w:szCs w:val="21"/>
          <w:b w:val="1"/>
          <w:bCs w:val="1"/>
          <w:u w:val="single" w:color="auto"/>
          <w:color w:val="0000FF"/>
        </w:rPr>
        <w:t>a 2025 Revolving Credit Commitment,</w:t>
      </w:r>
      <w:r>
        <w:rPr>
          <w:rFonts w:ascii="Times New Roman" w:cs="Times New Roman" w:eastAsia="Times New Roman" w:hAnsi="Times New Roman"/>
          <w:sz w:val="21"/>
          <w:szCs w:val="21"/>
          <w:color w:val="auto"/>
        </w:rPr>
        <w:t xml:space="preserve"> an Incremental Revolving Credit Commitment, an Incremental Term Loan Commitment, a Refinancing Term Commitment or an Other Revolving Commitment, as the context may require.</w:t>
      </w:r>
    </w:p>
    <w:p>
      <w:pPr>
        <w:spacing w:after="0" w:line="147" w:lineRule="exact"/>
        <w:rPr>
          <w:sz w:val="20"/>
          <w:szCs w:val="20"/>
          <w:color w:val="auto"/>
        </w:rPr>
      </w:pPr>
    </w:p>
    <w:p>
      <w:pPr>
        <w:jc w:val="both"/>
        <w:ind w:firstLine="636"/>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Commitment Fee Rate</w:t>
      </w:r>
      <w:r>
        <w:rPr>
          <w:rFonts w:ascii="Times New Roman" w:cs="Times New Roman" w:eastAsia="Times New Roman" w:hAnsi="Times New Roman"/>
          <w:sz w:val="21"/>
          <w:szCs w:val="21"/>
          <w:color w:val="auto"/>
        </w:rPr>
        <w:t xml:space="preserve">” means (a) from the </w:t>
      </w:r>
      <w:r>
        <w:rPr>
          <w:rFonts w:ascii="Times New Roman" w:cs="Times New Roman" w:eastAsia="Times New Roman" w:hAnsi="Times New Roman"/>
          <w:sz w:val="21"/>
          <w:szCs w:val="21"/>
          <w:b w:val="1"/>
          <w:bCs w:val="1"/>
          <w:color w:val="FF0000"/>
          <w:strike w:val="1"/>
        </w:rPr>
        <w:t>Closing</w:t>
      </w:r>
      <w:r>
        <w:rPr>
          <w:rFonts w:ascii="Times New Roman" w:cs="Times New Roman" w:eastAsia="Times New Roman" w:hAnsi="Times New Roman"/>
          <w:sz w:val="21"/>
          <w:szCs w:val="21"/>
          <w:b w:val="1"/>
          <w:bCs w:val="1"/>
          <w:u w:val="single" w:color="auto"/>
          <w:color w:val="0000FF"/>
        </w:rPr>
        <w:t>First Amendment Effective</w:t>
      </w:r>
      <w:r>
        <w:rPr>
          <w:rFonts w:ascii="Times New Roman" w:cs="Times New Roman" w:eastAsia="Times New Roman" w:hAnsi="Times New Roman"/>
          <w:sz w:val="21"/>
          <w:szCs w:val="21"/>
          <w:color w:val="auto"/>
        </w:rPr>
        <w:t xml:space="preserve"> Date to the date following the </w:t>
      </w:r>
      <w:r>
        <w:rPr>
          <w:rFonts w:ascii="Times New Roman" w:cs="Times New Roman" w:eastAsia="Times New Roman" w:hAnsi="Times New Roman"/>
          <w:sz w:val="21"/>
          <w:szCs w:val="21"/>
          <w:b w:val="1"/>
          <w:bCs w:val="1"/>
          <w:color w:val="FF0000"/>
          <w:strike w:val="1"/>
        </w:rPr>
        <w:t>Closing</w:t>
      </w:r>
      <w:r>
        <w:rPr>
          <w:rFonts w:ascii="Times New Roman" w:cs="Times New Roman" w:eastAsia="Times New Roman" w:hAnsi="Times New Roman"/>
          <w:sz w:val="21"/>
          <w:szCs w:val="21"/>
          <w:b w:val="1"/>
          <w:bCs w:val="1"/>
          <w:u w:val="single" w:color="auto"/>
          <w:color w:val="0000FF"/>
        </w:rPr>
        <w:t>First Amendment Effective</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color w:val="000000"/>
        </w:rPr>
        <w:t>Date on which a Compliance Certificate is delivered pursuant to</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u w:val="single" w:color="auto"/>
          <w:color w:val="000000"/>
        </w:rPr>
        <w:t>Section 6.02(a)</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color w:val="000000"/>
        </w:rPr>
        <w:t>in respect of</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color w:val="000000"/>
        </w:rPr>
        <w:t xml:space="preserve">the first full fiscal quarter following the </w:t>
      </w:r>
      <w:r>
        <w:rPr>
          <w:rFonts w:ascii="Times New Roman" w:cs="Times New Roman" w:eastAsia="Times New Roman" w:hAnsi="Times New Roman"/>
          <w:sz w:val="21"/>
          <w:szCs w:val="21"/>
          <w:b w:val="1"/>
          <w:bCs w:val="1"/>
          <w:color w:val="FF0000"/>
          <w:strike w:val="1"/>
        </w:rPr>
        <w:t>Closing</w:t>
      </w:r>
      <w:r>
        <w:rPr>
          <w:rFonts w:ascii="Times New Roman" w:cs="Times New Roman" w:eastAsia="Times New Roman" w:hAnsi="Times New Roman"/>
          <w:sz w:val="21"/>
          <w:szCs w:val="21"/>
          <w:b w:val="1"/>
          <w:bCs w:val="1"/>
          <w:u w:val="single" w:color="auto"/>
          <w:color w:val="0000FF"/>
        </w:rPr>
        <w:t>First Amendment Effective</w:t>
      </w:r>
      <w:r>
        <w:rPr>
          <w:rFonts w:ascii="Times New Roman" w:cs="Times New Roman" w:eastAsia="Times New Roman" w:hAnsi="Times New Roman"/>
          <w:sz w:val="21"/>
          <w:szCs w:val="21"/>
          <w:color w:val="000000"/>
        </w:rPr>
        <w:t xml:space="preserve"> Date, 0.250% and (b) thereafter, the applicable percentage per annum set forth below determined by reference to the Secured Net Leverage Ratio as set forth in the most recent Compliance Certificate received by the Administrative Agent pursuant to </w:t>
      </w:r>
      <w:r>
        <w:rPr>
          <w:rFonts w:ascii="Times New Roman" w:cs="Times New Roman" w:eastAsia="Times New Roman" w:hAnsi="Times New Roman"/>
          <w:sz w:val="21"/>
          <w:szCs w:val="21"/>
          <w:u w:val="single" w:color="auto"/>
          <w:color w:val="000000"/>
        </w:rPr>
        <w:t>Section 6.02(a)</w:t>
      </w:r>
      <w:r>
        <w:rPr>
          <w:rFonts w:ascii="Times New Roman" w:cs="Times New Roman" w:eastAsia="Times New Roman" w:hAnsi="Times New Roman"/>
          <w:sz w:val="21"/>
          <w:szCs w:val="21"/>
          <w:color w:val="000000"/>
        </w:rPr>
        <w:t>:</w:t>
      </w:r>
    </w:p>
    <w:p>
      <w:pPr>
        <w:spacing w:after="0" w:line="186" w:lineRule="exact"/>
        <w:rPr>
          <w:sz w:val="20"/>
          <w:szCs w:val="20"/>
          <w:color w:val="auto"/>
        </w:rPr>
      </w:pPr>
    </w:p>
    <w:tbl>
      <w:tblPr>
        <w:tblLayout w:type="fixed"/>
        <w:tblInd w:w="1050" w:type="dxa"/>
        <w:tblCellMar>
          <w:top w:w="0" w:type="dxa"/>
          <w:left w:w="0" w:type="dxa"/>
          <w:bottom w:w="0" w:type="dxa"/>
          <w:right w:w="0" w:type="dxa"/>
        </w:tblCellMar>
      </w:tblPr>
      <w:tr>
        <w:trPr>
          <w:trHeight w:val="313"/>
        </w:trPr>
        <w:tc>
          <w:tcPr>
            <w:tcW w:w="16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b w:val="1"/>
                <w:bCs w:val="1"/>
                <w:color w:val="auto"/>
              </w:rPr>
              <w:t>Pricing</w:t>
            </w:r>
          </w:p>
        </w:tc>
        <w:tc>
          <w:tcPr>
            <w:tcW w:w="1140" w:type="dxa"/>
            <w:vAlign w:val="bottom"/>
            <w:tcBorders>
              <w:top w:val="single" w:sz="8" w:color="auto"/>
            </w:tcBorders>
          </w:tcPr>
          <w:p>
            <w:pPr>
              <w:spacing w:after="0"/>
              <w:rPr>
                <w:sz w:val="24"/>
                <w:szCs w:val="24"/>
                <w:color w:val="auto"/>
              </w:rPr>
            </w:pPr>
          </w:p>
        </w:tc>
        <w:tc>
          <w:tcPr>
            <w:tcW w:w="2340" w:type="dxa"/>
            <w:vAlign w:val="bottom"/>
            <w:tcBorders>
              <w:top w:val="single" w:sz="8" w:color="auto"/>
              <w:right w:val="single" w:sz="8" w:color="auto"/>
            </w:tcBorders>
            <w:gridSpan w:val="2"/>
          </w:tcPr>
          <w:p>
            <w:pPr>
              <w:jc w:val="center"/>
              <w:ind w:right="1160"/>
              <w:spacing w:after="0"/>
              <w:rPr>
                <w:sz w:val="20"/>
                <w:szCs w:val="20"/>
                <w:color w:val="auto"/>
              </w:rPr>
            </w:pPr>
            <w:r>
              <w:rPr>
                <w:rFonts w:ascii="Times New Roman" w:cs="Times New Roman" w:eastAsia="Times New Roman" w:hAnsi="Times New Roman"/>
                <w:sz w:val="21"/>
                <w:szCs w:val="21"/>
                <w:b w:val="1"/>
                <w:bCs w:val="1"/>
                <w:color w:val="auto"/>
              </w:rPr>
              <w:t>Secured Net</w:t>
            </w:r>
          </w:p>
        </w:tc>
        <w:tc>
          <w:tcPr>
            <w:tcW w:w="2540" w:type="dxa"/>
            <w:vAlign w:val="bottom"/>
            <w:tcBorders>
              <w:top w:val="single" w:sz="8" w:color="auto"/>
              <w:right w:val="single" w:sz="8" w:color="auto"/>
            </w:tcBorders>
            <w:gridSpan w:val="3"/>
            <w:vMerge w:val="restart"/>
          </w:tcPr>
          <w:p>
            <w:pPr>
              <w:ind w:left="240"/>
              <w:spacing w:after="0"/>
              <w:rPr>
                <w:sz w:val="20"/>
                <w:szCs w:val="20"/>
                <w:color w:val="auto"/>
              </w:rPr>
            </w:pPr>
            <w:r>
              <w:rPr>
                <w:rFonts w:ascii="Times New Roman" w:cs="Times New Roman" w:eastAsia="Times New Roman" w:hAnsi="Times New Roman"/>
                <w:sz w:val="21"/>
                <w:szCs w:val="21"/>
                <w:b w:val="1"/>
                <w:bCs w:val="1"/>
                <w:color w:val="auto"/>
              </w:rPr>
              <w:t>Commitment Fee Rate</w:t>
            </w: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b w:val="1"/>
                <w:bCs w:val="1"/>
                <w:color w:val="auto"/>
                <w:w w:val="97"/>
              </w:rPr>
              <w:t>Level</w:t>
            </w:r>
          </w:p>
        </w:tc>
        <w:tc>
          <w:tcPr>
            <w:tcW w:w="3480" w:type="dxa"/>
            <w:vAlign w:val="bottom"/>
            <w:tcBorders>
              <w:right w:val="single" w:sz="8" w:color="auto"/>
            </w:tcBorders>
            <w:gridSpan w:val="3"/>
            <w:vMerge w:val="restart"/>
          </w:tcPr>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Leverage Ratio</w:t>
            </w:r>
          </w:p>
        </w:tc>
        <w:tc>
          <w:tcPr>
            <w:tcW w:w="2540" w:type="dxa"/>
            <w:vAlign w:val="bottom"/>
            <w:tcBorders>
              <w:right w:val="single" w:sz="8" w:color="auto"/>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640" w:type="dxa"/>
            <w:vAlign w:val="bottom"/>
            <w:tcBorders>
              <w:left w:val="single" w:sz="8" w:color="auto"/>
              <w:right w:val="single" w:sz="8" w:color="auto"/>
            </w:tcBorders>
            <w:vMerge w:val="continue"/>
          </w:tcPr>
          <w:p>
            <w:pPr>
              <w:spacing w:after="0"/>
              <w:rPr>
                <w:sz w:val="11"/>
                <w:szCs w:val="11"/>
                <w:color w:val="auto"/>
              </w:rPr>
            </w:pPr>
          </w:p>
        </w:tc>
        <w:tc>
          <w:tcPr>
            <w:tcW w:w="3480" w:type="dxa"/>
            <w:vAlign w:val="bottom"/>
            <w:tcBorders>
              <w:right w:val="single" w:sz="8" w:color="auto"/>
            </w:tcBorders>
            <w:gridSpan w:val="3"/>
            <w:vMerge w:val="continue"/>
          </w:tcPr>
          <w:p>
            <w:pPr>
              <w:spacing w:after="0"/>
              <w:rPr>
                <w:sz w:val="11"/>
                <w:szCs w:val="11"/>
                <w:color w:val="auto"/>
              </w:rPr>
            </w:pPr>
          </w:p>
        </w:tc>
        <w:tc>
          <w:tcPr>
            <w:tcW w:w="1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2"/>
        </w:trPr>
        <w:tc>
          <w:tcPr>
            <w:tcW w:w="1640" w:type="dxa"/>
            <w:vAlign w:val="bottom"/>
            <w:tcBorders>
              <w:left w:val="single" w:sz="8" w:color="auto"/>
              <w:bottom w:val="single" w:sz="8" w:color="auto"/>
              <w:right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2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16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1</w:t>
            </w:r>
          </w:p>
        </w:tc>
        <w:tc>
          <w:tcPr>
            <w:tcW w:w="348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1"/>
                <w:szCs w:val="21"/>
                <w:color w:val="auto"/>
              </w:rPr>
              <w:t>&gt; 3.50 to 1.00</w:t>
            </w:r>
          </w:p>
        </w:tc>
        <w:tc>
          <w:tcPr>
            <w:tcW w:w="138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FF0000"/>
              </w:rPr>
              <w:t>0.375%</w:t>
            </w:r>
          </w:p>
        </w:tc>
        <w:tc>
          <w:tcPr>
            <w:tcW w:w="1160" w:type="dxa"/>
            <w:vAlign w:val="bottom"/>
            <w:tcBorders>
              <w:right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21"/>
                <w:szCs w:val="21"/>
                <w:b w:val="1"/>
                <w:bCs w:val="1"/>
                <w:color w:val="0000FF"/>
                <w:w w:val="96"/>
              </w:rPr>
              <w:t>0.350%</w:t>
            </w:r>
          </w:p>
        </w:tc>
        <w:tc>
          <w:tcPr>
            <w:tcW w:w="0" w:type="dxa"/>
            <w:vAlign w:val="bottom"/>
          </w:tcPr>
          <w:p>
            <w:pPr>
              <w:spacing w:after="0"/>
              <w:rPr>
                <w:sz w:val="1"/>
                <w:szCs w:val="1"/>
                <w:color w:val="auto"/>
              </w:rPr>
            </w:pPr>
          </w:p>
        </w:tc>
      </w:tr>
      <w:tr>
        <w:trPr>
          <w:trHeight w:val="59"/>
        </w:trPr>
        <w:tc>
          <w:tcPr>
            <w:tcW w:w="1640" w:type="dxa"/>
            <w:vAlign w:val="bottom"/>
            <w:tcBorders>
              <w:left w:val="single" w:sz="8" w:color="auto"/>
              <w:bottom w:val="single" w:sz="8" w:color="auto"/>
              <w:right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2220" w:type="dxa"/>
            <w:vAlign w:val="bottom"/>
            <w:tcBorders>
              <w:bottom w:val="single" w:sz="8" w:color="auto"/>
              <w:right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680" w:type="dxa"/>
            <w:vAlign w:val="bottom"/>
            <w:tcBorders>
              <w:top w:val="single" w:sz="8" w:color="0000FF"/>
              <w:bottom w:val="single" w:sz="8" w:color="auto"/>
            </w:tcBorders>
          </w:tcPr>
          <w:p>
            <w:pPr>
              <w:spacing w:after="0"/>
              <w:rPr>
                <w:sz w:val="5"/>
                <w:szCs w:val="5"/>
                <w:color w:val="auto"/>
              </w:rPr>
            </w:pPr>
          </w:p>
        </w:tc>
        <w:tc>
          <w:tcPr>
            <w:tcW w:w="4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4209415</wp:posOffset>
            </wp:positionH>
            <wp:positionV relativeFrom="paragraph">
              <wp:posOffset>-108585</wp:posOffset>
            </wp:positionV>
            <wp:extent cx="5721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0">
                      <a:extLst>
                        <a:ext uri="{28A0092B-C50C-407E-A947-70E740481C1C}"/>
                      </a:extLst>
                    </a:blip>
                    <a:srcRect/>
                    <a:stretch>
                      <a:fillRect/>
                    </a:stretch>
                  </pic:blipFill>
                  <pic:spPr bwMode="auto">
                    <a:xfrm>
                      <a:off x="0" y="0"/>
                      <a:ext cx="5721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17</w:t>
      </w:r>
    </w:p>
    <w:p>
      <w:pPr>
        <w:sectPr>
          <w:pgSz w:w="11900" w:h="16838" w:orient="portrait"/>
          <w:cols w:equalWidth="0" w:num="1">
            <w:col w:w="11240"/>
          </w:cols>
          <w:pgMar w:left="320" w:top="1397" w:right="339" w:bottom="1440" w:gutter="0" w:footer="0" w:header="0"/>
        </w:sectPr>
      </w:pPr>
    </w:p>
    <w:bookmarkStart w:id="123" w:name="page124"/>
    <w:bookmarkEnd w:id="123"/>
    <w:tbl>
      <w:tblPr>
        <w:tblLayout w:type="fixed"/>
        <w:tblInd w:w="1050" w:type="dxa"/>
        <w:tblCellMar>
          <w:top w:w="0" w:type="dxa"/>
          <w:left w:w="0" w:type="dxa"/>
          <w:bottom w:w="0" w:type="dxa"/>
          <w:right w:w="0" w:type="dxa"/>
        </w:tblCellMar>
      </w:tblPr>
      <w:tr>
        <w:trPr>
          <w:trHeight w:val="265"/>
        </w:trPr>
        <w:tc>
          <w:tcPr>
            <w:tcW w:w="1640" w:type="dxa"/>
            <w:vAlign w:val="bottom"/>
            <w:tcBorders>
              <w:top w:val="single" w:sz="8" w:color="auto"/>
              <w:left w:val="single" w:sz="8" w:color="auto"/>
              <w:right w:val="single" w:sz="8" w:color="auto"/>
            </w:tcBorders>
          </w:tcPr>
          <w:p>
            <w:pPr>
              <w:jc w:val="right"/>
              <w:ind w:right="654"/>
              <w:spacing w:after="0"/>
              <w:rPr>
                <w:sz w:val="20"/>
                <w:szCs w:val="20"/>
                <w:color w:val="auto"/>
              </w:rPr>
            </w:pPr>
            <w:r>
              <w:rPr>
                <w:rFonts w:ascii="Times New Roman" w:cs="Times New Roman" w:eastAsia="Times New Roman" w:hAnsi="Times New Roman"/>
                <w:sz w:val="21"/>
                <w:szCs w:val="21"/>
                <w:color w:val="auto"/>
              </w:rPr>
              <w:t>2</w:t>
            </w:r>
          </w:p>
        </w:tc>
        <w:tc>
          <w:tcPr>
            <w:tcW w:w="3480" w:type="dxa"/>
            <w:vAlign w:val="bottom"/>
            <w:tcBorders>
              <w:top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1"/>
                <w:szCs w:val="21"/>
                <w:color w:val="auto"/>
              </w:rPr>
              <w:t>&lt; 3.50 to 1.00 and &gt; 2.50 to 1.00</w:t>
            </w:r>
          </w:p>
        </w:tc>
        <w:tc>
          <w:tcPr>
            <w:tcW w:w="2540" w:type="dxa"/>
            <w:vAlign w:val="bottom"/>
            <w:tcBorders>
              <w:top w:val="single" w:sz="8" w:color="auto"/>
              <w:right w:val="single" w:sz="8" w:color="auto"/>
            </w:tcBorders>
          </w:tcPr>
          <w:p>
            <w:pPr>
              <w:jc w:val="right"/>
              <w:ind w:right="734"/>
              <w:spacing w:after="0"/>
              <w:rPr>
                <w:sz w:val="20"/>
                <w:szCs w:val="20"/>
                <w:color w:val="auto"/>
              </w:rPr>
            </w:pPr>
            <w:r>
              <w:rPr>
                <w:rFonts w:ascii="Times New Roman" w:cs="Times New Roman" w:eastAsia="Times New Roman" w:hAnsi="Times New Roman"/>
                <w:sz w:val="21"/>
                <w:szCs w:val="21"/>
                <w:color w:val="auto"/>
              </w:rPr>
              <w:t>0.300%</w:t>
            </w:r>
          </w:p>
        </w:tc>
      </w:tr>
      <w:tr>
        <w:trPr>
          <w:trHeight w:val="60"/>
        </w:trPr>
        <w:tc>
          <w:tcPr>
            <w:tcW w:w="1640" w:type="dxa"/>
            <w:vAlign w:val="bottom"/>
            <w:tcBorders>
              <w:left w:val="single" w:sz="8" w:color="auto"/>
              <w:bottom w:val="single" w:sz="8" w:color="auto"/>
              <w:right w:val="single" w:sz="8" w:color="auto"/>
            </w:tcBorders>
          </w:tcPr>
          <w:p>
            <w:pPr>
              <w:spacing w:after="0"/>
              <w:rPr>
                <w:sz w:val="5"/>
                <w:szCs w:val="5"/>
                <w:color w:val="auto"/>
              </w:rPr>
            </w:pPr>
          </w:p>
        </w:tc>
        <w:tc>
          <w:tcPr>
            <w:tcW w:w="1940" w:type="dxa"/>
            <w:vAlign w:val="bottom"/>
            <w:tcBorders>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2540" w:type="dxa"/>
            <w:vAlign w:val="bottom"/>
            <w:tcBorders>
              <w:bottom w:val="single" w:sz="8" w:color="auto"/>
              <w:right w:val="single" w:sz="8" w:color="auto"/>
            </w:tcBorders>
          </w:tcPr>
          <w:p>
            <w:pPr>
              <w:spacing w:after="0"/>
              <w:rPr>
                <w:sz w:val="5"/>
                <w:szCs w:val="5"/>
                <w:color w:val="auto"/>
              </w:rPr>
            </w:pPr>
          </w:p>
        </w:tc>
      </w:tr>
      <w:tr>
        <w:trPr>
          <w:trHeight w:val="296"/>
        </w:trPr>
        <w:tc>
          <w:tcPr>
            <w:tcW w:w="1640" w:type="dxa"/>
            <w:vAlign w:val="bottom"/>
            <w:tcBorders>
              <w:left w:val="single" w:sz="8" w:color="auto"/>
              <w:right w:val="single" w:sz="8" w:color="auto"/>
            </w:tcBorders>
          </w:tcPr>
          <w:p>
            <w:pPr>
              <w:jc w:val="right"/>
              <w:ind w:right="654"/>
              <w:spacing w:after="0"/>
              <w:rPr>
                <w:sz w:val="20"/>
                <w:szCs w:val="20"/>
                <w:color w:val="auto"/>
              </w:rPr>
            </w:pPr>
            <w:r>
              <w:rPr>
                <w:rFonts w:ascii="Times New Roman" w:cs="Times New Roman" w:eastAsia="Times New Roman" w:hAnsi="Times New Roman"/>
                <w:sz w:val="21"/>
                <w:szCs w:val="21"/>
                <w:color w:val="auto"/>
              </w:rPr>
              <w:t>3</w:t>
            </w:r>
          </w:p>
        </w:tc>
        <w:tc>
          <w:tcPr>
            <w:tcW w:w="348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1"/>
                <w:szCs w:val="21"/>
                <w:color w:val="auto"/>
              </w:rPr>
              <w:t>&lt; 2.50 to 1.00</w:t>
            </w:r>
          </w:p>
        </w:tc>
        <w:tc>
          <w:tcPr>
            <w:tcW w:w="2540" w:type="dxa"/>
            <w:vAlign w:val="bottom"/>
            <w:tcBorders>
              <w:right w:val="single" w:sz="8" w:color="auto"/>
            </w:tcBorders>
          </w:tcPr>
          <w:p>
            <w:pPr>
              <w:jc w:val="right"/>
              <w:ind w:right="734"/>
              <w:spacing w:after="0"/>
              <w:rPr>
                <w:sz w:val="20"/>
                <w:szCs w:val="20"/>
                <w:color w:val="auto"/>
              </w:rPr>
            </w:pPr>
            <w:r>
              <w:rPr>
                <w:rFonts w:ascii="Times New Roman" w:cs="Times New Roman" w:eastAsia="Times New Roman" w:hAnsi="Times New Roman"/>
                <w:sz w:val="21"/>
                <w:szCs w:val="21"/>
                <w:color w:val="auto"/>
              </w:rPr>
              <w:t>0.250%</w:t>
            </w:r>
          </w:p>
        </w:tc>
      </w:tr>
      <w:tr>
        <w:trPr>
          <w:trHeight w:val="29"/>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r>
    </w:tbl>
    <w:p>
      <w:pPr>
        <w:spacing w:after="0" w:line="317"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21"/>
          <w:szCs w:val="21"/>
          <w:color w:val="auto"/>
        </w:rPr>
        <w:t xml:space="preserve">Any increase or decrease in the Commitment Fee Rate resulting from a change in the Secured Net Leverage Ratio shall become effective as of the </w:t>
      </w:r>
      <w:r>
        <w:rPr>
          <w:rFonts w:ascii="Times New Roman" w:cs="Times New Roman" w:eastAsia="Times New Roman" w:hAnsi="Times New Roman"/>
          <w:sz w:val="21"/>
          <w:szCs w:val="21"/>
          <w:b w:val="1"/>
          <w:bCs w:val="1"/>
          <w:color w:val="FF0000"/>
          <w:strike w:val="1"/>
        </w:rPr>
        <w:t>first</w:t>
      </w:r>
      <w:r>
        <w:rPr>
          <w:rFonts w:ascii="Times New Roman" w:cs="Times New Roman" w:eastAsia="Times New Roman" w:hAnsi="Times New Roman"/>
          <w:sz w:val="21"/>
          <w:szCs w:val="21"/>
          <w:b w:val="1"/>
          <w:bCs w:val="1"/>
          <w:u w:val="single" w:color="auto"/>
          <w:color w:val="0000FF"/>
        </w:rPr>
        <w:t>third</w:t>
      </w:r>
      <w:r>
        <w:rPr>
          <w:rFonts w:ascii="Times New Roman" w:cs="Times New Roman" w:eastAsia="Times New Roman" w:hAnsi="Times New Roman"/>
          <w:sz w:val="21"/>
          <w:szCs w:val="21"/>
          <w:color w:val="auto"/>
        </w:rPr>
        <w:t xml:space="preserve"> Business Day immediately following the date a Compliance Certificate is delivered pursuant to </w:t>
      </w:r>
      <w:r>
        <w:rPr>
          <w:rFonts w:ascii="Times New Roman" w:cs="Times New Roman" w:eastAsia="Times New Roman" w:hAnsi="Times New Roman"/>
          <w:sz w:val="21"/>
          <w:szCs w:val="21"/>
          <w:u w:val="single" w:color="auto"/>
          <w:color w:val="auto"/>
        </w:rPr>
        <w:t>Section 6.02(a)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if a Compliance Certificate is not delivered when due in accordance with such Section, then Pricing Level 1 shall apply as of the first Business Day after the date on which such Compliance Certificate was required to have been delivered and shall remain in effect until the date on which such Compliance Certificate is delivered (and thereafter the Pricing Level otherwise determined in accordance with this definition shall apply).</w:t>
      </w:r>
    </w:p>
    <w:p>
      <w:pPr>
        <w:spacing w:after="0" w:line="146" w:lineRule="exact"/>
        <w:rPr>
          <w:sz w:val="20"/>
          <w:szCs w:val="20"/>
          <w:color w:val="auto"/>
        </w:rPr>
      </w:pPr>
    </w:p>
    <w:p>
      <w:pPr>
        <w:jc w:val="both"/>
        <w:ind w:firstLine="636"/>
        <w:spacing w:after="0" w:line="245" w:lineRule="auto"/>
        <w:rPr>
          <w:sz w:val="20"/>
          <w:szCs w:val="20"/>
          <w:color w:val="auto"/>
        </w:rPr>
      </w:pPr>
      <w:r>
        <w:rPr>
          <w:rFonts w:ascii="Times New Roman" w:cs="Times New Roman" w:eastAsia="Times New Roman" w:hAnsi="Times New Roman"/>
          <w:sz w:val="21"/>
          <w:szCs w:val="21"/>
          <w:color w:val="auto"/>
        </w:rPr>
        <w:t xml:space="preserve">Notwithstanding anything to the contrary contained in this definition, the determination of the Commitment Fee Rate for any period shall be subject to the provisions of </w:t>
      </w:r>
      <w:r>
        <w:rPr>
          <w:rFonts w:ascii="Times New Roman" w:cs="Times New Roman" w:eastAsia="Times New Roman" w:hAnsi="Times New Roman"/>
          <w:sz w:val="21"/>
          <w:szCs w:val="21"/>
          <w:u w:val="single" w:color="auto"/>
          <w:color w:val="auto"/>
        </w:rPr>
        <w:t>Section 2.10(b)</w:t>
      </w:r>
      <w:r>
        <w:rPr>
          <w:rFonts w:ascii="Times New Roman" w:cs="Times New Roman" w:eastAsia="Times New Roman" w:hAnsi="Times New Roman"/>
          <w:sz w:val="21"/>
          <w:szCs w:val="21"/>
          <w:color w:val="auto"/>
        </w:rPr>
        <w:t>.</w:t>
      </w:r>
    </w:p>
    <w:p>
      <w:pPr>
        <w:spacing w:after="0" w:line="139" w:lineRule="exact"/>
        <w:rPr>
          <w:sz w:val="20"/>
          <w:szCs w:val="20"/>
          <w:color w:val="auto"/>
        </w:rPr>
      </w:pPr>
    </w:p>
    <w:p>
      <w:pPr>
        <w:jc w:val="both"/>
        <w:ind w:firstLine="636"/>
        <w:spacing w:after="0" w:line="233" w:lineRule="auto"/>
        <w:rPr>
          <w:sz w:val="20"/>
          <w:szCs w:val="20"/>
          <w:color w:val="auto"/>
        </w:rPr>
      </w:pPr>
      <w:r>
        <w:rPr>
          <w:rFonts w:ascii="Times New Roman" w:cs="Times New Roman" w:eastAsia="Times New Roman" w:hAnsi="Times New Roman"/>
          <w:sz w:val="21"/>
          <w:szCs w:val="21"/>
          <w:b w:val="1"/>
          <w:bCs w:val="1"/>
          <w:u w:val="single" w:color="auto"/>
          <w:color w:val="0000FF"/>
        </w:rPr>
        <w:t>For the avoidance of doubt, for time periods prior to the First Amendment Effective Date, the “Commitment Fee Rate” shall be as defined in the Existing Credit Agreement, and the foregoing rates shall be deemed effective on and after the First Amendment Effective Date.</w:t>
      </w:r>
    </w:p>
    <w:p>
      <w:pPr>
        <w:spacing w:after="0" w:line="171" w:lineRule="exact"/>
        <w:rPr>
          <w:sz w:val="20"/>
          <w:szCs w:val="20"/>
          <w:color w:val="auto"/>
        </w:rPr>
      </w:pPr>
    </w:p>
    <w:p>
      <w:pPr>
        <w:jc w:val="both"/>
        <w:ind w:firstLine="861"/>
        <w:spacing w:after="0" w:line="28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Committed Loan Notice</w:t>
      </w:r>
      <w:r>
        <w:rPr>
          <w:rFonts w:ascii="Times New Roman" w:cs="Times New Roman" w:eastAsia="Times New Roman" w:hAnsi="Times New Roman"/>
          <w:sz w:val="21"/>
          <w:szCs w:val="21"/>
          <w:color w:val="auto"/>
        </w:rPr>
        <w:t xml:space="preserve">” means a notice of (a) a Revolving Credit Borrowing or (b) an Incremental Borrowing, which shall be substantially in the form of </w:t>
      </w:r>
      <w:r>
        <w:rPr>
          <w:rFonts w:ascii="Times New Roman" w:cs="Times New Roman" w:eastAsia="Times New Roman" w:hAnsi="Times New Roman"/>
          <w:sz w:val="21"/>
          <w:szCs w:val="21"/>
          <w:u w:val="single" w:color="auto"/>
          <w:color w:val="auto"/>
        </w:rPr>
        <w:t>Exhibit A-1</w:t>
      </w:r>
      <w:r>
        <w:rPr>
          <w:rFonts w:ascii="Times New Roman" w:cs="Times New Roman" w:eastAsia="Times New Roman" w:hAnsi="Times New Roman"/>
          <w:sz w:val="21"/>
          <w:szCs w:val="21"/>
          <w:color w:val="auto"/>
        </w:rPr>
        <w:t>.</w:t>
      </w:r>
    </w:p>
    <w:p>
      <w:pPr>
        <w:spacing w:after="0" w:line="134" w:lineRule="exact"/>
        <w:rPr>
          <w:sz w:val="20"/>
          <w:szCs w:val="20"/>
          <w:color w:val="auto"/>
        </w:rPr>
      </w:pPr>
    </w:p>
    <w:p>
      <w:pPr>
        <w:jc w:val="both"/>
        <w:ind w:firstLine="636"/>
        <w:spacing w:after="0" w:line="27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Common Stock</w:t>
      </w:r>
      <w:r>
        <w:rPr>
          <w:rFonts w:ascii="Times New Roman" w:cs="Times New Roman" w:eastAsia="Times New Roman" w:hAnsi="Times New Roman"/>
          <w:sz w:val="21"/>
          <w:szCs w:val="21"/>
          <w:color w:val="auto"/>
        </w:rPr>
        <w:t>” means</w:t>
      </w:r>
      <w:r>
        <w:rPr>
          <w:rFonts w:ascii="Times New Roman" w:cs="Times New Roman" w:eastAsia="Times New Roman" w:hAnsi="Times New Roman"/>
          <w:sz w:val="21"/>
          <w:szCs w:val="21"/>
          <w:b w:val="1"/>
          <w:bCs w:val="1"/>
          <w:u w:val="single" w:color="auto"/>
          <w:color w:val="0000FF"/>
        </w:rPr>
        <w:t>,</w:t>
      </w:r>
      <w:r>
        <w:rPr>
          <w:rFonts w:ascii="Times New Roman" w:cs="Times New Roman" w:eastAsia="Times New Roman" w:hAnsi="Times New Roman"/>
          <w:sz w:val="21"/>
          <w:szCs w:val="21"/>
          <w:color w:val="auto"/>
        </w:rPr>
        <w:t xml:space="preserve"> with respect to any Person, any and all shares, interests or other participations in, and other equivalents (however designated and whether voting or nonvoting) of such Person’s common stock whether or not outstanding on the Closing Date, and includes, without limitation, all series and classes of such common stock.</w:t>
      </w:r>
    </w:p>
    <w:p>
      <w:pPr>
        <w:spacing w:after="0" w:line="1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Compliance Certificate</w:t>
      </w:r>
      <w:r>
        <w:rPr>
          <w:rFonts w:ascii="Times New Roman" w:cs="Times New Roman" w:eastAsia="Times New Roman" w:hAnsi="Times New Roman"/>
          <w:sz w:val="21"/>
          <w:szCs w:val="21"/>
          <w:color w:val="auto"/>
        </w:rPr>
        <w:t xml:space="preserve">” means a certificate substantially in the form of </w:t>
      </w:r>
      <w:r>
        <w:rPr>
          <w:rFonts w:ascii="Times New Roman" w:cs="Times New Roman" w:eastAsia="Times New Roman" w:hAnsi="Times New Roman"/>
          <w:sz w:val="21"/>
          <w:szCs w:val="21"/>
          <w:u w:val="single" w:color="auto"/>
          <w:color w:val="auto"/>
        </w:rPr>
        <w:t>Exhibit D</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Consolidated Current Assets</w:t>
      </w:r>
      <w:r>
        <w:rPr>
          <w:rFonts w:ascii="Times New Roman" w:cs="Times New Roman" w:eastAsia="Times New Roman" w:hAnsi="Times New Roman"/>
          <w:sz w:val="21"/>
          <w:szCs w:val="21"/>
          <w:color w:val="auto"/>
        </w:rPr>
        <w:t>” means, as at any date of determination, the total assets of a Person and its Restricted Subsidiaries on a consolidated basis that may properly be classified as current assets in conformity with GAAP, excluding cash and Cash Equivalents.</w:t>
      </w:r>
    </w:p>
    <w:p>
      <w:pPr>
        <w:spacing w:after="0" w:line="155" w:lineRule="exact"/>
        <w:rPr>
          <w:sz w:val="20"/>
          <w:szCs w:val="20"/>
          <w:color w:val="auto"/>
        </w:rPr>
      </w:pPr>
    </w:p>
    <w:p>
      <w:pPr>
        <w:jc w:val="both"/>
        <w:ind w:firstLine="636"/>
        <w:spacing w:after="0" w:line="27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Consolidated Current Liabilities</w:t>
      </w:r>
      <w:r>
        <w:rPr>
          <w:rFonts w:ascii="Times New Roman" w:cs="Times New Roman" w:eastAsia="Times New Roman" w:hAnsi="Times New Roman"/>
          <w:sz w:val="21"/>
          <w:szCs w:val="21"/>
          <w:color w:val="auto"/>
        </w:rPr>
        <w:t>” means, as at any date of determination, the total liabilities of a Person and its Restricted Subsidiaries on a consolidated basis that may properly be classified as current liabilities in conformity with GAAP, excluding the current portion of long term debt.</w:t>
      </w:r>
    </w:p>
    <w:p>
      <w:pPr>
        <w:spacing w:after="0" w:line="147" w:lineRule="exact"/>
        <w:rPr>
          <w:sz w:val="20"/>
          <w:szCs w:val="20"/>
          <w:color w:val="auto"/>
        </w:rPr>
      </w:pPr>
    </w:p>
    <w:p>
      <w:pPr>
        <w:jc w:val="both"/>
        <w:ind w:firstLine="636"/>
        <w:spacing w:after="0" w:line="26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Consolidated EBITDA</w:t>
      </w:r>
      <w:r>
        <w:rPr>
          <w:rFonts w:ascii="Times New Roman" w:cs="Times New Roman" w:eastAsia="Times New Roman" w:hAnsi="Times New Roman"/>
          <w:sz w:val="21"/>
          <w:szCs w:val="21"/>
          <w:color w:val="auto"/>
        </w:rPr>
        <w:t xml:space="preserve">” means, at any date of determination, an amount equal to Consolidated Net Income of the Borrower and its Restricted Subsidiaries on a consolidated basis for the most recently completed Measurement Period,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(i) the following, without duplication, to the extent (other than in the case of </w:t>
      </w:r>
      <w:r>
        <w:rPr>
          <w:rFonts w:ascii="Times New Roman" w:cs="Times New Roman" w:eastAsia="Times New Roman" w:hAnsi="Times New Roman"/>
          <w:sz w:val="21"/>
          <w:szCs w:val="21"/>
          <w:u w:val="single" w:color="auto"/>
          <w:color w:val="auto"/>
        </w:rPr>
        <w:t>clauses (n)</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(p)</w:t>
      </w:r>
      <w:r>
        <w:rPr>
          <w:rFonts w:ascii="Times New Roman" w:cs="Times New Roman" w:eastAsia="Times New Roman" w:hAnsi="Times New Roman"/>
          <w:sz w:val="21"/>
          <w:szCs w:val="21"/>
          <w:color w:val="auto"/>
        </w:rPr>
        <w:t>) deducted in calculating such Consolidated Net Income:</w:t>
      </w:r>
    </w:p>
    <w:p>
      <w:pPr>
        <w:spacing w:after="0" w:line="162" w:lineRule="exact"/>
        <w:rPr>
          <w:sz w:val="20"/>
          <w:szCs w:val="20"/>
          <w:color w:val="auto"/>
        </w:rPr>
      </w:pPr>
    </w:p>
    <w:p>
      <w:pPr>
        <w:ind w:left="1900" w:hanging="622"/>
        <w:spacing w:after="0"/>
        <w:tabs>
          <w:tab w:leader="none" w:pos="1900"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Consolidated Interest Charges, </w:t>
      </w:r>
      <w:r>
        <w:rPr>
          <w:rFonts w:ascii="Times New Roman" w:cs="Times New Roman" w:eastAsia="Times New Roman" w:hAnsi="Times New Roman"/>
          <w:sz w:val="21"/>
          <w:szCs w:val="21"/>
          <w:u w:val="single" w:color="auto"/>
          <w:color w:val="auto"/>
        </w:rPr>
        <w:t>plus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18</w:t>
      </w:r>
    </w:p>
    <w:p>
      <w:pPr>
        <w:sectPr>
          <w:pgSz w:w="11900" w:h="16838" w:orient="portrait"/>
          <w:cols w:equalWidth="0" w:num="1">
            <w:col w:w="11240"/>
          </w:cols>
          <w:pgMar w:left="320" w:top="1418" w:right="339" w:bottom="1440" w:gutter="0" w:footer="0" w:header="0"/>
        </w:sectPr>
      </w:pPr>
    </w:p>
    <w:bookmarkStart w:id="124" w:name="page125"/>
    <w:bookmarkEnd w:id="124"/>
    <w:p>
      <w:pPr>
        <w:jc w:val="both"/>
        <w:ind w:left="-480" w:firstLine="638"/>
        <w:spacing w:after="0" w:line="258" w:lineRule="auto"/>
        <w:tabs>
          <w:tab w:leader="none" w:pos="787"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provision for federal, state, local and foreign income and franchise taxes payable (calculated net of federal, state, local and foreign income tax credits) and other taxes, interest and penalties included under GAAP in income tax expense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amounts in respect of any Restricted Subsidiary shall be included in this </w:t>
      </w:r>
      <w:r>
        <w:rPr>
          <w:rFonts w:ascii="Times New Roman" w:cs="Times New Roman" w:eastAsia="Times New Roman" w:hAnsi="Times New Roman"/>
          <w:sz w:val="21"/>
          <w:szCs w:val="21"/>
          <w:u w:val="single" w:color="auto"/>
          <w:color w:val="auto"/>
        </w:rPr>
        <w:t>clause (b)</w:t>
      </w:r>
      <w:r>
        <w:rPr>
          <w:rFonts w:ascii="Times New Roman" w:cs="Times New Roman" w:eastAsia="Times New Roman" w:hAnsi="Times New Roman"/>
          <w:sz w:val="21"/>
          <w:szCs w:val="21"/>
          <w:color w:val="auto"/>
        </w:rPr>
        <w:t xml:space="preserve"> only to the extent that a corresponding amount would be permitted at the date of determination to be dividended or distributed to the Borrower by such Restricted Subsidiary without prior approval (that has not been obtained), pursuant to the terms of its Organization Documents and all agreements, instruments, judgments, decrees, orders, statutes, rules and governmental regulations applicable to such Restricted Subsidiary or its shareholders, partners or members), </w:t>
      </w:r>
      <w:r>
        <w:rPr>
          <w:rFonts w:ascii="Times New Roman" w:cs="Times New Roman" w:eastAsia="Times New Roman" w:hAnsi="Times New Roman"/>
          <w:sz w:val="21"/>
          <w:szCs w:val="21"/>
          <w:u w:val="single" w:color="auto"/>
          <w:color w:val="auto"/>
        </w:rPr>
        <w:t>plus</w:t>
      </w:r>
    </w:p>
    <w:p>
      <w:pPr>
        <w:spacing w:after="0" w:line="170" w:lineRule="exact"/>
        <w:rPr>
          <w:rFonts w:ascii="Times New Roman" w:cs="Times New Roman" w:eastAsia="Times New Roman" w:hAnsi="Times New Roman"/>
          <w:sz w:val="21"/>
          <w:szCs w:val="21"/>
          <w:color w:val="auto"/>
        </w:rPr>
      </w:pPr>
    </w:p>
    <w:p>
      <w:pPr>
        <w:ind w:left="-480" w:firstLine="638"/>
        <w:spacing w:after="0" w:line="298" w:lineRule="auto"/>
        <w:tabs>
          <w:tab w:leader="none" w:pos="787"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depreciation and amortization expenses (including amortization of goodwill and other intangibles but excluding amortization of prepaid cash expenses that were paid in a prior period), </w:t>
      </w:r>
      <w:r>
        <w:rPr>
          <w:rFonts w:ascii="Times New Roman" w:cs="Times New Roman" w:eastAsia="Times New Roman" w:hAnsi="Times New Roman"/>
          <w:sz w:val="21"/>
          <w:szCs w:val="21"/>
          <w:u w:val="single" w:color="auto"/>
          <w:color w:val="auto"/>
        </w:rPr>
        <w:t>plus</w:t>
      </w:r>
    </w:p>
    <w:p>
      <w:pPr>
        <w:spacing w:after="0" w:line="129" w:lineRule="exact"/>
        <w:rPr>
          <w:rFonts w:ascii="Times New Roman" w:cs="Times New Roman" w:eastAsia="Times New Roman" w:hAnsi="Times New Roman"/>
          <w:sz w:val="21"/>
          <w:szCs w:val="21"/>
          <w:color w:val="auto"/>
        </w:rPr>
      </w:pPr>
    </w:p>
    <w:p>
      <w:pPr>
        <w:jc w:val="both"/>
        <w:ind w:left="-480" w:firstLine="638"/>
        <w:spacing w:after="0" w:line="259" w:lineRule="auto"/>
        <w:tabs>
          <w:tab w:leader="none" w:pos="787"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other non-recurring expenses, write-offs, write-downs or impairment charges which do not represent a cash item in such period (or in any future period) (excluding any such non-cash expense to the extent that it represents an accrual of or reserve for cash expenses in any future period or amortization of a prepaid cash expense that was paid in a prior period and any non-cash charge, expense or loss relating to write-offs, write-downs or reserves with respect to accounts receivable or inventory), </w:t>
      </w:r>
      <w:r>
        <w:rPr>
          <w:rFonts w:ascii="Times New Roman" w:cs="Times New Roman" w:eastAsia="Times New Roman" w:hAnsi="Times New Roman"/>
          <w:sz w:val="21"/>
          <w:szCs w:val="21"/>
          <w:u w:val="single" w:color="auto"/>
          <w:color w:val="auto"/>
        </w:rPr>
        <w:t>plus</w:t>
      </w:r>
    </w:p>
    <w:p>
      <w:pPr>
        <w:spacing w:after="0" w:line="181" w:lineRule="exact"/>
        <w:rPr>
          <w:rFonts w:ascii="Times New Roman" w:cs="Times New Roman" w:eastAsia="Times New Roman" w:hAnsi="Times New Roman"/>
          <w:sz w:val="21"/>
          <w:szCs w:val="21"/>
          <w:color w:val="auto"/>
        </w:rPr>
      </w:pPr>
    </w:p>
    <w:p>
      <w:pPr>
        <w:ind w:left="-480" w:firstLine="638"/>
        <w:spacing w:after="0" w:line="285" w:lineRule="auto"/>
        <w:tabs>
          <w:tab w:leader="none" w:pos="792"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non-cash charges or expenses related to stock-based compensation and other non-cash charges or non-cash losses (including extraordinary, unusual or non-recurring non-cash losses) incurred or recognized, </w:t>
      </w:r>
      <w:r>
        <w:rPr>
          <w:rFonts w:ascii="Times New Roman" w:cs="Times New Roman" w:eastAsia="Times New Roman" w:hAnsi="Times New Roman"/>
          <w:sz w:val="21"/>
          <w:szCs w:val="21"/>
          <w:u w:val="single" w:color="auto"/>
          <w:color w:val="auto"/>
        </w:rPr>
        <w:t>plus</w:t>
      </w:r>
    </w:p>
    <w:p>
      <w:pPr>
        <w:spacing w:after="0" w:line="141" w:lineRule="exact"/>
        <w:rPr>
          <w:rFonts w:ascii="Times New Roman" w:cs="Times New Roman" w:eastAsia="Times New Roman" w:hAnsi="Times New Roman"/>
          <w:sz w:val="21"/>
          <w:szCs w:val="21"/>
          <w:color w:val="auto"/>
        </w:rPr>
      </w:pPr>
    </w:p>
    <w:p>
      <w:pPr>
        <w:jc w:val="both"/>
        <w:ind w:left="-480" w:firstLine="638"/>
        <w:spacing w:after="0" w:line="259" w:lineRule="auto"/>
        <w:tabs>
          <w:tab w:leader="none" w:pos="790"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cash or non-cash charges constituting fees and expenses incurred in connection with the Transactions entered into or consummated on or around the Closing </w:t>
      </w:r>
      <w:r>
        <w:rPr>
          <w:rFonts w:ascii="Times New Roman" w:cs="Times New Roman" w:eastAsia="Times New Roman" w:hAnsi="Times New Roman"/>
          <w:sz w:val="21"/>
          <w:szCs w:val="21"/>
          <w:b w:val="1"/>
          <w:bCs w:val="1"/>
          <w:u w:val="single" w:color="auto"/>
          <w:color w:val="0000FF"/>
        </w:rPr>
        <w:t>Date or in connection with the First Amendment on or around the First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0000FF"/>
        </w:rPr>
        <w:t>Amendment Effective</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Date and any other Transactions with respect to certain contributions of assets and liabilities among</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 xml:space="preserve">the Company and its Restricted Subsidiaries and with respect to the consummation of the debt for equity exchange, in each case, in connection with or as contemplated by the Transaction Agreement (as in effect on the date of this Agreement, or as amended, modified or restated from time to time in a manner not materially adverse to the interests of the Lenders), </w:t>
      </w:r>
      <w:r>
        <w:rPr>
          <w:rFonts w:ascii="Times New Roman" w:cs="Times New Roman" w:eastAsia="Times New Roman" w:hAnsi="Times New Roman"/>
          <w:sz w:val="21"/>
          <w:szCs w:val="21"/>
          <w:u w:val="single" w:color="auto"/>
          <w:color w:val="000000"/>
        </w:rPr>
        <w:t>plus</w:t>
      </w:r>
    </w:p>
    <w:p>
      <w:pPr>
        <w:spacing w:after="0" w:line="172" w:lineRule="exact"/>
        <w:rPr>
          <w:rFonts w:ascii="Times New Roman" w:cs="Times New Roman" w:eastAsia="Times New Roman" w:hAnsi="Times New Roman"/>
          <w:sz w:val="21"/>
          <w:szCs w:val="21"/>
          <w:color w:val="auto"/>
        </w:rPr>
      </w:pPr>
    </w:p>
    <w:p>
      <w:pPr>
        <w:jc w:val="both"/>
        <w:ind w:left="-480" w:firstLine="638"/>
        <w:spacing w:after="0" w:line="274" w:lineRule="auto"/>
        <w:tabs>
          <w:tab w:leader="none" w:pos="780"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unrealized and realized net losses in the fair market value of any arrangements under Swap Contracts and losses, charges and expenses attributable to the early extinguishment or conversion of Indebtedness, arrangements under Swap Contracts or other derivative instruments (including deferred financing expenses written off and premiums paid), </w:t>
      </w:r>
      <w:r>
        <w:rPr>
          <w:rFonts w:ascii="Times New Roman" w:cs="Times New Roman" w:eastAsia="Times New Roman" w:hAnsi="Times New Roman"/>
          <w:sz w:val="21"/>
          <w:szCs w:val="21"/>
          <w:u w:val="single" w:color="auto"/>
          <w:color w:val="auto"/>
        </w:rPr>
        <w:t>plus</w:t>
      </w:r>
    </w:p>
    <w:p>
      <w:pPr>
        <w:spacing w:after="0" w:line="153" w:lineRule="exact"/>
        <w:rPr>
          <w:rFonts w:ascii="Times New Roman" w:cs="Times New Roman" w:eastAsia="Times New Roman" w:hAnsi="Times New Roman"/>
          <w:sz w:val="21"/>
          <w:szCs w:val="21"/>
          <w:color w:val="auto"/>
        </w:rPr>
      </w:pPr>
    </w:p>
    <w:p>
      <w:pPr>
        <w:jc w:val="both"/>
        <w:ind w:left="-480" w:firstLine="638"/>
        <w:spacing w:after="0" w:line="267" w:lineRule="auto"/>
        <w:tabs>
          <w:tab w:leader="none" w:pos="787"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expenses or charges related to any issuance of Equity Interests or debt securities, Investments (whether or not consummated), acquisitions (whether or not consummated), Dispositions (whether or not consummated), recapitalization or the incurrence, modification or repayment of Indebtedness permitted to be incurred by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19</w:t>
      </w:r>
    </w:p>
    <w:p>
      <w:pPr>
        <w:sectPr>
          <w:pgSz w:w="11900" w:h="16838" w:orient="portrait"/>
          <w:cols w:equalWidth="0" w:num="1">
            <w:col w:w="10120"/>
          </w:cols>
          <w:pgMar w:left="1440" w:top="1397" w:right="339" w:bottom="1440" w:gutter="0" w:footer="0" w:header="0"/>
        </w:sectPr>
      </w:pPr>
    </w:p>
    <w:bookmarkStart w:id="125" w:name="page126"/>
    <w:bookmarkEnd w:id="125"/>
    <w:p>
      <w:pPr>
        <w:spacing w:after="0" w:line="285" w:lineRule="auto"/>
        <w:rPr>
          <w:sz w:val="20"/>
          <w:szCs w:val="20"/>
          <w:color w:val="auto"/>
        </w:rPr>
      </w:pPr>
      <w:r>
        <w:rPr>
          <w:rFonts w:ascii="Times New Roman" w:cs="Times New Roman" w:eastAsia="Times New Roman" w:hAnsi="Times New Roman"/>
          <w:sz w:val="21"/>
          <w:szCs w:val="21"/>
          <w:color w:val="auto"/>
        </w:rPr>
        <w:t xml:space="preserve">Agreement (including a refinancing thereof) (whether or not successful), including any amendment or other modification of the Obligations or other Indebtedness, </w:t>
      </w:r>
      <w:r>
        <w:rPr>
          <w:rFonts w:ascii="Times New Roman" w:cs="Times New Roman" w:eastAsia="Times New Roman" w:hAnsi="Times New Roman"/>
          <w:sz w:val="21"/>
          <w:szCs w:val="21"/>
          <w:u w:val="single" w:color="auto"/>
          <w:color w:val="auto"/>
        </w:rPr>
        <w:t>plus</w:t>
      </w:r>
    </w:p>
    <w:p>
      <w:pPr>
        <w:spacing w:after="0" w:line="142" w:lineRule="exact"/>
        <w:rPr>
          <w:sz w:val="20"/>
          <w:szCs w:val="20"/>
          <w:color w:val="auto"/>
        </w:rPr>
      </w:pPr>
    </w:p>
    <w:p>
      <w:pPr>
        <w:jc w:val="both"/>
        <w:ind w:firstLine="638"/>
        <w:spacing w:after="0" w:line="266" w:lineRule="auto"/>
        <w:tabs>
          <w:tab w:leader="none" w:pos="1267"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one-time deal advisory, financing, legal, accounting, and consulting cash expenses incurred by the Borrower and its Restricted Subsidiaries in connection with any Permitted Acquisitions or other Investment in the nature of an acquisition not constituting the consideration for any such Permitted Acquisition or other Investment in the nature of an acquisition, </w:t>
      </w:r>
      <w:r>
        <w:rPr>
          <w:rFonts w:ascii="Times New Roman" w:cs="Times New Roman" w:eastAsia="Times New Roman" w:hAnsi="Times New Roman"/>
          <w:sz w:val="21"/>
          <w:szCs w:val="21"/>
          <w:u w:val="single" w:color="auto"/>
          <w:color w:val="auto"/>
        </w:rPr>
        <w:t>plus</w:t>
      </w:r>
    </w:p>
    <w:p>
      <w:pPr>
        <w:spacing w:after="0" w:line="161" w:lineRule="exact"/>
        <w:rPr>
          <w:rFonts w:ascii="Times New Roman" w:cs="Times New Roman" w:eastAsia="Times New Roman" w:hAnsi="Times New Roman"/>
          <w:sz w:val="21"/>
          <w:szCs w:val="21"/>
          <w:color w:val="auto"/>
        </w:rPr>
      </w:pPr>
    </w:p>
    <w:p>
      <w:pPr>
        <w:ind w:firstLine="638"/>
        <w:spacing w:after="0" w:line="285" w:lineRule="auto"/>
        <w:tabs>
          <w:tab w:leader="none" w:pos="1261"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non-cash losses and expenses resulting from fair value accounting (as permitted by Accounting Standard Codification Topic No. 825-10-25 – Fair Value Option or any similar accounting standard), </w:t>
      </w:r>
      <w:r>
        <w:rPr>
          <w:rFonts w:ascii="Times New Roman" w:cs="Times New Roman" w:eastAsia="Times New Roman" w:hAnsi="Times New Roman"/>
          <w:sz w:val="21"/>
          <w:szCs w:val="21"/>
          <w:u w:val="single" w:color="auto"/>
          <w:color w:val="auto"/>
        </w:rPr>
        <w:t>plus</w:t>
      </w:r>
    </w:p>
    <w:p>
      <w:pPr>
        <w:spacing w:after="0" w:line="155" w:lineRule="exact"/>
        <w:rPr>
          <w:rFonts w:ascii="Times New Roman" w:cs="Times New Roman" w:eastAsia="Times New Roman" w:hAnsi="Times New Roman"/>
          <w:sz w:val="21"/>
          <w:szCs w:val="21"/>
          <w:color w:val="auto"/>
        </w:rPr>
      </w:pPr>
    </w:p>
    <w:p>
      <w:pPr>
        <w:ind w:firstLine="638"/>
        <w:spacing w:after="0" w:line="285" w:lineRule="auto"/>
        <w:tabs>
          <w:tab w:leader="none" w:pos="1267"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non-cash losses on sales of Receivables that are Disposed of in connection with a Qualified Receivables Transaction permitted hereunder, </w:t>
      </w:r>
      <w:r>
        <w:rPr>
          <w:rFonts w:ascii="Times New Roman" w:cs="Times New Roman" w:eastAsia="Times New Roman" w:hAnsi="Times New Roman"/>
          <w:sz w:val="21"/>
          <w:szCs w:val="21"/>
          <w:u w:val="single" w:color="auto"/>
          <w:color w:val="auto"/>
        </w:rPr>
        <w:t>plus</w:t>
      </w:r>
    </w:p>
    <w:p>
      <w:pPr>
        <w:spacing w:after="0" w:line="141" w:lineRule="exact"/>
        <w:rPr>
          <w:rFonts w:ascii="Times New Roman" w:cs="Times New Roman" w:eastAsia="Times New Roman" w:hAnsi="Times New Roman"/>
          <w:sz w:val="21"/>
          <w:szCs w:val="21"/>
          <w:color w:val="auto"/>
        </w:rPr>
      </w:pPr>
    </w:p>
    <w:p>
      <w:pPr>
        <w:ind w:left="1260" w:hanging="622"/>
        <w:spacing w:after="0"/>
        <w:tabs>
          <w:tab w:leader="none" w:pos="1260"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extraordinary, unusual or non-recurring cash charges and losses incurred or recognized, </w:t>
      </w:r>
      <w:r>
        <w:rPr>
          <w:rFonts w:ascii="Times New Roman" w:cs="Times New Roman" w:eastAsia="Times New Roman" w:hAnsi="Times New Roman"/>
          <w:sz w:val="21"/>
          <w:szCs w:val="21"/>
          <w:u w:val="single" w:color="auto"/>
          <w:color w:val="auto"/>
        </w:rPr>
        <w:t>plus</w:t>
      </w:r>
    </w:p>
    <w:p>
      <w:pPr>
        <w:spacing w:after="0" w:line="222" w:lineRule="exact"/>
        <w:rPr>
          <w:rFonts w:ascii="Times New Roman" w:cs="Times New Roman" w:eastAsia="Times New Roman" w:hAnsi="Times New Roman"/>
          <w:sz w:val="21"/>
          <w:szCs w:val="21"/>
          <w:color w:val="auto"/>
        </w:rPr>
      </w:pPr>
    </w:p>
    <w:p>
      <w:pPr>
        <w:ind w:firstLine="638"/>
        <w:spacing w:after="0" w:line="285" w:lineRule="auto"/>
        <w:tabs>
          <w:tab w:leader="none" w:pos="1269"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increase in cost of goods sold resulting from the write up of inventory attributable to purchase accounting treatment with respect to any acquisition, </w:t>
      </w:r>
      <w:r>
        <w:rPr>
          <w:rFonts w:ascii="Times New Roman" w:cs="Times New Roman" w:eastAsia="Times New Roman" w:hAnsi="Times New Roman"/>
          <w:sz w:val="21"/>
          <w:szCs w:val="21"/>
          <w:u w:val="single" w:color="auto"/>
          <w:color w:val="auto"/>
        </w:rPr>
        <w:t>plus</w:t>
      </w:r>
    </w:p>
    <w:p>
      <w:pPr>
        <w:spacing w:after="0" w:line="142" w:lineRule="exact"/>
        <w:rPr>
          <w:sz w:val="20"/>
          <w:szCs w:val="20"/>
          <w:color w:val="auto"/>
        </w:rPr>
      </w:pPr>
    </w:p>
    <w:p>
      <w:pPr>
        <w:jc w:val="both"/>
        <w:ind w:firstLine="638"/>
        <w:spacing w:after="0" w:line="254" w:lineRule="auto"/>
        <w:tabs>
          <w:tab w:leader="none" w:pos="1270"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amount of any expected cost savings, operating improvements and expense reductions, product margin synergies and other synergies (net of the amount of actual amounts realized) reasonably identifiable and factually supportable (in the good faith determination of the Borrower) related to (A) the Transactions and (B) after the Closing Date, permitted asset sales, mergers or other business combinations, acquisitions, Investments, Dispositions or divestitures, integration costs, inventory optimizations, other optimizations, facility consolidations and/or closings, operating improvements and expense reductions, restructurings, cost saving initiatives and other similar initiatives (in each case calculated on a pro forma basis as though such cost savings, operating improvements and expense reductions, product margin synergies and other synergies had been realized on the first day of such period and as if such cost savings, operating improvements and expense reductions, product margin synergies and other synergies were realized during the entirety of such period);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cost savings, operating improvements and expense reductions, product margin synergies and other synergies are reasonably expected to be realized within twenty four (24) months of the event giving rise thereto or the consummation of such transaction;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xml:space="preserve"> that with respect to </w:t>
      </w:r>
      <w:r>
        <w:rPr>
          <w:rFonts w:ascii="Times New Roman" w:cs="Times New Roman" w:eastAsia="Times New Roman" w:hAnsi="Times New Roman"/>
          <w:sz w:val="21"/>
          <w:szCs w:val="21"/>
          <w:u w:val="single" w:color="auto"/>
          <w:color w:val="auto"/>
        </w:rPr>
        <w:t>clause (B</w:t>
      </w:r>
      <w:r>
        <w:rPr>
          <w:rFonts w:ascii="Times New Roman" w:cs="Times New Roman" w:eastAsia="Times New Roman" w:hAnsi="Times New Roman"/>
          <w:sz w:val="21"/>
          <w:szCs w:val="21"/>
          <w:color w:val="auto"/>
        </w:rPr>
        <w:t xml:space="preserve">) above, the aggregate amount of cost savings, operating improvements and expense reductions, product margin synergies and other synergies added-back pursuant to this </w:t>
      </w:r>
      <w:r>
        <w:rPr>
          <w:rFonts w:ascii="Times New Roman" w:cs="Times New Roman" w:eastAsia="Times New Roman" w:hAnsi="Times New Roman"/>
          <w:sz w:val="21"/>
          <w:szCs w:val="21"/>
          <w:u w:val="single" w:color="auto"/>
          <w:color w:val="auto"/>
        </w:rPr>
        <w:t>clause (n)</w:t>
      </w:r>
      <w:r>
        <w:rPr>
          <w:rFonts w:ascii="Times New Roman" w:cs="Times New Roman" w:eastAsia="Times New Roman" w:hAnsi="Times New Roman"/>
          <w:sz w:val="21"/>
          <w:szCs w:val="21"/>
          <w:color w:val="auto"/>
        </w:rPr>
        <w:t xml:space="preserve"> in any four consecutive fiscal quarter period, taken together with the aggregate amount of cost savings, operating expense reductions, other operating improvements and acquisition synergies added-back in connection with Permitted Acquisitions or other permitted Investments pursuant to </w:t>
      </w:r>
      <w:r>
        <w:rPr>
          <w:rFonts w:ascii="Times New Roman" w:cs="Times New Roman" w:eastAsia="Times New Roman" w:hAnsi="Times New Roman"/>
          <w:sz w:val="21"/>
          <w:szCs w:val="21"/>
          <w:u w:val="single" w:color="auto"/>
          <w:color w:val="auto"/>
        </w:rPr>
        <w:t>clause (C)</w:t>
      </w:r>
      <w:r>
        <w:rPr>
          <w:rFonts w:ascii="Times New Roman" w:cs="Times New Roman" w:eastAsia="Times New Roman" w:hAnsi="Times New Roman"/>
          <w:sz w:val="21"/>
          <w:szCs w:val="21"/>
          <w:color w:val="auto"/>
        </w:rPr>
        <w:t xml:space="preserve"> below, shall not exceed 25% of Consolidated EBITDA for such period prior to giving effect to this </w:t>
      </w:r>
      <w:r>
        <w:rPr>
          <w:rFonts w:ascii="Times New Roman" w:cs="Times New Roman" w:eastAsia="Times New Roman" w:hAnsi="Times New Roman"/>
          <w:sz w:val="21"/>
          <w:szCs w:val="21"/>
          <w:u w:val="single" w:color="auto"/>
          <w:color w:val="auto"/>
        </w:rPr>
        <w:t>clause (n)</w:t>
      </w:r>
      <w:r>
        <w:rPr>
          <w:rFonts w:ascii="Times New Roman" w:cs="Times New Roman" w:eastAsia="Times New Roman" w:hAnsi="Times New Roman"/>
          <w:sz w:val="21"/>
          <w:szCs w:val="21"/>
          <w:color w:val="auto"/>
        </w:rPr>
        <w:t xml:space="preserve"> and such </w:t>
      </w:r>
      <w:r>
        <w:rPr>
          <w:rFonts w:ascii="Times New Roman" w:cs="Times New Roman" w:eastAsia="Times New Roman" w:hAnsi="Times New Roman"/>
          <w:sz w:val="21"/>
          <w:szCs w:val="21"/>
          <w:u w:val="single" w:color="auto"/>
          <w:color w:val="auto"/>
        </w:rPr>
        <w:t>clause (C)</w:t>
      </w:r>
      <w:r>
        <w:rPr>
          <w:rFonts w:ascii="Times New Roman" w:cs="Times New Roman" w:eastAsia="Times New Roman" w:hAnsi="Times New Roman"/>
          <w:sz w:val="21"/>
          <w:szCs w:val="21"/>
          <w:color w:val="auto"/>
        </w:rPr>
        <w:t xml:space="preserve"> below, </w:t>
      </w:r>
      <w:r>
        <w:rPr>
          <w:rFonts w:ascii="Times New Roman" w:cs="Times New Roman" w:eastAsia="Times New Roman" w:hAnsi="Times New Roman"/>
          <w:sz w:val="21"/>
          <w:szCs w:val="21"/>
          <w:u w:val="single" w:color="auto"/>
          <w:color w:val="auto"/>
        </w:rPr>
        <w:t>plus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1"/>
          <w:szCs w:val="21"/>
          <w:color w:val="auto"/>
        </w:rPr>
        <w:t>20</w:t>
      </w:r>
    </w:p>
    <w:p>
      <w:pPr>
        <w:sectPr>
          <w:pgSz w:w="11900" w:h="16838" w:orient="portrait"/>
          <w:cols w:equalWidth="0" w:num="1">
            <w:col w:w="10600"/>
          </w:cols>
          <w:pgMar w:left="960" w:top="1397" w:right="339" w:bottom="1440" w:gutter="0" w:footer="0" w:header="0"/>
        </w:sectPr>
      </w:pPr>
    </w:p>
    <w:bookmarkStart w:id="126" w:name="page127"/>
    <w:bookmarkEnd w:id="126"/>
    <w:p>
      <w:pPr>
        <w:jc w:val="both"/>
        <w:ind w:left="640" w:firstLine="636"/>
        <w:spacing w:after="0" w:line="257" w:lineRule="auto"/>
        <w:rPr>
          <w:sz w:val="20"/>
          <w:szCs w:val="20"/>
          <w:color w:val="auto"/>
        </w:rPr>
      </w:pPr>
      <w:r>
        <w:rPr>
          <w:rFonts w:ascii="Times New Roman" w:cs="Times New Roman" w:eastAsia="Times New Roman" w:hAnsi="Times New Roman"/>
          <w:sz w:val="21"/>
          <w:szCs w:val="21"/>
          <w:color w:val="auto"/>
        </w:rPr>
        <w:t xml:space="preserve">(ab) costs, charges, accruals, reserves or expenses attributable to the undertaking and/or implementation of cost savings initiatives or operating expense reductions, product margin synergies and other synergies and similar initiatives, integration, transition, reconstruction, decommissioning, recommissioning or reconfiguration of fixed assets for alternative uses, facilities opening and pre-opening, business optimization and other restructuring costs, charges, accruals, reserves and expenses including inventory optimization programs, software development costs and costs related to the closure or consolidation of facilities, branches or distribution centers, and plants, the closure, consolidation or transfer of production lines between facilities and curtailments, costs related to entry into new markets, consulting and other professional fees, signing costs and bonuses, retention or completion bonuses, executive recruiting costs, relocation expenses, severance payments, modifications to, or losses on settlement of, pension and post-retirement employee benefit plans, new systems design and implementation costs, and project startup costs, </w:t>
      </w:r>
      <w:r>
        <w:rPr>
          <w:rFonts w:ascii="Times New Roman" w:cs="Times New Roman" w:eastAsia="Times New Roman" w:hAnsi="Times New Roman"/>
          <w:sz w:val="21"/>
          <w:szCs w:val="21"/>
          <w:u w:val="single" w:color="auto"/>
          <w:color w:val="auto"/>
        </w:rPr>
        <w:t>plus</w:t>
      </w:r>
    </w:p>
    <w:p>
      <w:pPr>
        <w:spacing w:after="0" w:line="170" w:lineRule="exact"/>
        <w:rPr>
          <w:sz w:val="20"/>
          <w:szCs w:val="20"/>
          <w:color w:val="auto"/>
        </w:rPr>
      </w:pPr>
    </w:p>
    <w:p>
      <w:pPr>
        <w:jc w:val="both"/>
        <w:ind w:left="640" w:firstLine="636"/>
        <w:spacing w:after="0" w:line="262" w:lineRule="auto"/>
        <w:rPr>
          <w:sz w:val="20"/>
          <w:szCs w:val="20"/>
          <w:color w:val="auto"/>
        </w:rPr>
      </w:pPr>
      <w:r>
        <w:rPr>
          <w:rFonts w:ascii="Times New Roman" w:cs="Times New Roman" w:eastAsia="Times New Roman" w:hAnsi="Times New Roman"/>
          <w:sz w:val="21"/>
          <w:szCs w:val="21"/>
          <w:color w:val="auto"/>
        </w:rPr>
        <w:t xml:space="preserve">(ac) to the extent not otherwise included above, proceeds of business interruption insurance in an amount representing the earnings for the applicable period that such proceeds are intended to replace (whether or not received so long as such Person in good faith expects to receive the same within the next four fiscal quarters (it being understood that to the extent not actually received within such fiscal quarters, such proceeds shall be deducted in calculating Consolidated EBITDA for such fiscal quarters)), </w:t>
      </w:r>
      <w:r>
        <w:rPr>
          <w:rFonts w:ascii="Times New Roman" w:cs="Times New Roman" w:eastAsia="Times New Roman" w:hAnsi="Times New Roman"/>
          <w:sz w:val="21"/>
          <w:szCs w:val="21"/>
          <w:u w:val="single" w:color="auto"/>
          <w:color w:val="auto"/>
        </w:rPr>
        <w:t>plus</w:t>
      </w:r>
    </w:p>
    <w:p>
      <w:pPr>
        <w:spacing w:after="0" w:line="166" w:lineRule="exact"/>
        <w:rPr>
          <w:sz w:val="20"/>
          <w:szCs w:val="20"/>
          <w:color w:val="auto"/>
        </w:rPr>
      </w:pPr>
    </w:p>
    <w:p>
      <w:pPr>
        <w:jc w:val="both"/>
        <w:ind w:left="640" w:firstLine="636"/>
        <w:spacing w:after="0" w:line="277" w:lineRule="auto"/>
        <w:rPr>
          <w:sz w:val="20"/>
          <w:szCs w:val="20"/>
          <w:color w:val="auto"/>
        </w:rPr>
      </w:pPr>
      <w:r>
        <w:rPr>
          <w:rFonts w:ascii="Times New Roman" w:cs="Times New Roman" w:eastAsia="Times New Roman" w:hAnsi="Times New Roman"/>
          <w:sz w:val="21"/>
          <w:szCs w:val="21"/>
          <w:color w:val="auto"/>
        </w:rPr>
        <w:t>(ad) the amount of any earn-out and contingent consideration obligations incurred or accrued in connection with any Permitted Acquisition or other Investment in the nature of an acquisition and paid or accrued during such applicable period;</w:t>
      </w:r>
    </w:p>
    <w:p>
      <w:pPr>
        <w:spacing w:after="0" w:line="200" w:lineRule="exact"/>
        <w:rPr>
          <w:sz w:val="20"/>
          <w:szCs w:val="20"/>
          <w:color w:val="auto"/>
        </w:rPr>
      </w:pPr>
    </w:p>
    <w:p>
      <w:pPr>
        <w:spacing w:after="0" w:line="2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and (ii) </w:t>
      </w:r>
      <w:r>
        <w:rPr>
          <w:rFonts w:ascii="Times New Roman" w:cs="Times New Roman" w:eastAsia="Times New Roman" w:hAnsi="Times New Roman"/>
          <w:sz w:val="21"/>
          <w:szCs w:val="21"/>
          <w:u w:val="single" w:color="auto"/>
          <w:color w:val="auto"/>
        </w:rPr>
        <w:t>minus</w:t>
      </w:r>
      <w:r>
        <w:rPr>
          <w:rFonts w:ascii="Times New Roman" w:cs="Times New Roman" w:eastAsia="Times New Roman" w:hAnsi="Times New Roman"/>
          <w:sz w:val="21"/>
          <w:szCs w:val="21"/>
          <w:color w:val="auto"/>
        </w:rPr>
        <w:t>, without duplication,</w:t>
      </w:r>
    </w:p>
    <w:p>
      <w:pPr>
        <w:spacing w:after="0" w:line="236" w:lineRule="exact"/>
        <w:rPr>
          <w:sz w:val="20"/>
          <w:szCs w:val="20"/>
          <w:color w:val="auto"/>
        </w:rPr>
      </w:pPr>
    </w:p>
    <w:p>
      <w:pPr>
        <w:jc w:val="both"/>
        <w:ind w:left="640" w:firstLine="638"/>
        <w:spacing w:after="0" w:line="267" w:lineRule="auto"/>
        <w:tabs>
          <w:tab w:leader="none" w:pos="1590"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unrealized and realized net gains included in Consolidated EBITDA for such Measurement Period in respect of hedging transactions and mark-to-market of Indebtedness denominated in foreign currencies resulting from the application of FASB ASC 830 or any similar accounting standard,</w:t>
      </w:r>
    </w:p>
    <w:p>
      <w:pPr>
        <w:spacing w:after="0" w:line="161" w:lineRule="exact"/>
        <w:rPr>
          <w:rFonts w:ascii="Times New Roman" w:cs="Times New Roman" w:eastAsia="Times New Roman" w:hAnsi="Times New Roman"/>
          <w:sz w:val="21"/>
          <w:szCs w:val="21"/>
          <w:color w:val="auto"/>
        </w:rPr>
      </w:pPr>
    </w:p>
    <w:p>
      <w:pPr>
        <w:ind w:left="640" w:firstLine="638"/>
        <w:spacing w:after="0" w:line="285" w:lineRule="auto"/>
        <w:tabs>
          <w:tab w:leader="none" w:pos="1579"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non-cash gains included in Consolidated Net Income for such Measurement Period (excluding any such non-cash gain to the extent it represents the reversal of an accrual or a reserve for a potential cash gain in any prior period), and</w:t>
      </w:r>
    </w:p>
    <w:p>
      <w:pPr>
        <w:spacing w:after="0" w:line="155" w:lineRule="exact"/>
        <w:rPr>
          <w:rFonts w:ascii="Times New Roman" w:cs="Times New Roman" w:eastAsia="Times New Roman" w:hAnsi="Times New Roman"/>
          <w:sz w:val="21"/>
          <w:szCs w:val="21"/>
          <w:color w:val="auto"/>
        </w:rPr>
      </w:pPr>
    </w:p>
    <w:p>
      <w:pPr>
        <w:ind w:left="640" w:firstLine="638"/>
        <w:spacing w:after="0" w:line="285" w:lineRule="auto"/>
        <w:tabs>
          <w:tab w:leader="none" w:pos="1825"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amount added back in Consolidated EBITDA pursuant to </w:t>
      </w:r>
      <w:r>
        <w:rPr>
          <w:rFonts w:ascii="Times New Roman" w:cs="Times New Roman" w:eastAsia="Times New Roman" w:hAnsi="Times New Roman"/>
          <w:sz w:val="21"/>
          <w:szCs w:val="21"/>
          <w:u w:val="single" w:color="auto"/>
          <w:color w:val="auto"/>
        </w:rPr>
        <w:t>clause (p)</w:t>
      </w:r>
      <w:r>
        <w:rPr>
          <w:rFonts w:ascii="Times New Roman" w:cs="Times New Roman" w:eastAsia="Times New Roman" w:hAnsi="Times New Roman"/>
          <w:sz w:val="21"/>
          <w:szCs w:val="21"/>
          <w:color w:val="auto"/>
        </w:rPr>
        <w:t xml:space="preserve"> above, to the extent such business interruption proceeds were not received within the time period anticipated or required by such clause.</w:t>
      </w:r>
    </w:p>
    <w:p>
      <w:pPr>
        <w:spacing w:after="0" w:line="142" w:lineRule="exact"/>
        <w:rPr>
          <w:sz w:val="20"/>
          <w:szCs w:val="20"/>
          <w:color w:val="auto"/>
        </w:rPr>
      </w:pPr>
    </w:p>
    <w:p>
      <w:pPr>
        <w:jc w:val="both"/>
        <w:ind w:firstLine="636"/>
        <w:spacing w:after="0" w:line="267" w:lineRule="auto"/>
        <w:rPr>
          <w:sz w:val="20"/>
          <w:szCs w:val="20"/>
          <w:color w:val="auto"/>
        </w:rPr>
      </w:pPr>
      <w:r>
        <w:rPr>
          <w:rFonts w:ascii="Times New Roman" w:cs="Times New Roman" w:eastAsia="Times New Roman" w:hAnsi="Times New Roman"/>
          <w:sz w:val="21"/>
          <w:szCs w:val="21"/>
          <w:color w:val="auto"/>
        </w:rPr>
        <w:t>If there has occurred a Permitted Acquisition or other Investment in the nature of an acquisition permitted by this Agreement during the applicable Measurement Period, or for purposes of calculating the pro forma Total Net Leverage Ratio or Secured Net Leverage Ratio after the applicable Measurement Period but on or prior to the Ratio Calculation Date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21</w:t>
      </w:r>
    </w:p>
    <w:p>
      <w:pPr>
        <w:sectPr>
          <w:pgSz w:w="11900" w:h="16838" w:orient="portrait"/>
          <w:cols w:equalWidth="0" w:num="1">
            <w:col w:w="11240"/>
          </w:cols>
          <w:pgMar w:left="320" w:top="1397"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21"/>
          <w:szCs w:val="21"/>
          <w:color w:val="auto"/>
        </w:rPr>
        <w:t xml:space="preserve">accordance with </w:t>
      </w:r>
      <w:r>
        <w:rPr>
          <w:rFonts w:ascii="Times New Roman" w:cs="Times New Roman" w:eastAsia="Times New Roman" w:hAnsi="Times New Roman"/>
          <w:sz w:val="21"/>
          <w:szCs w:val="21"/>
          <w:u w:val="single" w:color="auto"/>
          <w:color w:val="auto"/>
        </w:rPr>
        <w:t>Section 1.09(b)</w:t>
      </w:r>
      <w:r>
        <w:rPr>
          <w:rFonts w:ascii="Times New Roman" w:cs="Times New Roman" w:eastAsia="Times New Roman" w:hAnsi="Times New Roman"/>
          <w:sz w:val="21"/>
          <w:szCs w:val="21"/>
          <w:color w:val="auto"/>
        </w:rPr>
        <w:t>, Consolidated EBITDA shall be calculated on a Pro Forma Basis.</w:t>
      </w:r>
    </w:p>
    <w:p>
      <w:pPr>
        <w:spacing w:after="0" w:line="222" w:lineRule="exact"/>
        <w:rPr>
          <w:sz w:val="20"/>
          <w:szCs w:val="20"/>
          <w:color w:val="auto"/>
        </w:rPr>
      </w:pPr>
    </w:p>
    <w:p>
      <w:pPr>
        <w:ind w:firstLine="636"/>
        <w:spacing w:after="0" w:line="285" w:lineRule="auto"/>
        <w:rPr>
          <w:sz w:val="20"/>
          <w:szCs w:val="20"/>
          <w:color w:val="auto"/>
        </w:rPr>
      </w:pPr>
      <w:r>
        <w:rPr>
          <w:rFonts w:ascii="Times New Roman" w:cs="Times New Roman" w:eastAsia="Times New Roman" w:hAnsi="Times New Roman"/>
          <w:sz w:val="21"/>
          <w:szCs w:val="21"/>
          <w:color w:val="auto"/>
        </w:rPr>
        <w:t>Calculating Consolidated EBITDA on a “Pro Forma Basis” shall mean giving effect to any such Permitted Acquisition or other Investment in the nature of an acquisition, and any Indebtedness incurred or assumed in connection therewith, as follows:</w:t>
      </w:r>
    </w:p>
    <w:p>
      <w:pPr>
        <w:spacing w:after="0" w:line="155" w:lineRule="exact"/>
        <w:rPr>
          <w:sz w:val="20"/>
          <w:szCs w:val="20"/>
          <w:color w:val="auto"/>
        </w:rPr>
      </w:pPr>
    </w:p>
    <w:p>
      <w:pPr>
        <w:jc w:val="both"/>
        <w:ind w:left="1920" w:hanging="642"/>
        <w:spacing w:after="0" w:line="267" w:lineRule="auto"/>
        <w:tabs>
          <w:tab w:leader="none" w:pos="1909"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Indebtedness incurred or assumed in connection with such Permitted Acquisition or other permitted Investment in the nature of an acquisition was incurred or assumed on the first day of the applicable Measurement Period and remained outstanding,</w:t>
      </w:r>
    </w:p>
    <w:p>
      <w:pPr>
        <w:spacing w:after="0" w:line="161" w:lineRule="exact"/>
        <w:rPr>
          <w:rFonts w:ascii="Times New Roman" w:cs="Times New Roman" w:eastAsia="Times New Roman" w:hAnsi="Times New Roman"/>
          <w:sz w:val="21"/>
          <w:szCs w:val="21"/>
          <w:color w:val="auto"/>
        </w:rPr>
      </w:pPr>
    </w:p>
    <w:p>
      <w:pPr>
        <w:jc w:val="both"/>
        <w:ind w:left="1920" w:hanging="642"/>
        <w:spacing w:after="0" w:line="274" w:lineRule="auto"/>
        <w:tabs>
          <w:tab w:leader="none" w:pos="1911"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rate on such Indebtedness shall be calculated as if the rate in effect on the date of such Permitted Acquisition or other permitted Investment in the nature of an acquisition had been the applicable rate for the entire period (taking into account any interest rate Swap Contracts applicable to such Indebtedness), and</w:t>
      </w:r>
    </w:p>
    <w:p>
      <w:pPr>
        <w:spacing w:after="0" w:line="153" w:lineRule="exact"/>
        <w:rPr>
          <w:rFonts w:ascii="Times New Roman" w:cs="Times New Roman" w:eastAsia="Times New Roman" w:hAnsi="Times New Roman"/>
          <w:sz w:val="21"/>
          <w:szCs w:val="21"/>
          <w:color w:val="auto"/>
        </w:rPr>
      </w:pPr>
    </w:p>
    <w:p>
      <w:pPr>
        <w:jc w:val="both"/>
        <w:ind w:left="1920" w:hanging="642"/>
        <w:spacing w:after="0" w:line="254" w:lineRule="auto"/>
        <w:tabs>
          <w:tab w:leader="none" w:pos="1911"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all income, depreciation, amortization, taxes, and expenses associated with the assets or entity acquired in connection with such Permitted Acquisition or other permitted Investment in the nature of an acquisition for the applicable period shall be calculated on a pro forma basis after giving effect to cost savings, operating expense reductions, other operating improvements and acquisition synergies that are reasonably identifiable and projected by the Borrower in good faith to be realized within twenty four (24) months after such Permitted Acquisition or other such permitted Investment in the nature of an acquisition (calculated on a pro forma basis as though such items had been realized on the first day of such period) as a result of actions taken by the Borrower or any Restricted Subsidiary in connection with such Permitted Acquisition or other permitted Investment and net of (x) the amount of actual benefits realized during such period from such actions that are otherwise included in the calculation of Consolidated EBITDA in each case from and after the first day of such Measurement Period and (y) the amount of all income, depreciation, amortization, taxes and expenses associated with any assets or entity acquired in connection with such Permitted Acquisition or other such permitted Investment that the Borrower reasonably anticipates will be divested pursuant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7.05(k)</w:t>
      </w:r>
      <w:r>
        <w:rPr>
          <w:rFonts w:ascii="Times New Roman" w:cs="Times New Roman" w:eastAsia="Times New Roman" w:hAnsi="Times New Roman"/>
          <w:sz w:val="21"/>
          <w:szCs w:val="21"/>
          <w:color w:val="auto"/>
        </w:rPr>
        <w:t xml:space="preserve"> or otherwise;</w:t>
      </w:r>
    </w:p>
    <w:p>
      <w:pPr>
        <w:spacing w:after="0" w:line="183"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21"/>
          <w:szCs w:val="21"/>
          <w:color w:val="auto"/>
        </w:rPr>
        <w:t>that:</w:t>
      </w:r>
    </w:p>
    <w:p>
      <w:pPr>
        <w:spacing w:after="0" w:line="238" w:lineRule="exact"/>
        <w:rPr>
          <w:sz w:val="20"/>
          <w:szCs w:val="20"/>
          <w:color w:val="auto"/>
        </w:rPr>
      </w:pPr>
    </w:p>
    <w:p>
      <w:pPr>
        <w:jc w:val="both"/>
        <w:ind w:left="1280" w:firstLine="634"/>
        <w:spacing w:after="0" w:line="261" w:lineRule="auto"/>
        <w:tabs>
          <w:tab w:leader="none" w:pos="2195"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aggregate amount of cost savings, operating expense reductions, other operating improvements and acquisition synergies added-back in connection with Permitted Acquisitions or other permitted Investments pursuant to this </w:t>
      </w:r>
      <w:r>
        <w:rPr>
          <w:rFonts w:ascii="Times New Roman" w:cs="Times New Roman" w:eastAsia="Times New Roman" w:hAnsi="Times New Roman"/>
          <w:sz w:val="21"/>
          <w:szCs w:val="21"/>
          <w:u w:val="single" w:color="auto"/>
          <w:color w:val="auto"/>
        </w:rPr>
        <w:t>clause (C)</w:t>
      </w:r>
      <w:r>
        <w:rPr>
          <w:rFonts w:ascii="Times New Roman" w:cs="Times New Roman" w:eastAsia="Times New Roman" w:hAnsi="Times New Roman"/>
          <w:sz w:val="21"/>
          <w:szCs w:val="21"/>
          <w:color w:val="auto"/>
        </w:rPr>
        <w:t xml:space="preserve"> in any four consecutive fiscal quarter period, taken together with the aggregate amount of cost savings, operating improvements and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22</w:t>
      </w:r>
    </w:p>
    <w:p>
      <w:pPr>
        <w:sectPr>
          <w:pgSz w:w="11900" w:h="16838" w:orient="portrait"/>
          <w:cols w:equalWidth="0" w:num="1">
            <w:col w:w="11240"/>
          </w:cols>
          <w:pgMar w:left="320" w:top="1397" w:right="339" w:bottom="1440" w:gutter="0" w:footer="0" w:header="0"/>
        </w:sectPr>
      </w:pPr>
    </w:p>
    <w:bookmarkStart w:id="128" w:name="page129"/>
    <w:bookmarkEnd w:id="128"/>
    <w:p>
      <w:pPr>
        <w:ind w:left="1280"/>
        <w:spacing w:after="0" w:line="285" w:lineRule="auto"/>
        <w:rPr>
          <w:sz w:val="20"/>
          <w:szCs w:val="20"/>
          <w:color w:val="auto"/>
        </w:rPr>
      </w:pPr>
      <w:r>
        <w:rPr>
          <w:rFonts w:ascii="Times New Roman" w:cs="Times New Roman" w:eastAsia="Times New Roman" w:hAnsi="Times New Roman"/>
          <w:sz w:val="21"/>
          <w:szCs w:val="21"/>
          <w:color w:val="auto"/>
        </w:rPr>
        <w:t xml:space="preserve">reductions, product margin synergies and other synergies added-back pursuant to </w:t>
      </w:r>
      <w:r>
        <w:rPr>
          <w:rFonts w:ascii="Times New Roman" w:cs="Times New Roman" w:eastAsia="Times New Roman" w:hAnsi="Times New Roman"/>
          <w:sz w:val="21"/>
          <w:szCs w:val="21"/>
          <w:u w:val="single" w:color="auto"/>
          <w:color w:val="auto"/>
        </w:rPr>
        <w:t>clause (n) above,</w:t>
      </w:r>
      <w:r>
        <w:rPr>
          <w:rFonts w:ascii="Times New Roman" w:cs="Times New Roman" w:eastAsia="Times New Roman" w:hAnsi="Times New Roman"/>
          <w:sz w:val="21"/>
          <w:szCs w:val="21"/>
          <w:color w:val="auto"/>
        </w:rPr>
        <w:t xml:space="preserve"> shall not exceed 25.00% of Consolidated EBITDA for such period prior to giving effect to this </w:t>
      </w:r>
      <w:r>
        <w:rPr>
          <w:rFonts w:ascii="Times New Roman" w:cs="Times New Roman" w:eastAsia="Times New Roman" w:hAnsi="Times New Roman"/>
          <w:sz w:val="21"/>
          <w:szCs w:val="21"/>
          <w:u w:val="single" w:color="auto"/>
          <w:color w:val="auto"/>
        </w:rPr>
        <w:t>clause (C)</w:t>
      </w:r>
      <w:r>
        <w:rPr>
          <w:rFonts w:ascii="Times New Roman" w:cs="Times New Roman" w:eastAsia="Times New Roman" w:hAnsi="Times New Roman"/>
          <w:sz w:val="21"/>
          <w:szCs w:val="21"/>
          <w:color w:val="auto"/>
        </w:rPr>
        <w:t xml:space="preserve"> and such </w:t>
      </w:r>
      <w:r>
        <w:rPr>
          <w:rFonts w:ascii="Times New Roman" w:cs="Times New Roman" w:eastAsia="Times New Roman" w:hAnsi="Times New Roman"/>
          <w:sz w:val="21"/>
          <w:szCs w:val="21"/>
          <w:u w:val="single" w:color="auto"/>
          <w:color w:val="auto"/>
        </w:rPr>
        <w:t>clause (n)</w:t>
      </w:r>
      <w:r>
        <w:rPr>
          <w:rFonts w:ascii="Times New Roman" w:cs="Times New Roman" w:eastAsia="Times New Roman" w:hAnsi="Times New Roman"/>
          <w:sz w:val="21"/>
          <w:szCs w:val="21"/>
          <w:color w:val="auto"/>
        </w:rPr>
        <w:t>; and</w:t>
      </w:r>
    </w:p>
    <w:p>
      <w:pPr>
        <w:spacing w:after="0" w:line="142" w:lineRule="exact"/>
        <w:rPr>
          <w:sz w:val="20"/>
          <w:szCs w:val="20"/>
          <w:color w:val="auto"/>
        </w:rPr>
      </w:pPr>
    </w:p>
    <w:p>
      <w:pPr>
        <w:jc w:val="both"/>
        <w:ind w:left="1280" w:firstLine="634"/>
        <w:spacing w:after="0" w:line="266" w:lineRule="auto"/>
        <w:tabs>
          <w:tab w:leader="none" w:pos="2253"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at the time any such calculation pursuant to this </w:t>
      </w:r>
      <w:r>
        <w:rPr>
          <w:rFonts w:ascii="Times New Roman" w:cs="Times New Roman" w:eastAsia="Times New Roman" w:hAnsi="Times New Roman"/>
          <w:sz w:val="21"/>
          <w:szCs w:val="21"/>
          <w:u w:val="single" w:color="auto"/>
          <w:color w:val="auto"/>
        </w:rPr>
        <w:t>clause (C)</w:t>
      </w:r>
      <w:r>
        <w:rPr>
          <w:rFonts w:ascii="Times New Roman" w:cs="Times New Roman" w:eastAsia="Times New Roman" w:hAnsi="Times New Roman"/>
          <w:sz w:val="21"/>
          <w:szCs w:val="21"/>
          <w:color w:val="auto"/>
        </w:rPr>
        <w:t xml:space="preserve"> is made, the Borrower shall deliver to the Administrative Agent a certificate signed by a Responsible Officer (which may be the Compliance Certificate) setting forth reasonably detailed calculations in respect of the matters referred to in this </w:t>
      </w:r>
      <w:r>
        <w:rPr>
          <w:rFonts w:ascii="Times New Roman" w:cs="Times New Roman" w:eastAsia="Times New Roman" w:hAnsi="Times New Roman"/>
          <w:sz w:val="21"/>
          <w:szCs w:val="21"/>
          <w:u w:val="single" w:color="auto"/>
          <w:color w:val="auto"/>
        </w:rPr>
        <w:t>clause (C)</w:t>
      </w:r>
      <w:r>
        <w:rPr>
          <w:rFonts w:ascii="Times New Roman" w:cs="Times New Roman" w:eastAsia="Times New Roman" w:hAnsi="Times New Roman"/>
          <w:sz w:val="21"/>
          <w:szCs w:val="21"/>
          <w:color w:val="auto"/>
        </w:rPr>
        <w:t>, as well as the relevant factual support in respect thereof.</w:t>
      </w:r>
    </w:p>
    <w:p>
      <w:pPr>
        <w:spacing w:after="0" w:line="158" w:lineRule="exact"/>
        <w:rPr>
          <w:sz w:val="20"/>
          <w:szCs w:val="20"/>
          <w:color w:val="auto"/>
        </w:rPr>
      </w:pPr>
    </w:p>
    <w:p>
      <w:pPr>
        <w:jc w:val="both"/>
        <w:ind w:firstLine="636"/>
        <w:spacing w:after="0" w:line="276" w:lineRule="auto"/>
        <w:rPr>
          <w:sz w:val="20"/>
          <w:szCs w:val="20"/>
          <w:color w:val="auto"/>
        </w:rPr>
      </w:pPr>
      <w:r>
        <w:rPr>
          <w:rFonts w:ascii="Times New Roman" w:cs="Times New Roman" w:eastAsia="Times New Roman" w:hAnsi="Times New Roman"/>
          <w:sz w:val="21"/>
          <w:szCs w:val="21"/>
          <w:b w:val="1"/>
          <w:bCs w:val="1"/>
          <w:color w:val="FF0000"/>
          <w:strike w:val="1"/>
        </w:rPr>
        <w:t>Notwithstanding anything to the contrary contained herein, for any period that includes any of the fiscal quarters set forth below, Consolidated EBITDA (pro forma) for such fiscal quarter shall be deemed to be the amount set forth below opposite such fiscal quarter:</w:t>
      </w:r>
    </w:p>
    <w:p>
      <w:pPr>
        <w:spacing w:after="0" w:line="174" w:lineRule="exact"/>
        <w:rPr>
          <w:sz w:val="20"/>
          <w:szCs w:val="20"/>
          <w:color w:val="auto"/>
        </w:rPr>
      </w:pPr>
    </w:p>
    <w:tbl>
      <w:tblPr>
        <w:tblLayout w:type="fixed"/>
        <w:tblInd w:w="2040" w:type="dxa"/>
        <w:tblCellMar>
          <w:top w:w="0" w:type="dxa"/>
          <w:left w:w="0" w:type="dxa"/>
          <w:bottom w:w="0" w:type="dxa"/>
          <w:right w:w="0" w:type="dxa"/>
        </w:tblCellMar>
      </w:tblPr>
      <w:tr>
        <w:trPr>
          <w:trHeight w:val="281"/>
        </w:trPr>
        <w:tc>
          <w:tcPr>
            <w:tcW w:w="2160" w:type="dxa"/>
            <w:vAlign w:val="bottom"/>
          </w:tcPr>
          <w:p>
            <w:pPr>
              <w:jc w:val="center"/>
              <w:ind w:right="94"/>
              <w:spacing w:after="0"/>
              <w:rPr>
                <w:sz w:val="20"/>
                <w:szCs w:val="20"/>
                <w:color w:val="auto"/>
              </w:rPr>
            </w:pPr>
            <w:r>
              <w:rPr>
                <w:rFonts w:ascii="Times New Roman" w:cs="Times New Roman" w:eastAsia="Times New Roman" w:hAnsi="Times New Roman"/>
                <w:sz w:val="21"/>
                <w:szCs w:val="21"/>
                <w:b w:val="1"/>
                <w:bCs w:val="1"/>
                <w:u w:val="single" w:color="auto"/>
                <w:color w:val="FF0000"/>
                <w:strike w:val="1"/>
              </w:rPr>
              <w:t>Fiscal Quarter Ended</w:t>
            </w:r>
          </w:p>
        </w:tc>
        <w:tc>
          <w:tcPr>
            <w:tcW w:w="2260" w:type="dxa"/>
            <w:vAlign w:val="bottom"/>
          </w:tcPr>
          <w:p>
            <w:pPr>
              <w:jc w:val="center"/>
              <w:ind w:left="94"/>
              <w:spacing w:after="0"/>
              <w:rPr>
                <w:sz w:val="20"/>
                <w:szCs w:val="20"/>
                <w:color w:val="auto"/>
              </w:rPr>
            </w:pPr>
            <w:r>
              <w:rPr>
                <w:rFonts w:ascii="Times New Roman" w:cs="Times New Roman" w:eastAsia="Times New Roman" w:hAnsi="Times New Roman"/>
                <w:sz w:val="21"/>
                <w:szCs w:val="21"/>
                <w:b w:val="1"/>
                <w:bCs w:val="1"/>
                <w:u w:val="single" w:color="auto"/>
                <w:color w:val="FF0000"/>
                <w:strike w:val="1"/>
              </w:rPr>
              <w:t>Consolidated EBITDA</w:t>
            </w:r>
          </w:p>
        </w:tc>
      </w:tr>
      <w:tr>
        <w:trPr>
          <w:trHeight w:val="305"/>
        </w:trPr>
        <w:tc>
          <w:tcPr>
            <w:tcW w:w="2160" w:type="dxa"/>
            <w:vAlign w:val="bottom"/>
          </w:tcPr>
          <w:p>
            <w:pPr>
              <w:jc w:val="center"/>
              <w:ind w:right="94"/>
              <w:spacing w:after="0"/>
              <w:rPr>
                <w:sz w:val="20"/>
                <w:szCs w:val="20"/>
                <w:color w:val="auto"/>
              </w:rPr>
            </w:pPr>
            <w:r>
              <w:rPr>
                <w:rFonts w:ascii="Times New Roman" w:cs="Times New Roman" w:eastAsia="Times New Roman" w:hAnsi="Times New Roman"/>
                <w:sz w:val="21"/>
                <w:szCs w:val="21"/>
                <w:b w:val="1"/>
                <w:bCs w:val="1"/>
                <w:color w:val="FF0000"/>
                <w:strike w:val="1"/>
              </w:rPr>
              <w:t>March 31, 2021</w:t>
            </w:r>
          </w:p>
        </w:tc>
        <w:tc>
          <w:tcPr>
            <w:tcW w:w="2260" w:type="dxa"/>
            <w:vAlign w:val="bottom"/>
          </w:tcPr>
          <w:p>
            <w:pPr>
              <w:jc w:val="center"/>
              <w:ind w:left="94"/>
              <w:spacing w:after="0"/>
              <w:rPr>
                <w:sz w:val="20"/>
                <w:szCs w:val="20"/>
                <w:color w:val="auto"/>
              </w:rPr>
            </w:pPr>
            <w:r>
              <w:rPr>
                <w:rFonts w:ascii="Times New Roman" w:cs="Times New Roman" w:eastAsia="Times New Roman" w:hAnsi="Times New Roman"/>
                <w:sz w:val="21"/>
                <w:szCs w:val="21"/>
                <w:b w:val="1"/>
                <w:bCs w:val="1"/>
                <w:color w:val="FF0000"/>
                <w:strike w:val="1"/>
              </w:rPr>
              <w:t>$42,200,000</w:t>
            </w:r>
          </w:p>
        </w:tc>
      </w:tr>
      <w:tr>
        <w:trPr>
          <w:trHeight w:val="437"/>
        </w:trPr>
        <w:tc>
          <w:tcPr>
            <w:tcW w:w="2160" w:type="dxa"/>
            <w:vAlign w:val="bottom"/>
          </w:tcPr>
          <w:p>
            <w:pPr>
              <w:jc w:val="center"/>
              <w:ind w:right="94"/>
              <w:spacing w:after="0"/>
              <w:rPr>
                <w:sz w:val="20"/>
                <w:szCs w:val="20"/>
                <w:color w:val="auto"/>
              </w:rPr>
            </w:pPr>
            <w:r>
              <w:rPr>
                <w:rFonts w:ascii="Times New Roman" w:cs="Times New Roman" w:eastAsia="Times New Roman" w:hAnsi="Times New Roman"/>
                <w:sz w:val="21"/>
                <w:szCs w:val="21"/>
                <w:b w:val="1"/>
                <w:bCs w:val="1"/>
                <w:color w:val="FF0000"/>
                <w:strike w:val="1"/>
              </w:rPr>
              <w:t>June 30, 2021</w:t>
            </w:r>
          </w:p>
        </w:tc>
        <w:tc>
          <w:tcPr>
            <w:tcW w:w="2260" w:type="dxa"/>
            <w:vAlign w:val="bottom"/>
          </w:tcPr>
          <w:p>
            <w:pPr>
              <w:jc w:val="center"/>
              <w:ind w:left="94"/>
              <w:spacing w:after="0"/>
              <w:rPr>
                <w:sz w:val="20"/>
                <w:szCs w:val="20"/>
                <w:color w:val="auto"/>
              </w:rPr>
            </w:pPr>
            <w:r>
              <w:rPr>
                <w:rFonts w:ascii="Times New Roman" w:cs="Times New Roman" w:eastAsia="Times New Roman" w:hAnsi="Times New Roman"/>
                <w:sz w:val="21"/>
                <w:szCs w:val="21"/>
                <w:b w:val="1"/>
                <w:bCs w:val="1"/>
                <w:color w:val="FF0000"/>
                <w:strike w:val="1"/>
              </w:rPr>
              <w:t>$70,500,000</w:t>
            </w:r>
          </w:p>
        </w:tc>
      </w:tr>
      <w:tr>
        <w:trPr>
          <w:trHeight w:val="437"/>
        </w:trPr>
        <w:tc>
          <w:tcPr>
            <w:tcW w:w="2160" w:type="dxa"/>
            <w:vAlign w:val="bottom"/>
          </w:tcPr>
          <w:p>
            <w:pPr>
              <w:jc w:val="center"/>
              <w:ind w:right="94"/>
              <w:spacing w:after="0"/>
              <w:rPr>
                <w:sz w:val="20"/>
                <w:szCs w:val="20"/>
                <w:color w:val="auto"/>
              </w:rPr>
            </w:pPr>
            <w:r>
              <w:rPr>
                <w:rFonts w:ascii="Times New Roman" w:cs="Times New Roman" w:eastAsia="Times New Roman" w:hAnsi="Times New Roman"/>
                <w:sz w:val="21"/>
                <w:szCs w:val="21"/>
                <w:b w:val="1"/>
                <w:bCs w:val="1"/>
                <w:color w:val="FF0000"/>
                <w:strike w:val="1"/>
              </w:rPr>
              <w:t>September 30, 2021</w:t>
            </w:r>
          </w:p>
        </w:tc>
        <w:tc>
          <w:tcPr>
            <w:tcW w:w="2260" w:type="dxa"/>
            <w:vAlign w:val="bottom"/>
          </w:tcPr>
          <w:p>
            <w:pPr>
              <w:jc w:val="center"/>
              <w:ind w:left="94"/>
              <w:spacing w:after="0"/>
              <w:rPr>
                <w:sz w:val="20"/>
                <w:szCs w:val="20"/>
                <w:color w:val="auto"/>
              </w:rPr>
            </w:pPr>
            <w:r>
              <w:rPr>
                <w:rFonts w:ascii="Times New Roman" w:cs="Times New Roman" w:eastAsia="Times New Roman" w:hAnsi="Times New Roman"/>
                <w:sz w:val="21"/>
                <w:szCs w:val="21"/>
                <w:b w:val="1"/>
                <w:bCs w:val="1"/>
                <w:color w:val="FF0000"/>
                <w:strike w:val="1"/>
              </w:rPr>
              <w:t>$60,500,000</w:t>
            </w:r>
          </w:p>
        </w:tc>
      </w:tr>
      <w:tr>
        <w:trPr>
          <w:trHeight w:val="437"/>
        </w:trPr>
        <w:tc>
          <w:tcPr>
            <w:tcW w:w="2160" w:type="dxa"/>
            <w:vAlign w:val="bottom"/>
          </w:tcPr>
          <w:p>
            <w:pPr>
              <w:jc w:val="center"/>
              <w:ind w:right="94"/>
              <w:spacing w:after="0"/>
              <w:rPr>
                <w:sz w:val="20"/>
                <w:szCs w:val="20"/>
                <w:color w:val="auto"/>
              </w:rPr>
            </w:pPr>
            <w:r>
              <w:rPr>
                <w:rFonts w:ascii="Times New Roman" w:cs="Times New Roman" w:eastAsia="Times New Roman" w:hAnsi="Times New Roman"/>
                <w:sz w:val="21"/>
                <w:szCs w:val="21"/>
                <w:b w:val="1"/>
                <w:bCs w:val="1"/>
                <w:color w:val="FF0000"/>
                <w:strike w:val="1"/>
              </w:rPr>
              <w:t>December 31, 2021</w:t>
            </w:r>
          </w:p>
        </w:tc>
        <w:tc>
          <w:tcPr>
            <w:tcW w:w="2260" w:type="dxa"/>
            <w:vAlign w:val="bottom"/>
          </w:tcPr>
          <w:p>
            <w:pPr>
              <w:jc w:val="center"/>
              <w:ind w:left="94"/>
              <w:spacing w:after="0"/>
              <w:rPr>
                <w:sz w:val="20"/>
                <w:szCs w:val="20"/>
                <w:color w:val="auto"/>
              </w:rPr>
            </w:pPr>
            <w:r>
              <w:rPr>
                <w:rFonts w:ascii="Times New Roman" w:cs="Times New Roman" w:eastAsia="Times New Roman" w:hAnsi="Times New Roman"/>
                <w:sz w:val="21"/>
                <w:szCs w:val="21"/>
                <w:b w:val="1"/>
                <w:bCs w:val="1"/>
                <w:color w:val="FF0000"/>
                <w:strike w:val="1"/>
              </w:rPr>
              <w:t>$59,800,000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1215390</wp:posOffset>
            </wp:positionH>
            <wp:positionV relativeFrom="paragraph">
              <wp:posOffset>-1192530</wp:posOffset>
            </wp:positionV>
            <wp:extent cx="3062605" cy="127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1">
                      <a:extLst>
                        <a:ext uri="{28A0092B-C50C-407E-A947-70E740481C1C}"/>
                      </a:extLst>
                    </a:blip>
                    <a:srcRect/>
                    <a:stretch>
                      <a:fillRect/>
                    </a:stretch>
                  </pic:blipFill>
                  <pic:spPr bwMode="auto">
                    <a:xfrm>
                      <a:off x="0" y="0"/>
                      <a:ext cx="3062605" cy="127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Consolidated Excess Cash Flow</w:t>
      </w:r>
      <w:r>
        <w:rPr>
          <w:rFonts w:ascii="Times New Roman" w:cs="Times New Roman" w:eastAsia="Times New Roman" w:hAnsi="Times New Roman"/>
          <w:sz w:val="21"/>
          <w:szCs w:val="21"/>
          <w:color w:val="auto"/>
        </w:rPr>
        <w:t xml:space="preserve">” means, for any period, an amount (if positive) equal to: (a) the sum, without duplication, of the amounts for such period of (i) Consolidated Net Income,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(ii) to the extent reducing Consolidated Net Income, the sum, without duplication, of amounts for non-cash charges reducing Consolidated Net Income, including for depreciation and amortization (excluding any such non-cash charge to the extent that it represents an accrual or reserve for a potential cash charge in any future period or amortization of a prepaid cash charge that was paid in a prior period),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(iii) the Consolidated Working Capital Adjustment, </w:t>
      </w:r>
      <w:r>
        <w:rPr>
          <w:rFonts w:ascii="Times New Roman" w:cs="Times New Roman" w:eastAsia="Times New Roman" w:hAnsi="Times New Roman"/>
          <w:sz w:val="21"/>
          <w:szCs w:val="21"/>
          <w:u w:val="single" w:color="auto"/>
          <w:color w:val="auto"/>
        </w:rPr>
        <w:t>minus</w:t>
      </w:r>
      <w:r>
        <w:rPr>
          <w:rFonts w:ascii="Times New Roman" w:cs="Times New Roman" w:eastAsia="Times New Roman" w:hAnsi="Times New Roman"/>
          <w:sz w:val="21"/>
          <w:szCs w:val="21"/>
          <w:color w:val="auto"/>
        </w:rPr>
        <w:t xml:space="preserve"> (b) the sum, without duplication, of (i) the amounts for such period paid in cash by the Borrower and its Restricted Subsidiaries from operating cash flow (and not already reducing Consolidated Net Income) of (1) scheduled repayments (but not optional or mandatory prepayments) of Indebtedness for borrowed money of the Borrower and its Restricted Subsidiaries (excluding scheduled repayments of Revolving Credit Loans (or other loans which by their terms may be re-borrowed if prepaid) except to the extent the Revolving Credit Commitments (or commitments in respect of such other revolving loans) are permanently reduced in connection with such repayments) and scheduled repayments of obligations of the Borrower and its Restricted Subsidiaries under Capital Leases (excluding any interest expense portion thereof), (2) Capital Expenditures, (3) payments of the type described in </w:t>
      </w:r>
      <w:r>
        <w:rPr>
          <w:rFonts w:ascii="Times New Roman" w:cs="Times New Roman" w:eastAsia="Times New Roman" w:hAnsi="Times New Roman"/>
          <w:sz w:val="21"/>
          <w:szCs w:val="21"/>
          <w:u w:val="single" w:color="auto"/>
          <w:color w:val="auto"/>
        </w:rPr>
        <w:t>clause (f)</w:t>
      </w:r>
      <w:r>
        <w:rPr>
          <w:rFonts w:ascii="Times New Roman" w:cs="Times New Roman" w:eastAsia="Times New Roman" w:hAnsi="Times New Roman"/>
          <w:sz w:val="21"/>
          <w:szCs w:val="21"/>
          <w:color w:val="auto"/>
        </w:rPr>
        <w:t xml:space="preserve"> of the definition of Consolidated EBITDA, and (4) consideration in respect of Investments made pursuant to </w:t>
      </w:r>
      <w:r>
        <w:rPr>
          <w:rFonts w:ascii="Times New Roman" w:cs="Times New Roman" w:eastAsia="Times New Roman" w:hAnsi="Times New Roman"/>
          <w:sz w:val="21"/>
          <w:szCs w:val="21"/>
          <w:u w:val="single" w:color="auto"/>
          <w:color w:val="auto"/>
        </w:rPr>
        <w:t>Section 7.02</w:t>
      </w:r>
      <w:r>
        <w:rPr>
          <w:rFonts w:ascii="Times New Roman" w:cs="Times New Roman" w:eastAsia="Times New Roman" w:hAnsi="Times New Roman"/>
          <w:sz w:val="21"/>
          <w:szCs w:val="21"/>
          <w:color w:val="auto"/>
        </w:rPr>
        <w:t xml:space="preserve"> (other than </w:t>
      </w:r>
      <w:r>
        <w:rPr>
          <w:rFonts w:ascii="Times New Roman" w:cs="Times New Roman" w:eastAsia="Times New Roman" w:hAnsi="Times New Roman"/>
          <w:sz w:val="21"/>
          <w:szCs w:val="21"/>
          <w:u w:val="single" w:color="auto"/>
          <w:color w:val="auto"/>
        </w:rPr>
        <w:t>Section 7.02(a)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(g)</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p</w:t>
      </w:r>
      <w:r>
        <w:rPr>
          <w:rFonts w:ascii="Times New Roman" w:cs="Times New Roman" w:eastAsia="Times New Roman" w:hAnsi="Times New Roman"/>
          <w:sz w:val="21"/>
          <w:szCs w:val="21"/>
          <w:color w:val="auto"/>
        </w:rPr>
        <w:t>)) (and financed with internally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23</w:t>
      </w:r>
    </w:p>
    <w:p>
      <w:pPr>
        <w:sectPr>
          <w:pgSz w:w="11900" w:h="16838" w:orient="portrait"/>
          <w:cols w:equalWidth="0" w:num="1">
            <w:col w:w="11240"/>
          </w:cols>
          <w:pgMar w:left="320" w:top="1397" w:right="339" w:bottom="1440" w:gutter="0" w:footer="0" w:header="0"/>
        </w:sectPr>
      </w:pPr>
    </w:p>
    <w:bookmarkStart w:id="129" w:name="page130"/>
    <w:bookmarkEnd w:id="129"/>
    <w:p>
      <w:pPr>
        <w:jc w:val="both"/>
        <w:spacing w:after="0" w:line="267" w:lineRule="auto"/>
        <w:rPr>
          <w:sz w:val="20"/>
          <w:szCs w:val="20"/>
          <w:color w:val="auto"/>
        </w:rPr>
      </w:pPr>
      <w:r>
        <w:rPr>
          <w:rFonts w:ascii="Times New Roman" w:cs="Times New Roman" w:eastAsia="Times New Roman" w:hAnsi="Times New Roman"/>
          <w:sz w:val="21"/>
          <w:szCs w:val="21"/>
          <w:color w:val="auto"/>
        </w:rPr>
        <w:t xml:space="preserve">generated cash (and not from the proceeds of Indebtedness))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(ii) other non-cash gains increasing Consolidated Net Income for such period (excluding any such non-cash gain to the extent it represents the reversal of an accrual or reserve for a potential cash gain in any prior period).</w:t>
      </w:r>
    </w:p>
    <w:p>
      <w:pPr>
        <w:spacing w:after="0" w:line="171"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Consolidated Funded Indebtedness</w:t>
      </w:r>
      <w:r>
        <w:rPr>
          <w:rFonts w:ascii="Times New Roman" w:cs="Times New Roman" w:eastAsia="Times New Roman" w:hAnsi="Times New Roman"/>
          <w:sz w:val="21"/>
          <w:szCs w:val="21"/>
          <w:color w:val="auto"/>
        </w:rPr>
        <w:t xml:space="preserve">” means, as of any date of determination, for the Borrower and its Restricted Subsidiaries on a consolidated basis, the sum, without duplication, of (a) the outstanding principal amount of all obligations, whether current or long-term, for borrowed money (including the Obligations hereunder and any Indebtedness owing or paid to non-Affiliated third parties in respect of Receivables Program Obligations) and all obligations evidenced by bonds, debentures, notes, loan agreements or other similar instruments, (b) all purchase money Indebtedness, (c) all direct non-contingent obligations arising in connection with letters of credit (including standby and commercial), bankers’ acceptances, bank guaranties, surety bonds and similar instruments, (d) all obligations to pay the deferred purchase price of property or services (other than (i) trade accounts payable in the ordinary course of business and (ii) contingent earn-outs, hold-backs and other deferred payment of consideration in Permitted Acquisitions), (e) Attributable Indebtedness in respect of Capital Leases, (f) all Guarantees with respect to outstanding Indebtedness of the types specified in </w:t>
      </w:r>
      <w:r>
        <w:rPr>
          <w:rFonts w:ascii="Times New Roman" w:cs="Times New Roman" w:eastAsia="Times New Roman" w:hAnsi="Times New Roman"/>
          <w:sz w:val="21"/>
          <w:szCs w:val="21"/>
          <w:u w:val="single" w:color="auto"/>
          <w:color w:val="auto"/>
        </w:rPr>
        <w:t>clauses (a)</w:t>
      </w:r>
      <w:r>
        <w:rPr>
          <w:rFonts w:ascii="Times New Roman" w:cs="Times New Roman" w:eastAsia="Times New Roman" w:hAnsi="Times New Roman"/>
          <w:sz w:val="21"/>
          <w:szCs w:val="21"/>
          <w:color w:val="auto"/>
        </w:rPr>
        <w:t xml:space="preserve"> through </w:t>
      </w:r>
      <w:r>
        <w:rPr>
          <w:rFonts w:ascii="Times New Roman" w:cs="Times New Roman" w:eastAsia="Times New Roman" w:hAnsi="Times New Roman"/>
          <w:sz w:val="21"/>
          <w:szCs w:val="21"/>
          <w:u w:val="single" w:color="auto"/>
          <w:color w:val="auto"/>
        </w:rPr>
        <w:t>(e)</w:t>
      </w:r>
      <w:r>
        <w:rPr>
          <w:rFonts w:ascii="Times New Roman" w:cs="Times New Roman" w:eastAsia="Times New Roman" w:hAnsi="Times New Roman"/>
          <w:sz w:val="21"/>
          <w:szCs w:val="21"/>
          <w:color w:val="auto"/>
        </w:rPr>
        <w:t xml:space="preserve"> above of Persons other than the Borrower or any Restricted Subsidiary, and (g) all Indebtedness of the types referred to in </w:t>
      </w:r>
      <w:r>
        <w:rPr>
          <w:rFonts w:ascii="Times New Roman" w:cs="Times New Roman" w:eastAsia="Times New Roman" w:hAnsi="Times New Roman"/>
          <w:sz w:val="21"/>
          <w:szCs w:val="21"/>
          <w:u w:val="single" w:color="auto"/>
          <w:color w:val="auto"/>
        </w:rPr>
        <w:t>clauses (a)</w:t>
      </w:r>
      <w:r>
        <w:rPr>
          <w:rFonts w:ascii="Times New Roman" w:cs="Times New Roman" w:eastAsia="Times New Roman" w:hAnsi="Times New Roman"/>
          <w:sz w:val="21"/>
          <w:szCs w:val="21"/>
          <w:color w:val="auto"/>
        </w:rPr>
        <w:t xml:space="preserve"> through </w:t>
      </w:r>
      <w:r>
        <w:rPr>
          <w:rFonts w:ascii="Times New Roman" w:cs="Times New Roman" w:eastAsia="Times New Roman" w:hAnsi="Times New Roman"/>
          <w:sz w:val="21"/>
          <w:szCs w:val="21"/>
          <w:u w:val="single" w:color="auto"/>
          <w:color w:val="auto"/>
        </w:rPr>
        <w:t>(f)</w:t>
      </w:r>
      <w:r>
        <w:rPr>
          <w:rFonts w:ascii="Times New Roman" w:cs="Times New Roman" w:eastAsia="Times New Roman" w:hAnsi="Times New Roman"/>
          <w:sz w:val="21"/>
          <w:szCs w:val="21"/>
          <w:color w:val="auto"/>
        </w:rPr>
        <w:t xml:space="preserve"> above of any partnership or joint venture (other than a joint venture that is itself a corporation or limited liability company) in which the Borrower or a Restricted Subsidiary is a general partner or joint venturer, unless such Indebtedness is expressly made non-recourse to the Borrower or such Restricted Subsidiary.</w:t>
      </w:r>
    </w:p>
    <w:p>
      <w:pPr>
        <w:spacing w:after="0" w:line="176"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Consolidated Interest Charges</w:t>
      </w:r>
      <w:r>
        <w:rPr>
          <w:rFonts w:ascii="Times New Roman" w:cs="Times New Roman" w:eastAsia="Times New Roman" w:hAnsi="Times New Roman"/>
          <w:sz w:val="21"/>
          <w:szCs w:val="21"/>
          <w:color w:val="auto"/>
        </w:rPr>
        <w:t xml:space="preserve">” means, for any Measurement Period, consolidated interest expense (net of interest income) for such period whether paid or accrued (but without duplication if accrued and paid in the same period and, for purposes of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of the definition of Consolidated EBITDA, not including any such amount paid if previously accrued and added back in the prior period) and whether or not capitalized (including, without limitation, and without duplication, amortization of original issue discount, non-cash interest payments, the interest component of any deferred payment obligations, the interest component of all payments associated with Capital Leases, imputed interest with respect to Attributable Indebtedness, commissions, discounts and other fees and charges incurred in respect of letters of credit or bankers’ acceptances, discounts, yield and other fees and charges (including any interest expense) related to any Qualified Receivables Transaction owing or paid to non-Affiliated third parties, dividend and distribution payments made in cash on any Disqualified Equity Interests, and net payments, if any, pursuant to interest rate Swap Contracts, but excluding amortization of debt issuance costs), in each case, of or by the Borrower and its Restricted Subsidiaries on a consolidated basis for the most recently completed Measurement Period.</w:t>
      </w:r>
    </w:p>
    <w:p>
      <w:pPr>
        <w:spacing w:after="0" w:line="174" w:lineRule="exact"/>
        <w:rPr>
          <w:sz w:val="20"/>
          <w:szCs w:val="20"/>
          <w:color w:val="auto"/>
        </w:rPr>
      </w:pPr>
    </w:p>
    <w:p>
      <w:pPr>
        <w:jc w:val="both"/>
        <w:ind w:firstLine="636"/>
        <w:spacing w:after="0" w:line="28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Consolidated Interest Coverage Ratio</w:t>
      </w:r>
      <w:r>
        <w:rPr>
          <w:rFonts w:ascii="Times New Roman" w:cs="Times New Roman" w:eastAsia="Times New Roman" w:hAnsi="Times New Roman"/>
          <w:sz w:val="21"/>
          <w:szCs w:val="21"/>
          <w:color w:val="auto"/>
        </w:rPr>
        <w:t>” means, as of any date of determination, the ratio of (a) Consolidated EBITDA for the most recently completed Measurement Period to (b) Consolidated Interest Charges for such Measurement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24</w:t>
      </w:r>
    </w:p>
    <w:p>
      <w:pPr>
        <w:sectPr>
          <w:pgSz w:w="11900" w:h="16838" w:orient="portrait"/>
          <w:cols w:equalWidth="0" w:num="1">
            <w:col w:w="11240"/>
          </w:cols>
          <w:pgMar w:left="320" w:top="1397" w:right="339" w:bottom="1440" w:gutter="0" w:footer="0" w:header="0"/>
        </w:sectPr>
      </w:pPr>
    </w:p>
    <w:bookmarkStart w:id="130" w:name="page131"/>
    <w:bookmarkEnd w:id="130"/>
    <w:p>
      <w:pPr>
        <w:jc w:val="both"/>
        <w:ind w:firstLine="636"/>
        <w:spacing w:after="0" w:line="25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Consolidated Net Income</w:t>
      </w:r>
      <w:r>
        <w:rPr>
          <w:rFonts w:ascii="Times New Roman" w:cs="Times New Roman" w:eastAsia="Times New Roman" w:hAnsi="Times New Roman"/>
          <w:sz w:val="21"/>
          <w:szCs w:val="21"/>
          <w:color w:val="auto"/>
        </w:rPr>
        <w:t xml:space="preserve">” means, at any date of determination, the net income (or loss) of the Borrower and its Restricted Subsidiaries on a consolidated basis for the most recently completed Measurement Period taken as a single accounting period determined in conformity with GAAP;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Consolidated Net Income shall exclude, without duplication, (a) extraordinary gains and extraordinary non-cash losses for such Measurement Period, (b) the net income of any Restricted Subsidiary that is not a Loan Party (other than a Receivables Subsidiary) during such Measurement Period to the extent that the declaration or payment of dividends or similar distributions by such Restricted Subsidiary of such income is not permitted by operation of the terms of its Organization Documents or any agreement, instrument or Law applicable to such Restricted Subsidiary during such Measurement Period, except that the Borrower’s equity in any net loss of any such Restricted Subsidiary for such Measurement Period shall be included in determining Consolidated Net Income, (c) any income (or loss) for such Measurement Period of any Person if such Person is not a Restricted Subsidiary or is a Receivables Subsidiary, except that (x) the Borrower’s equity in the net income of any such Person for such Measurement Period shall be included in Consolidated Net Income up to the aggregate amount of cash actually distributed by such Person during such Measurement Period to the Borrower or a Restricted Subsidiary as a dividend or other distribution (and in the case of a dividend or other distribution to a Restricted Subsidiary, such Restricted Subsidiary is not precluded from further distributing such amount to the Borrower as described in </w:t>
      </w:r>
      <w:r>
        <w:rPr>
          <w:rFonts w:ascii="Times New Roman" w:cs="Times New Roman" w:eastAsia="Times New Roman" w:hAnsi="Times New Roman"/>
          <w:sz w:val="21"/>
          <w:szCs w:val="21"/>
          <w:u w:val="single" w:color="auto"/>
          <w:color w:val="auto"/>
        </w:rPr>
        <w:t>clause (b)</w:t>
      </w:r>
      <w:r>
        <w:rPr>
          <w:rFonts w:ascii="Times New Roman" w:cs="Times New Roman" w:eastAsia="Times New Roman" w:hAnsi="Times New Roman"/>
          <w:sz w:val="21"/>
          <w:szCs w:val="21"/>
          <w:color w:val="auto"/>
        </w:rPr>
        <w:t xml:space="preserve"> of this proviso) and (y) any such loss for such Measurement Period shall be included to the extent funded with cash contributed by the Borrower or a Restricted Subsidiary,</w:t>
      </w:r>
    </w:p>
    <w:p>
      <w:pPr>
        <w:spacing w:after="0" w:line="10" w:lineRule="exact"/>
        <w:rPr>
          <w:sz w:val="20"/>
          <w:szCs w:val="20"/>
          <w:color w:val="auto"/>
        </w:rPr>
      </w:pPr>
    </w:p>
    <w:p>
      <w:pPr>
        <w:jc w:val="both"/>
        <w:ind w:firstLine="6"/>
        <w:spacing w:after="0" w:line="253" w:lineRule="auto"/>
        <w:tabs>
          <w:tab w:leader="none" w:pos="311"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cancellation of debt income arising from a repurchase of Term Loans by the Borrower pursuant to </w:t>
      </w:r>
      <w:r>
        <w:rPr>
          <w:rFonts w:ascii="Times New Roman" w:cs="Times New Roman" w:eastAsia="Times New Roman" w:hAnsi="Times New Roman"/>
          <w:sz w:val="21"/>
          <w:szCs w:val="21"/>
          <w:u w:val="single" w:color="auto"/>
          <w:color w:val="auto"/>
        </w:rPr>
        <w:t>Section 10.06(b)(vii)</w:t>
      </w:r>
      <w:r>
        <w:rPr>
          <w:rFonts w:ascii="Times New Roman" w:cs="Times New Roman" w:eastAsia="Times New Roman" w:hAnsi="Times New Roman"/>
          <w:sz w:val="21"/>
          <w:szCs w:val="21"/>
          <w:color w:val="auto"/>
        </w:rPr>
        <w:t xml:space="preserve"> or any other early extinguishment of Indebtedness, hedging agreements or other similar instruments, (e) any (i) write-off or amortization made in such period of deferred financing costs and premiums paid or other expenses incurred directly in connection with any early extinguishment of Indebtedness, or (ii) </w:t>
      </w:r>
      <w:r>
        <w:rPr>
          <w:rFonts w:ascii="Times New Roman" w:cs="Times New Roman" w:eastAsia="Times New Roman" w:hAnsi="Times New Roman"/>
          <w:sz w:val="21"/>
          <w:szCs w:val="21"/>
          <w:b w:val="1"/>
          <w:bCs w:val="1"/>
          <w:color w:val="FF0000"/>
          <w:strike w:val="1"/>
        </w:rPr>
        <w:t>good will</w:t>
      </w:r>
      <w:r>
        <w:rPr>
          <w:rFonts w:ascii="Times New Roman" w:cs="Times New Roman" w:eastAsia="Times New Roman" w:hAnsi="Times New Roman"/>
          <w:sz w:val="21"/>
          <w:szCs w:val="21"/>
          <w:b w:val="1"/>
          <w:bCs w:val="1"/>
          <w:u w:val="single" w:color="auto"/>
          <w:color w:val="0000FF"/>
        </w:rPr>
        <w:t>goodwill</w:t>
      </w:r>
      <w:r>
        <w:rPr>
          <w:rFonts w:ascii="Times New Roman" w:cs="Times New Roman" w:eastAsia="Times New Roman" w:hAnsi="Times New Roman"/>
          <w:sz w:val="21"/>
          <w:szCs w:val="21"/>
          <w:color w:val="auto"/>
        </w:rPr>
        <w:t xml:space="preserve"> or other asset impairment charges, write-offs or write-downs, and (f) the effects of purchase accounting adjustments (including the effects of such adjustments pushed down to the Borrower and its Restricted Subsidiaries) in component amounts required or permitted by GAAP resulting from the application of purchase accounting in relation to any consummated acquisition or the amortization or write-off of any amounts thereof, net of taxes.</w:t>
      </w:r>
    </w:p>
    <w:p>
      <w:pPr>
        <w:spacing w:after="0" w:line="200" w:lineRule="exact"/>
        <w:rPr>
          <w:sz w:val="20"/>
          <w:szCs w:val="20"/>
          <w:color w:val="auto"/>
        </w:rPr>
      </w:pPr>
    </w:p>
    <w:p>
      <w:pPr>
        <w:spacing w:after="0" w:line="229" w:lineRule="exact"/>
        <w:rPr>
          <w:sz w:val="20"/>
          <w:szCs w:val="20"/>
          <w:color w:val="auto"/>
        </w:rPr>
      </w:pPr>
    </w:p>
    <w:p>
      <w:pPr>
        <w:jc w:val="both"/>
        <w:ind w:firstLine="636"/>
        <w:spacing w:after="0" w:line="26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Consolidated Senior Secured Debt</w:t>
      </w:r>
      <w:r>
        <w:rPr>
          <w:rFonts w:ascii="Times New Roman" w:cs="Times New Roman" w:eastAsia="Times New Roman" w:hAnsi="Times New Roman"/>
          <w:sz w:val="21"/>
          <w:szCs w:val="21"/>
          <w:color w:val="auto"/>
        </w:rPr>
        <w:t>” means, as of any date of determination, without duplication, the aggregate principal amount of Consolidated Funded Indebtedness outstanding on such date that is secured by a Lien on any asset or property of the Borrower or any Restricted Subsidiary (including, for the avoidance of doubt, purchase money Indebtedness and Attributable Indebtedness in respect of Capital Leases).</w:t>
      </w:r>
    </w:p>
    <w:p>
      <w:pPr>
        <w:spacing w:after="0" w:line="158" w:lineRule="exact"/>
        <w:rPr>
          <w:sz w:val="20"/>
          <w:szCs w:val="20"/>
          <w:color w:val="auto"/>
        </w:rPr>
      </w:pPr>
    </w:p>
    <w:p>
      <w:pPr>
        <w:jc w:val="both"/>
        <w:ind w:firstLine="636"/>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Consolidated Total Assets</w:t>
      </w:r>
      <w:r>
        <w:rPr>
          <w:rFonts w:ascii="Times New Roman" w:cs="Times New Roman" w:eastAsia="Times New Roman" w:hAnsi="Times New Roman"/>
          <w:sz w:val="21"/>
          <w:szCs w:val="21"/>
          <w:color w:val="auto"/>
        </w:rPr>
        <w:t xml:space="preserve">” means, on any date of determination, the total assets of the Borrower and its Restricted Subsidiaries, determined in accordance with GAAP as shown on the most recent consolidated balance sheet of the Borrower delivered pursuant to </w:t>
      </w:r>
      <w:r>
        <w:rPr>
          <w:rFonts w:ascii="Times New Roman" w:cs="Times New Roman" w:eastAsia="Times New Roman" w:hAnsi="Times New Roman"/>
          <w:sz w:val="21"/>
          <w:szCs w:val="21"/>
          <w:u w:val="single" w:color="auto"/>
          <w:color w:val="auto"/>
        </w:rPr>
        <w:t>Section 6.01(a)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on or prior to such date or, for the period prior to the time any such statements are so delivered pursuant to </w:t>
      </w:r>
      <w:r>
        <w:rPr>
          <w:rFonts w:ascii="Times New Roman" w:cs="Times New Roman" w:eastAsia="Times New Roman" w:hAnsi="Times New Roman"/>
          <w:sz w:val="21"/>
          <w:szCs w:val="21"/>
          <w:u w:val="single" w:color="auto"/>
          <w:color w:val="auto"/>
        </w:rPr>
        <w:t>Section 6.01(a)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the financial statements for Old BRBR for the fiscal quarter ended December 31, 2021, in each case after giving pro forma effect to acquisitions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25</w:t>
      </w:r>
    </w:p>
    <w:p>
      <w:pPr>
        <w:sectPr>
          <w:pgSz w:w="11900" w:h="16838" w:orient="portrait"/>
          <w:cols w:equalWidth="0" w:num="1">
            <w:col w:w="11240"/>
          </w:cols>
          <w:pgMar w:left="320" w:top="1393" w:right="339" w:bottom="1440" w:gutter="0" w:footer="0" w:header="0"/>
        </w:sectPr>
      </w:pPr>
    </w:p>
    <w:bookmarkStart w:id="131" w:name="page132"/>
    <w:bookmarkEnd w:id="131"/>
    <w:p>
      <w:pPr>
        <w:jc w:val="both"/>
        <w:spacing w:after="0" w:line="285" w:lineRule="auto"/>
        <w:rPr>
          <w:sz w:val="20"/>
          <w:szCs w:val="20"/>
          <w:color w:val="auto"/>
        </w:rPr>
      </w:pPr>
      <w:r>
        <w:rPr>
          <w:rFonts w:ascii="Times New Roman" w:cs="Times New Roman" w:eastAsia="Times New Roman" w:hAnsi="Times New Roman"/>
          <w:sz w:val="21"/>
          <w:szCs w:val="21"/>
          <w:color w:val="auto"/>
        </w:rPr>
        <w:t>dispositions of Persons, divisions or lines of business that had occurred on or after such balance sheet date and on or prior to such date of determination.</w:t>
      </w:r>
    </w:p>
    <w:p>
      <w:pPr>
        <w:spacing w:after="0" w:line="138" w:lineRule="exact"/>
        <w:rPr>
          <w:sz w:val="20"/>
          <w:szCs w:val="20"/>
          <w:color w:val="auto"/>
        </w:rPr>
      </w:pPr>
    </w:p>
    <w:p>
      <w:pPr>
        <w:jc w:val="both"/>
        <w:ind w:firstLine="636"/>
        <w:spacing w:after="0" w:line="30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Consolidated Working Capital</w:t>
      </w:r>
      <w:r>
        <w:rPr>
          <w:rFonts w:ascii="Times New Roman" w:cs="Times New Roman" w:eastAsia="Times New Roman" w:hAnsi="Times New Roman"/>
          <w:sz w:val="21"/>
          <w:szCs w:val="21"/>
          <w:color w:val="auto"/>
        </w:rPr>
        <w:t>” means, as at any date of determination, Consolidated Current Assets of the Borrower and its Restricted Subsidiaries less Consolidated Current Liabilities of the Borrower and its Restricted Subsidiaries.</w:t>
      </w:r>
    </w:p>
    <w:p>
      <w:pPr>
        <w:spacing w:after="0" w:line="121"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Consolidated Working Capital Adjustment</w:t>
      </w:r>
      <w:r>
        <w:rPr>
          <w:rFonts w:ascii="Times New Roman" w:cs="Times New Roman" w:eastAsia="Times New Roman" w:hAnsi="Times New Roman"/>
          <w:sz w:val="21"/>
          <w:szCs w:val="21"/>
          <w:color w:val="auto"/>
        </w:rPr>
        <w:t xml:space="preserve">” means, for any period on a consolidated basis, the amount (which may be a negative number) by which Consolidated Working Capital as of the beginning of such period exceeds (or is less than) Consolidated Working Capital as of the end of such period. In calculating the Consolidated Working Capital Adjustment there shall be excluded the effect of reclassification during such period of current assets to long term assets and current liabilities to long term liabilities and the effect of any Permitted Acquisition during such period;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there shall be included with respect to any Permitted Acquisition during such period an amount (which may be a negative number) by which the Consolidated Working Capital of the Person acquired in such Permitted Acquisition as at the time of such acquisition exceeds (or is less than) the Consolidated Working Capital of the Person acquired at the end of such period (in each case, substituting the Person acquired for the Borrower and its Restricted Subsidiaries in the calculation of such acquired Consolidated Working Capital).</w:t>
      </w:r>
    </w:p>
    <w:p>
      <w:pPr>
        <w:spacing w:after="0" w:line="173" w:lineRule="exact"/>
        <w:rPr>
          <w:sz w:val="20"/>
          <w:szCs w:val="20"/>
          <w:color w:val="auto"/>
        </w:rPr>
      </w:pPr>
    </w:p>
    <w:p>
      <w:pPr>
        <w:jc w:val="both"/>
        <w:ind w:firstLine="636"/>
        <w:spacing w:after="0" w:line="30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Contractual Obligation</w:t>
      </w:r>
      <w:r>
        <w:rPr>
          <w:rFonts w:ascii="Times New Roman" w:cs="Times New Roman" w:eastAsia="Times New Roman" w:hAnsi="Times New Roman"/>
          <w:sz w:val="21"/>
          <w:szCs w:val="21"/>
          <w:color w:val="auto"/>
        </w:rPr>
        <w:t>” means, as to any Person, any provision of any security issued by such Person or of any agreement, instrument or other undertaking to which such Person is a party or by which it or any of its property is bound.</w:t>
      </w:r>
    </w:p>
    <w:p>
      <w:pPr>
        <w:spacing w:after="0" w:line="121"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Control</w:t>
      </w:r>
      <w:r>
        <w:rPr>
          <w:rFonts w:ascii="Times New Roman" w:cs="Times New Roman" w:eastAsia="Times New Roman" w:hAnsi="Times New Roman"/>
          <w:sz w:val="21"/>
          <w:szCs w:val="21"/>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21"/>
          <w:szCs w:val="21"/>
          <w:b w:val="1"/>
          <w:bCs w:val="1"/>
          <w:color w:val="auto"/>
        </w:rPr>
        <w:t>Controlling</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b w:val="1"/>
          <w:bCs w:val="1"/>
          <w:color w:val="auto"/>
        </w:rPr>
        <w:t>Controlled</w:t>
      </w:r>
      <w:r>
        <w:rPr>
          <w:rFonts w:ascii="Times New Roman" w:cs="Times New Roman" w:eastAsia="Times New Roman" w:hAnsi="Times New Roman"/>
          <w:sz w:val="21"/>
          <w:szCs w:val="21"/>
          <w:color w:val="auto"/>
        </w:rPr>
        <w:t>” have meanings correlative thereto.</w:t>
      </w:r>
    </w:p>
    <w:p>
      <w:pPr>
        <w:spacing w:after="0" w:line="155" w:lineRule="exact"/>
        <w:rPr>
          <w:sz w:val="20"/>
          <w:szCs w:val="20"/>
          <w:color w:val="auto"/>
        </w:rPr>
      </w:pPr>
    </w:p>
    <w:p>
      <w:pPr>
        <w:jc w:val="both"/>
        <w:ind w:firstLine="636"/>
        <w:spacing w:after="0" w:line="27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Conversion/Continuation Notice</w:t>
      </w:r>
      <w:r>
        <w:rPr>
          <w:rFonts w:ascii="Times New Roman" w:cs="Times New Roman" w:eastAsia="Times New Roman" w:hAnsi="Times New Roman"/>
          <w:sz w:val="21"/>
          <w:szCs w:val="21"/>
          <w:color w:val="auto"/>
        </w:rPr>
        <w:t xml:space="preserve">” means a notice of (a) a conversion of Loans of a particular Class from one Type to the other or (b) a continuation of Term SOFR Loans or Eurodollar Rate Loans pursuant to </w:t>
      </w:r>
      <w:r>
        <w:rPr>
          <w:rFonts w:ascii="Times New Roman" w:cs="Times New Roman" w:eastAsia="Times New Roman" w:hAnsi="Times New Roman"/>
          <w:sz w:val="21"/>
          <w:szCs w:val="21"/>
          <w:u w:val="single" w:color="auto"/>
          <w:color w:val="auto"/>
        </w:rPr>
        <w:t>Section 2.02(a)</w:t>
      </w:r>
      <w:r>
        <w:rPr>
          <w:rFonts w:ascii="Times New Roman" w:cs="Times New Roman" w:eastAsia="Times New Roman" w:hAnsi="Times New Roman"/>
          <w:sz w:val="21"/>
          <w:szCs w:val="21"/>
          <w:color w:val="auto"/>
        </w:rPr>
        <w:t xml:space="preserve">, which shall be substantially in the form of </w:t>
      </w:r>
      <w:r>
        <w:rPr>
          <w:rFonts w:ascii="Times New Roman" w:cs="Times New Roman" w:eastAsia="Times New Roman" w:hAnsi="Times New Roman"/>
          <w:sz w:val="21"/>
          <w:szCs w:val="21"/>
          <w:u w:val="single" w:color="auto"/>
          <w:color w:val="auto"/>
        </w:rPr>
        <w:t>Exhibit A-2</w:t>
      </w:r>
      <w:r>
        <w:rPr>
          <w:rFonts w:ascii="Times New Roman" w:cs="Times New Roman" w:eastAsia="Times New Roman" w:hAnsi="Times New Roman"/>
          <w:sz w:val="21"/>
          <w:szCs w:val="21"/>
          <w:color w:val="auto"/>
        </w:rPr>
        <w:t xml:space="preserve"> or any other form approved by the Administrative Agent.</w:t>
      </w:r>
    </w:p>
    <w:p>
      <w:pPr>
        <w:spacing w:after="0" w:line="147" w:lineRule="exact"/>
        <w:rPr>
          <w:sz w:val="20"/>
          <w:szCs w:val="20"/>
          <w:color w:val="auto"/>
        </w:rPr>
      </w:pPr>
    </w:p>
    <w:p>
      <w:pPr>
        <w:jc w:val="both"/>
        <w:ind w:firstLine="636"/>
        <w:spacing w:after="0" w:line="28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Corresponding Tenor</w:t>
      </w:r>
      <w:r>
        <w:rPr>
          <w:rFonts w:ascii="Times New Roman" w:cs="Times New Roman" w:eastAsia="Times New Roman" w:hAnsi="Times New Roman"/>
          <w:sz w:val="21"/>
          <w:szCs w:val="21"/>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Covenant Transaction</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1.09(d)</w:t>
      </w:r>
      <w:r>
        <w:rPr>
          <w:rFonts w:ascii="Times New Roman" w:cs="Times New Roman" w:eastAsia="Times New Roman" w:hAnsi="Times New Roman"/>
          <w:sz w:val="21"/>
          <w:szCs w:val="21"/>
          <w:color w:val="auto"/>
        </w:rPr>
        <w:t>.</w:t>
      </w:r>
    </w:p>
    <w:p>
      <w:pPr>
        <w:spacing w:after="0" w:line="236"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Credit Agreement Refinancing Indebtedness</w:t>
      </w:r>
      <w:r>
        <w:rPr>
          <w:rFonts w:ascii="Times New Roman" w:cs="Times New Roman" w:eastAsia="Times New Roman" w:hAnsi="Times New Roman"/>
          <w:sz w:val="21"/>
          <w:szCs w:val="21"/>
          <w:color w:val="auto"/>
        </w:rPr>
        <w:t>” means Indebtedness incurred solely by the Borrower in the form of one or more series or classes of Loans or Commitments under this Agreement, in each case, issued, incurred or otherwise obtained (including by means of the amendment, extension, refinancing, or renewal of existing Indebtedness) in exchange for, or to refinance, in whole or part, existing Term Loans (and/or Term Commitments) and Revolving Credit Loans (and/or Revolving Credit Commitments), or any then-existing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26</w:t>
      </w:r>
    </w:p>
    <w:p>
      <w:pPr>
        <w:sectPr>
          <w:pgSz w:w="11900" w:h="16838" w:orient="portrait"/>
          <w:cols w:equalWidth="0" w:num="1">
            <w:col w:w="11240"/>
          </w:cols>
          <w:pgMar w:left="320" w:top="1397" w:right="339" w:bottom="1440" w:gutter="0" w:footer="0" w:header="0"/>
        </w:sectPr>
      </w:pPr>
    </w:p>
    <w:bookmarkStart w:id="132" w:name="page133"/>
    <w:bookmarkEnd w:id="132"/>
    <w:p>
      <w:pPr>
        <w:jc w:val="both"/>
        <w:spacing w:after="0" w:line="264" w:lineRule="auto"/>
        <w:rPr>
          <w:sz w:val="20"/>
          <w:szCs w:val="20"/>
          <w:color w:val="auto"/>
        </w:rPr>
      </w:pPr>
      <w:r>
        <w:rPr>
          <w:rFonts w:ascii="Times New Roman" w:cs="Times New Roman" w:eastAsia="Times New Roman" w:hAnsi="Times New Roman"/>
          <w:sz w:val="21"/>
          <w:szCs w:val="21"/>
          <w:color w:val="auto"/>
        </w:rPr>
        <w:t>Refinancing Indebtedness (“</w:t>
      </w:r>
      <w:r>
        <w:rPr>
          <w:rFonts w:ascii="Times New Roman" w:cs="Times New Roman" w:eastAsia="Times New Roman" w:hAnsi="Times New Roman"/>
          <w:sz w:val="21"/>
          <w:szCs w:val="21"/>
          <w:b w:val="1"/>
          <w:bCs w:val="1"/>
          <w:color w:val="auto"/>
        </w:rPr>
        <w:t>Refinanced Debt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 such Indebtedness is secured by the Collateral on a pari passu basis with the Liens securing the other Obligations hereunder and is not secured by any property or assets other than the Collateral,</w:t>
      </w:r>
    </w:p>
    <w:p>
      <w:pPr>
        <w:jc w:val="both"/>
        <w:ind w:firstLine="6"/>
        <w:spacing w:after="0" w:line="253" w:lineRule="auto"/>
        <w:tabs>
          <w:tab w:leader="none" w:pos="346"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Indebtedness is not guaranteed by any Person other than the Guarantors, (iii) such Indebtedness is incurred solely to refinance, in whole or part, Refinanced Debt, and the proceeds thereof shall be substantially contemporaneously applied to prepay such Refinanced Debt, interest and any premium (if any) thereon, and fees and expenses incurred in connection with such Indebtedness, and any Term Commitments and/or Revolving Credit Commitments so refinanced shall be concurrently terminated,</w:t>
      </w:r>
    </w:p>
    <w:p>
      <w:pPr>
        <w:spacing w:after="0" w:line="2" w:lineRule="exact"/>
        <w:rPr>
          <w:rFonts w:ascii="Times New Roman" w:cs="Times New Roman" w:eastAsia="Times New Roman" w:hAnsi="Times New Roman"/>
          <w:sz w:val="21"/>
          <w:szCs w:val="21"/>
          <w:color w:val="auto"/>
        </w:rPr>
      </w:pPr>
    </w:p>
    <w:p>
      <w:pPr>
        <w:jc w:val="both"/>
        <w:ind w:firstLine="6"/>
        <w:spacing w:after="0" w:line="253" w:lineRule="auto"/>
        <w:tabs>
          <w:tab w:leader="none" w:pos="377"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such Indebtedness (including, if such Indebtedness includes any Revolving Credit Commitments, the unused amount of such Revolving Credit Commitments) is in an original aggregate principal amount not greater than the aggregate principal amount of the Refinanced Debt (and, in the case of Refinanced Debt consisting, in whole or in part, of unused Revolving Credit Commitments, the applicable amount thereof),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accrued and unpaid interest, any premium, and fees and expenses reasonably incurred in connection therewith, (v) such Indebtedness has a maturity no earlier, and a Weighted Average Life to Maturity no shorter, than the Refinanced Debt, (vi) the terms and conditions of such Indebtedness (except as otherwise provided above and with respect to pricing, premiums, fees, rate floors and optional prepayment or redemption terms) are substantially identical to the terms and conditions applicable to the Refinanced Debt, unless (x) such terms apply only after the Latest Maturity Date at the time such Indebtedness is established or (y) this Agreement is amended so that such terms are also applicable for the benefit of the Lenders under any then-existing Facilities and (vii) such Refinanced Debt shall be repaid, all accrued interest, fees, premiums (if any) and penalties in connection therewith shall be paid, and all commitments in respect thereof shall be terminated, on the date such Indebtedness is incurred.</w:t>
      </w:r>
    </w:p>
    <w:p>
      <w:pPr>
        <w:spacing w:after="0" w:line="200" w:lineRule="exact"/>
        <w:rPr>
          <w:sz w:val="20"/>
          <w:szCs w:val="20"/>
          <w:color w:val="auto"/>
        </w:rPr>
      </w:pPr>
    </w:p>
    <w:p>
      <w:pPr>
        <w:spacing w:after="0" w:line="2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Credit Extension</w:t>
      </w:r>
      <w:r>
        <w:rPr>
          <w:rFonts w:ascii="Times New Roman" w:cs="Times New Roman" w:eastAsia="Times New Roman" w:hAnsi="Times New Roman"/>
          <w:sz w:val="21"/>
          <w:szCs w:val="21"/>
          <w:color w:val="auto"/>
        </w:rPr>
        <w:t>” means each of the following: (a) a Borrowing and (b) an L/C Credit Extension.</w:t>
      </w:r>
    </w:p>
    <w:p>
      <w:pPr>
        <w:spacing w:after="0" w:line="236"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Daily Simple RFR</w:t>
      </w:r>
      <w:r>
        <w:rPr>
          <w:rFonts w:ascii="Times New Roman" w:cs="Times New Roman" w:eastAsia="Times New Roman" w:hAnsi="Times New Roman"/>
          <w:sz w:val="21"/>
          <w:szCs w:val="21"/>
          <w:color w:val="auto"/>
        </w:rPr>
        <w:t>” means, for any day (an “</w:t>
      </w:r>
      <w:r>
        <w:rPr>
          <w:rFonts w:ascii="Times New Roman" w:cs="Times New Roman" w:eastAsia="Times New Roman" w:hAnsi="Times New Roman"/>
          <w:sz w:val="21"/>
          <w:szCs w:val="21"/>
          <w:b w:val="1"/>
          <w:bCs w:val="1"/>
          <w:color w:val="auto"/>
        </w:rPr>
        <w:t>RFR Interest Day</w:t>
      </w:r>
      <w:r>
        <w:rPr>
          <w:rFonts w:ascii="Times New Roman" w:cs="Times New Roman" w:eastAsia="Times New Roman" w:hAnsi="Times New Roman"/>
          <w:sz w:val="21"/>
          <w:szCs w:val="21"/>
          <w:color w:val="auto"/>
        </w:rPr>
        <w:t>”), an interest rate per annum equal to, for any RFR Loan denominated in Sterling, SONIA for the day that is five (5) RFR Business Days prior to (A) if such RFR Interest Day is an RFR Business Day, such RFR Interest Day or (B) if such RFR Interest Day is not an RFR Business Day, the RFR Business Day immediately preceding such RFR Interest Day</w:t>
      </w:r>
      <w:r>
        <w:rPr>
          <w:rFonts w:ascii="Times New Roman" w:cs="Times New Roman" w:eastAsia="Times New Roman" w:hAnsi="Times New Roman"/>
          <w:sz w:val="21"/>
          <w:szCs w:val="21"/>
          <w:b w:val="1"/>
          <w:bCs w:val="1"/>
          <w:u w:val="single" w:color="auto"/>
          <w:color w:val="0000FF"/>
        </w:rPr>
        <w:t>; provided that if the Daily Simple RFR as so determined would be less than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0000FF"/>
        </w:rPr>
        <w:t>Floor, such rate shall be deemed to be equal to the Floor for purposes of this Agreement</w:t>
      </w:r>
      <w:r>
        <w:rPr>
          <w:rFonts w:ascii="Times New Roman" w:cs="Times New Roman" w:eastAsia="Times New Roman" w:hAnsi="Times New Roman"/>
          <w:sz w:val="21"/>
          <w:szCs w:val="21"/>
          <w:color w:val="000000"/>
        </w:rPr>
        <w:t>.</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Daily Simple SOFR</w:t>
      </w:r>
      <w:r>
        <w:rPr>
          <w:rFonts w:ascii="Times New Roman" w:cs="Times New Roman" w:eastAsia="Times New Roman" w:hAnsi="Times New Roman"/>
          <w:sz w:val="21"/>
          <w:szCs w:val="21"/>
          <w:color w:val="auto"/>
        </w:rPr>
        <w:t>” means, for any day (a “</w:t>
      </w:r>
      <w:r>
        <w:rPr>
          <w:rFonts w:ascii="Times New Roman" w:cs="Times New Roman" w:eastAsia="Times New Roman" w:hAnsi="Times New Roman"/>
          <w:sz w:val="21"/>
          <w:szCs w:val="21"/>
          <w:b w:val="1"/>
          <w:bCs w:val="1"/>
          <w:color w:val="auto"/>
        </w:rPr>
        <w:t>SOFR Rate Day</w:t>
      </w:r>
      <w:r>
        <w:rPr>
          <w:rFonts w:ascii="Times New Roman" w:cs="Times New Roman" w:eastAsia="Times New Roman" w:hAnsi="Times New Roman"/>
          <w:sz w:val="21"/>
          <w:szCs w:val="21"/>
          <w:color w:val="auto"/>
        </w:rPr>
        <w:t>”), a rate per annum equal to SOFR for the day that is five</w:t>
      </w:r>
    </w:p>
    <w:p>
      <w:pPr>
        <w:spacing w:after="0" w:line="38" w:lineRule="exact"/>
        <w:rPr>
          <w:sz w:val="20"/>
          <w:szCs w:val="20"/>
          <w:color w:val="auto"/>
        </w:rPr>
      </w:pPr>
    </w:p>
    <w:p>
      <w:pPr>
        <w:jc w:val="both"/>
        <w:ind w:firstLine="6"/>
        <w:spacing w:after="0" w:line="253" w:lineRule="auto"/>
        <w:tabs>
          <w:tab w:leader="none" w:pos="312"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w:t>
      </w:r>
      <w:r>
        <w:rPr>
          <w:rFonts w:ascii="Times New Roman" w:cs="Times New Roman" w:eastAsia="Times New Roman" w:hAnsi="Times New Roman"/>
          <w:sz w:val="21"/>
          <w:szCs w:val="21"/>
          <w:b w:val="1"/>
          <w:bCs w:val="1"/>
          <w:u w:val="single" w:color="auto"/>
          <w:color w:val="0000FF"/>
        </w:rPr>
        <w:t>; provided that if the Daily Simple RFR as so determined would be less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0000FF"/>
        </w:rPr>
        <w:t>than the Floor, such rate shall be deemed to be equal to the Floor for purposes of this Agreement</w:t>
      </w:r>
      <w:r>
        <w:rPr>
          <w:rFonts w:ascii="Times New Roman" w:cs="Times New Roman" w:eastAsia="Times New Roman" w:hAnsi="Times New Roman"/>
          <w:sz w:val="21"/>
          <w:szCs w:val="21"/>
          <w:color w:val="000000"/>
        </w:rPr>
        <w:t>. Any change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27</w:t>
      </w:r>
    </w:p>
    <w:p>
      <w:pPr>
        <w:sectPr>
          <w:pgSz w:w="11900" w:h="16838" w:orient="portrait"/>
          <w:cols w:equalWidth="0" w:num="1">
            <w:col w:w="11240"/>
          </w:cols>
          <w:pgMar w:left="320" w:top="1393" w:right="339" w:bottom="1440" w:gutter="0" w:footer="0" w:header="0"/>
        </w:sectPr>
      </w:pPr>
    </w:p>
    <w:bookmarkStart w:id="133" w:name="page134"/>
    <w:bookmarkEnd w:id="133"/>
    <w:p>
      <w:pPr>
        <w:jc w:val="both"/>
        <w:spacing w:after="0" w:line="285" w:lineRule="auto"/>
        <w:rPr>
          <w:sz w:val="20"/>
          <w:szCs w:val="20"/>
          <w:color w:val="auto"/>
        </w:rPr>
      </w:pPr>
      <w:r>
        <w:rPr>
          <w:rFonts w:ascii="Times New Roman" w:cs="Times New Roman" w:eastAsia="Times New Roman" w:hAnsi="Times New Roman"/>
          <w:sz w:val="21"/>
          <w:szCs w:val="21"/>
          <w:color w:val="auto"/>
        </w:rPr>
        <w:t>Daily Simple SOFR due to a change in SOFR shall be effective from and including the effective date of such change in SOFR without notice to the Borrower.</w:t>
      </w:r>
    </w:p>
    <w:p>
      <w:pPr>
        <w:spacing w:after="0" w:line="138" w:lineRule="exact"/>
        <w:rPr>
          <w:sz w:val="20"/>
          <w:szCs w:val="20"/>
          <w:color w:val="auto"/>
        </w:rPr>
      </w:pPr>
    </w:p>
    <w:p>
      <w:pPr>
        <w:jc w:val="both"/>
        <w:ind w:firstLine="636"/>
        <w:spacing w:after="0" w:line="26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Debtor Relief Laws</w:t>
      </w:r>
      <w:r>
        <w:rPr>
          <w:rFonts w:ascii="Times New Roman" w:cs="Times New Roman" w:eastAsia="Times New Roman" w:hAnsi="Times New Roman"/>
          <w:sz w:val="21"/>
          <w:szCs w:val="21"/>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Declined Proceeds</w:t>
      </w:r>
      <w:r>
        <w:rPr>
          <w:rFonts w:ascii="Times New Roman" w:cs="Times New Roman" w:eastAsia="Times New Roman" w:hAnsi="Times New Roman"/>
          <w:sz w:val="21"/>
          <w:szCs w:val="21"/>
          <w:color w:val="auto"/>
        </w:rPr>
        <w:t xml:space="preserve">” has the meaning assigned to such term in </w:t>
      </w:r>
      <w:r>
        <w:rPr>
          <w:rFonts w:ascii="Times New Roman" w:cs="Times New Roman" w:eastAsia="Times New Roman" w:hAnsi="Times New Roman"/>
          <w:sz w:val="21"/>
          <w:szCs w:val="21"/>
          <w:u w:val="single" w:color="auto"/>
          <w:color w:val="auto"/>
        </w:rPr>
        <w:t>Section 2.05(b)(vii)</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jc w:val="both"/>
        <w:ind w:firstLine="636"/>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Deemed Dividend Problem</w:t>
      </w:r>
      <w:r>
        <w:rPr>
          <w:rFonts w:ascii="Times New Roman" w:cs="Times New Roman" w:eastAsia="Times New Roman" w:hAnsi="Times New Roman"/>
          <w:sz w:val="21"/>
          <w:szCs w:val="21"/>
          <w:color w:val="auto"/>
        </w:rPr>
        <w:t>” means, with respect to any CFC, such CFC’s current and accumulated and undistributed earnings and profits (other than earnings and profits described in Sections 959(c)(1) and 959(c)(2) of the Code) being deemed to be repatriated to the Borrower or the applicable Domestic Subsidiary of the Borrower under Section 956 of the Code and the United States Treasury Regulations promulgated thereunder and the effect of such deemed repatriation causing adverse tax consequences to the Borrower or the applicable Domestic Subsidiary of the Borrower in each case as determined by the Borrower in its commercially reasonable judgment acting in good faith and in consultation with the Administrative Agent.</w:t>
      </w:r>
    </w:p>
    <w:p>
      <w:pPr>
        <w:spacing w:after="0" w:line="166" w:lineRule="exact"/>
        <w:rPr>
          <w:sz w:val="20"/>
          <w:szCs w:val="20"/>
          <w:color w:val="auto"/>
        </w:rPr>
      </w:pPr>
    </w:p>
    <w:p>
      <w:pPr>
        <w:jc w:val="both"/>
        <w:ind w:firstLine="636"/>
        <w:spacing w:after="0" w:line="30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Default</w:t>
      </w:r>
      <w:r>
        <w:rPr>
          <w:rFonts w:ascii="Times New Roman" w:cs="Times New Roman" w:eastAsia="Times New Roman" w:hAnsi="Times New Roman"/>
          <w:sz w:val="21"/>
          <w:szCs w:val="21"/>
          <w:color w:val="auto"/>
        </w:rPr>
        <w:t>” means any event or condition that constitutes an Event of Default or that, with the giving of any notice, the passage of time, or both, would be an Event of Default.</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Default Rate</w:t>
      </w:r>
      <w:r>
        <w:rPr>
          <w:rFonts w:ascii="Times New Roman" w:cs="Times New Roman" w:eastAsia="Times New Roman" w:hAnsi="Times New Roman"/>
          <w:sz w:val="21"/>
          <w:szCs w:val="21"/>
          <w:color w:val="auto"/>
        </w:rPr>
        <w:t>” means (a) when used with respect to Obligations other than Letter of Credit Fees, an interest rate equal to</w:t>
      </w:r>
    </w:p>
    <w:p>
      <w:pPr>
        <w:spacing w:after="0" w:line="38" w:lineRule="exact"/>
        <w:rPr>
          <w:sz w:val="20"/>
          <w:szCs w:val="20"/>
          <w:color w:val="auto"/>
        </w:rPr>
      </w:pPr>
    </w:p>
    <w:p>
      <w:pPr>
        <w:jc w:val="both"/>
        <w:ind w:firstLine="6"/>
        <w:spacing w:after="0" w:line="255" w:lineRule="auto"/>
        <w:tabs>
          <w:tab w:leader="none" w:pos="313"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 respect to principal, interest or other fees attributable to a Facility, (i) in the case of Loans denominated in an Alternative Currency, the interest rate (including any Applicable Rate) otherwise applicable to such Loan plus 2.0% and (ii) in the case of Loans denominated in U.S. Dollars, the Base Rate plus the Applicable Rate applicable to Base Rate Loans under such Facility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2% per annum and (y) with respect to all other Obligations, (i) the Base Rate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(ii) the Applicable Rate applicable to Base Rate Loans under the </w:t>
      </w:r>
      <w:r>
        <w:rPr>
          <w:rFonts w:ascii="Times New Roman" w:cs="Times New Roman" w:eastAsia="Times New Roman" w:hAnsi="Times New Roman"/>
          <w:sz w:val="21"/>
          <w:szCs w:val="21"/>
          <w:b w:val="1"/>
          <w:bCs w:val="1"/>
          <w:color w:val="FF0000"/>
          <w:strike w:val="1"/>
        </w:rPr>
        <w:t>Original</w:t>
      </w:r>
      <w:r>
        <w:rPr>
          <w:rFonts w:ascii="Times New Roman" w:cs="Times New Roman" w:eastAsia="Times New Roman" w:hAnsi="Times New Roman"/>
          <w:sz w:val="21"/>
          <w:szCs w:val="21"/>
          <w:b w:val="1"/>
          <w:bCs w:val="1"/>
          <w:u w:val="single" w:color="auto"/>
          <w:color w:val="0000FF"/>
        </w:rPr>
        <w:t>2025</w:t>
      </w:r>
      <w:r>
        <w:rPr>
          <w:rFonts w:ascii="Times New Roman" w:cs="Times New Roman" w:eastAsia="Times New Roman" w:hAnsi="Times New Roman"/>
          <w:sz w:val="21"/>
          <w:szCs w:val="21"/>
          <w:color w:val="auto"/>
        </w:rPr>
        <w:t xml:space="preserve"> Revolving Credit Facility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(iii) 2% per annum, in each case to the fullest extent permitted by applicable Laws, and (b) when used with respect to Letter of Credit Fees, a rate equal to the Applicable Rate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2% per annum.</w:t>
      </w:r>
    </w:p>
    <w:p>
      <w:pPr>
        <w:spacing w:after="0" w:line="168" w:lineRule="exact"/>
        <w:rPr>
          <w:sz w:val="20"/>
          <w:szCs w:val="20"/>
          <w:color w:val="auto"/>
        </w:rPr>
      </w:pPr>
    </w:p>
    <w:p>
      <w:pPr>
        <w:jc w:val="both"/>
        <w:ind w:firstLine="636"/>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Defaulting Lender</w:t>
      </w:r>
      <w:r>
        <w:rPr>
          <w:rFonts w:ascii="Times New Roman" w:cs="Times New Roman" w:eastAsia="Times New Roman" w:hAnsi="Times New Roman"/>
          <w:sz w:val="21"/>
          <w:szCs w:val="21"/>
          <w:color w:val="auto"/>
        </w:rPr>
        <w:t xml:space="preserve">” means, subject to </w:t>
      </w:r>
      <w:r>
        <w:rPr>
          <w:rFonts w:ascii="Times New Roman" w:cs="Times New Roman" w:eastAsia="Times New Roman" w:hAnsi="Times New Roman"/>
          <w:sz w:val="21"/>
          <w:szCs w:val="21"/>
          <w:u w:val="single" w:color="auto"/>
          <w:color w:val="auto"/>
        </w:rPr>
        <w:t>Section 2.16(b)</w:t>
      </w:r>
      <w:r>
        <w:rPr>
          <w:rFonts w:ascii="Times New Roman" w:cs="Times New Roman" w:eastAsia="Times New Roman" w:hAnsi="Times New Roman"/>
          <w:sz w:val="21"/>
          <w:szCs w:val="21"/>
          <w:color w:val="auto"/>
        </w:rPr>
        <w:t>, any Lender that, as determined by the Administrative Agent, (a) has failed to perform any of its funding obligations hereunder, including in respect of its Loans or participations in respect of Letters of Credit, within three Business Days of the date required to be funded by it hereunder, unless, with respect to funding obligations in respect of Loans, such Lender notifies the Administrative Agent and the Borrower in writing that such failure is the result of such Lender’s good faith determination that one or more conditions precedent to funding (each of which conditions precedent, together with any applicable default, shall be specifically identified in such writing) has not been satisfied, (b) has provided written notice to the Borrower and the Administrative Agent that it does not intend to comply with its funding obligations or has made a public statement to that effect with respect to its funding obligations hereunder (unless such written notice or public statement relates to such Lenders’ obligation to fund a Loan hereunder and states that such position is based on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28</w:t>
      </w:r>
    </w:p>
    <w:p>
      <w:pPr>
        <w:sectPr>
          <w:pgSz w:w="11900" w:h="16838" w:orient="portrait"/>
          <w:cols w:equalWidth="0" w:num="1">
            <w:col w:w="11240"/>
          </w:cols>
          <w:pgMar w:left="320" w:top="1397" w:right="339" w:bottom="1440" w:gutter="0" w:footer="0" w:header="0"/>
        </w:sectPr>
      </w:pPr>
    </w:p>
    <w:bookmarkStart w:id="134" w:name="page135"/>
    <w:bookmarkEnd w:id="134"/>
    <w:p>
      <w:pPr>
        <w:jc w:val="both"/>
        <w:spacing w:after="0" w:line="254" w:lineRule="auto"/>
        <w:rPr>
          <w:sz w:val="20"/>
          <w:szCs w:val="20"/>
          <w:color w:val="auto"/>
        </w:rPr>
      </w:pPr>
      <w:r>
        <w:rPr>
          <w:rFonts w:ascii="Times New Roman" w:cs="Times New Roman" w:eastAsia="Times New Roman" w:hAnsi="Times New Roman"/>
          <w:sz w:val="21"/>
          <w:szCs w:val="21"/>
          <w:color w:val="auto"/>
        </w:rPr>
        <w:t>Lender’s good faith determination that a condition precedent to funding (which condition precedent, together with any applicable default, shall be specifically identified in such writing or public statement) cannot be satisfied), (c) has failed, within three Business Days after request by the Administrative Agent made in good faith belief that such Lender may not honor its funding obligations, to confirm in a manner reasonably satisfactory to the Administrative Agent that it will comply with its funding obligations hereunder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Lender shall cease to be a Defaulting Lender pursuant to this </w:t>
      </w:r>
      <w:r>
        <w:rPr>
          <w:rFonts w:ascii="Times New Roman" w:cs="Times New Roman" w:eastAsia="Times New Roman" w:hAnsi="Times New Roman"/>
          <w:sz w:val="21"/>
          <w:szCs w:val="21"/>
          <w:u w:val="single" w:color="auto"/>
          <w:color w:val="auto"/>
        </w:rPr>
        <w:t>clause (c)</w:t>
      </w:r>
      <w:r>
        <w:rPr>
          <w:rFonts w:ascii="Times New Roman" w:cs="Times New Roman" w:eastAsia="Times New Roman" w:hAnsi="Times New Roman"/>
          <w:sz w:val="21"/>
          <w:szCs w:val="21"/>
          <w:color w:val="auto"/>
        </w:rPr>
        <w:t xml:space="preserve"> upon receipt of such written confirmation by the Administrative Agent) or (d) has, or has a direct or indirect parent company that has, (i) become the subject of a proceeding under any Debtor Relief Law, (ii) had a receiver, conservator, trustee, administrator, assignee for the benefit of creditors or similar Person charged with reorganization or liquidation of its business or a custodian appointed for it, (iii) taken any action in furtherance of, or indicated its consent to, approval of or acquiescence in any such proceeding or appointment or (iv) become the subject of a Bail-In Action;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judgements or writs of attachment on its assets or permits such Lender (or such Governmental Authority) to reject, repudiate, disavow or disaffirm any contracts or agreements made with such Lender.</w:t>
      </w:r>
    </w:p>
    <w:p>
      <w:pPr>
        <w:spacing w:after="0" w:line="194"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Designated Non-Cash Consideration</w:t>
      </w:r>
      <w:r>
        <w:rPr>
          <w:rFonts w:ascii="Times New Roman" w:cs="Times New Roman" w:eastAsia="Times New Roman" w:hAnsi="Times New Roman"/>
          <w:sz w:val="21"/>
          <w:szCs w:val="21"/>
          <w:color w:val="auto"/>
        </w:rPr>
        <w:t xml:space="preserve">” means the fair market value (as determined by the Borrower in good faith) of non-cash consideration received by the Borrower or a Restricted Subsidiary in connection with a Disposition pursuant to </w:t>
      </w:r>
      <w:r>
        <w:rPr>
          <w:rFonts w:ascii="Times New Roman" w:cs="Times New Roman" w:eastAsia="Times New Roman" w:hAnsi="Times New Roman"/>
          <w:sz w:val="21"/>
          <w:szCs w:val="21"/>
          <w:u w:val="single" w:color="auto"/>
          <w:color w:val="auto"/>
        </w:rPr>
        <w:t>Section 7.05(j)</w:t>
      </w:r>
      <w:r>
        <w:rPr>
          <w:rFonts w:ascii="Times New Roman" w:cs="Times New Roman" w:eastAsia="Times New Roman" w:hAnsi="Times New Roman"/>
          <w:sz w:val="21"/>
          <w:szCs w:val="21"/>
          <w:color w:val="auto"/>
        </w:rPr>
        <w:t xml:space="preserve"> that is designated as Designated Non-Cash Consideration pursuant to a certificate of a Responsible Officer of the Borrower setting forth the basis of such valuation (which amount will be reduced by the amount of cash or Cash Equivalents received in connection with a subsequent sale or conversion of such Designated Non-Cash Consideration to cash or Cash Equivalents).</w:t>
      </w:r>
    </w:p>
    <w:p>
      <w:pPr>
        <w:spacing w:after="0" w:line="181"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Disposition</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color w:val="auto"/>
        </w:rPr>
        <w:t>Dispose</w:t>
      </w:r>
      <w:r>
        <w:rPr>
          <w:rFonts w:ascii="Times New Roman" w:cs="Times New Roman" w:eastAsia="Times New Roman" w:hAnsi="Times New Roman"/>
          <w:sz w:val="21"/>
          <w:szCs w:val="21"/>
          <w:color w:val="auto"/>
        </w:rPr>
        <w:t>” means the sale, consignment, transfer, license, lease or other disposition (including any sale and leaseback transaction) of any property by any Person, including (x) any sale, assignment, transfer or other disposal, with or without recourse, of any notes or accounts receivable or any rights and claims associated therewith and (y) any issuance of Equity Interests by any Restricted Subsidiary of such Person. For the avoidance of doubt, any issuance of Equity Interests by the Borrower shall not be a Disposition.</w:t>
      </w:r>
    </w:p>
    <w:p>
      <w:pPr>
        <w:spacing w:after="0" w:line="181" w:lineRule="exact"/>
        <w:rPr>
          <w:sz w:val="20"/>
          <w:szCs w:val="20"/>
          <w:color w:val="auto"/>
        </w:rPr>
      </w:pPr>
    </w:p>
    <w:p>
      <w:pPr>
        <w:jc w:val="both"/>
        <w:ind w:firstLine="636"/>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Disqualified Equity Interests</w:t>
      </w:r>
      <w:r>
        <w:rPr>
          <w:rFonts w:ascii="Times New Roman" w:cs="Times New Roman" w:eastAsia="Times New Roman" w:hAnsi="Times New Roman"/>
          <w:sz w:val="21"/>
          <w:szCs w:val="21"/>
          <w:color w:val="auto"/>
        </w:rPr>
        <w:t>” means any Equity Interests that, by their terms (or by the terms of any security or other Equity Interest into which they are convertible or for which they are exchangeable) or upon the happening of any event or condition, (a) mature or are mandatorily redeemable (other than solely for Qualified Equity Interests), pursuant to a sinking fund obligation or otherwise (except as a result of a change of control or asset sale so long as any rights of the holders thereof upon the occurrence of a change of control or asset sale event shall be subject to the prior repayment in full of the Loans and all other Obligations that are accrued and payable and the termination of the Commitments), (b) are redeemable at the option of the holder thereof (other than solely for Qualified Equity Interests) (except as a result of a change of control or asset sale so long as any rights of the holders thereof upon the occurrence of a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29</w:t>
      </w:r>
    </w:p>
    <w:p>
      <w:pPr>
        <w:sectPr>
          <w:pgSz w:w="11900" w:h="16838" w:orient="portrait"/>
          <w:cols w:equalWidth="0" w:num="1">
            <w:col w:w="11240"/>
          </w:cols>
          <w:pgMar w:left="320" w:top="1397" w:right="339" w:bottom="1440" w:gutter="0" w:footer="0" w:header="0"/>
        </w:sectPr>
      </w:pPr>
    </w:p>
    <w:bookmarkStart w:id="135" w:name="page136"/>
    <w:bookmarkEnd w:id="135"/>
    <w:p>
      <w:pPr>
        <w:jc w:val="both"/>
        <w:spacing w:after="0" w:line="256" w:lineRule="auto"/>
        <w:rPr>
          <w:sz w:val="20"/>
          <w:szCs w:val="20"/>
          <w:color w:val="auto"/>
        </w:rPr>
      </w:pPr>
      <w:r>
        <w:rPr>
          <w:rFonts w:ascii="Times New Roman" w:cs="Times New Roman" w:eastAsia="Times New Roman" w:hAnsi="Times New Roman"/>
          <w:sz w:val="21"/>
          <w:szCs w:val="21"/>
          <w:color w:val="auto"/>
        </w:rPr>
        <w:t xml:space="preserve">of control or asset sale event shall be subject to the prior repayment in full of the Loans and all other Obligations that are accrued and payable and the termination of the Commitments), in whole or in part, (c) provide for the mandatory scheduled payment of distributions or dividends in cash or (d) are or become convertible into or exchangeable for Indebtedness or any other Equity Interests that would constitute Disqualified Equity Interests, in each case prior to the date that is 91 days after the Latest Maturity Date in effect at the time of issuance of such Equity Interests;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only the portion of Equity Interests which so mature or are mandatorily redeemable, are redeemable at the option of the holder thereof, provide for the mandatory scheduled prepayment of distributions or dividends, or which are or become convertible as described above prior to the date that is 91 days after the Latest Maturity Date shall be deemed to be Disqualified Equity Interests; and </w:t>
      </w:r>
      <w:r>
        <w:rPr>
          <w:rFonts w:ascii="Times New Roman" w:cs="Times New Roman" w:eastAsia="Times New Roman" w:hAnsi="Times New Roman"/>
          <w:sz w:val="21"/>
          <w:szCs w:val="21"/>
          <w:i w:val="1"/>
          <w:iCs w:val="1"/>
          <w:color w:val="auto"/>
        </w:rPr>
        <w:t>provided further, however,</w:t>
      </w:r>
      <w:r>
        <w:rPr>
          <w:rFonts w:ascii="Times New Roman" w:cs="Times New Roman" w:eastAsia="Times New Roman" w:hAnsi="Times New Roman"/>
          <w:sz w:val="21"/>
          <w:szCs w:val="21"/>
          <w:color w:val="auto"/>
        </w:rPr>
        <w:t xml:space="preserve"> that if such Equity Interests are issued pursuant to a plan for the benefit of the employees of the Borrower or its Restricted Subsidiaries, such Equity Interests shall not constitute Disqualified Equity Interests solely because they may be required to be repurchased by the Borrower or its Restricted Subsidiaries in order to satisfy applicable statutory or regulatory obligations.</w:t>
      </w:r>
    </w:p>
    <w:p>
      <w:pPr>
        <w:spacing w:after="0" w:line="170"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Disqualified Lender</w:t>
      </w:r>
      <w:r>
        <w:rPr>
          <w:rFonts w:ascii="Times New Roman" w:cs="Times New Roman" w:eastAsia="Times New Roman" w:hAnsi="Times New Roman"/>
          <w:sz w:val="21"/>
          <w:szCs w:val="21"/>
          <w:color w:val="auto"/>
        </w:rPr>
        <w:t xml:space="preserve">” means (a) any Person (or its Subsidiaries and Affiliates) who is an operating competitor of the Borrower or its Subsidiaries and that is separately identified by the Borrower to the Administrative Agent by name in writing prior to the Closing Date (which list of operating competitors may be supplemented by the Borrower after the Closing Date by means of a written notice to the Administrative Agent;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supplementation shall not apply retroactively to disqualify any Persons that have previously acquired an assignment or participation in the Loans or Commitments hereunder) or become effective until five (5) Business Days after such written notice is delivered to the Administrative Agent. and (b) with respect to each Person that is a “Disqualified Lender” pursuant to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above, any of its Affiliates (other than any Affiliate of a Person that is a “Disqualified Lender” pursuant to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above and is a bona fide debt fund or an investment vehicle that is primarily engaged in making, purchasing, holding or otherwise investing in commercial loans, bonds and similar extensions of credit in the ordinary course of its business (and for purposes hereof, a “vulture fund” or Person that purchases distressed debt in the ordinary course of its business shall be deemed not to be a bona fide debt fund or an investment vehicle that is primarily engaged in making, purchasing, holding or otherwise investing in commercial loans, bonds and similar extensions of credit in the ordinary course of its business)) that is either (i) identified to the Administrative Agent by name in writing by the Borrower from time to time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supplementation shall not apply retroactively to disqualify any Persons that have previously acquired an assignment or participation in the Loans hereunder) or (ii) clearly identifiable as an Affiliate of such Disqualified Lender solely on the basis of such Affiliate’s name.</w:t>
      </w:r>
    </w:p>
    <w:p>
      <w:pPr>
        <w:spacing w:after="0" w:line="175"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Disregarded Domestic Subsidiary</w:t>
      </w:r>
      <w:r>
        <w:rPr>
          <w:rFonts w:ascii="Times New Roman" w:cs="Times New Roman" w:eastAsia="Times New Roman" w:hAnsi="Times New Roman"/>
          <w:sz w:val="21"/>
          <w:szCs w:val="21"/>
          <w:color w:val="auto"/>
        </w:rPr>
        <w:t>” means any Domestic Subsidiary (a) substantially all of the assets of which consist of the Equity Interests of one or more CFCs or (b) that is treated as a disregarded entity for U.S. federal income tax purposes that holds, directly or indirectly, the Equity Interests of one or more CFCs.</w:t>
      </w:r>
    </w:p>
    <w:p>
      <w:pPr>
        <w:spacing w:after="0" w:line="169" w:lineRule="exact"/>
        <w:rPr>
          <w:sz w:val="20"/>
          <w:szCs w:val="20"/>
          <w:color w:val="auto"/>
        </w:rPr>
      </w:pPr>
    </w:p>
    <w:p>
      <w:pPr>
        <w:jc w:val="both"/>
        <w:ind w:firstLine="636"/>
        <w:spacing w:after="0" w:line="28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Domestic Subsidiary</w:t>
      </w:r>
      <w:r>
        <w:rPr>
          <w:rFonts w:ascii="Times New Roman" w:cs="Times New Roman" w:eastAsia="Times New Roman" w:hAnsi="Times New Roman"/>
          <w:sz w:val="21"/>
          <w:szCs w:val="21"/>
          <w:color w:val="auto"/>
        </w:rPr>
        <w:t>” means any Restricted Subsidiary organized in the United States or any political subdivision thereof but excluding any direct or indirect Subsidiary of a CFC.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30</w:t>
      </w:r>
    </w:p>
    <w:p>
      <w:pPr>
        <w:sectPr>
          <w:pgSz w:w="11900" w:h="16838" w:orient="portrait"/>
          <w:cols w:equalWidth="0" w:num="1">
            <w:col w:w="11240"/>
          </w:cols>
          <w:pgMar w:left="320" w:top="1397" w:right="339" w:bottom="1440" w:gutter="0" w:footer="0" w:header="0"/>
        </w:sectPr>
      </w:pPr>
    </w:p>
    <w:bookmarkStart w:id="136" w:name="page137"/>
    <w:bookmarkEnd w:id="136"/>
    <w:p>
      <w:pPr>
        <w:jc w:val="both"/>
        <w:ind w:firstLine="636"/>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EEA Financial Institution</w:t>
      </w:r>
      <w:r>
        <w:rPr>
          <w:rFonts w:ascii="Times New Roman" w:cs="Times New Roman" w:eastAsia="Times New Roman" w:hAnsi="Times New Roman"/>
          <w:sz w:val="21"/>
          <w:szCs w:val="21"/>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of this definition, or (c) any financial institution established in an EEA Member Country which is a subsidiary of an institution described in </w:t>
      </w:r>
      <w:r>
        <w:rPr>
          <w:rFonts w:ascii="Times New Roman" w:cs="Times New Roman" w:eastAsia="Times New Roman" w:hAnsi="Times New Roman"/>
          <w:sz w:val="21"/>
          <w:szCs w:val="21"/>
          <w:u w:val="single" w:color="auto"/>
          <w:color w:val="auto"/>
        </w:rPr>
        <w:t>clauses (a)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of this definition and is subject to consolidated supervision with its parent.</w:t>
      </w:r>
    </w:p>
    <w:p>
      <w:pPr>
        <w:spacing w:after="0" w:line="16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EEA Member Country</w:t>
      </w:r>
      <w:r>
        <w:rPr>
          <w:rFonts w:ascii="Times New Roman" w:cs="Times New Roman" w:eastAsia="Times New Roman" w:hAnsi="Times New Roman"/>
          <w:sz w:val="21"/>
          <w:szCs w:val="21"/>
          <w:color w:val="auto"/>
        </w:rPr>
        <w:t>” means any of the member states of the European Union, Iceland, Liechtenstein, and Norway.</w:t>
      </w:r>
    </w:p>
    <w:p>
      <w:pPr>
        <w:spacing w:after="0" w:line="222" w:lineRule="exact"/>
        <w:rPr>
          <w:sz w:val="20"/>
          <w:szCs w:val="20"/>
          <w:color w:val="auto"/>
        </w:rPr>
      </w:pPr>
    </w:p>
    <w:p>
      <w:pPr>
        <w:jc w:val="both"/>
        <w:ind w:firstLine="636"/>
        <w:spacing w:after="0" w:line="27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EEA Resolution Authority</w:t>
      </w:r>
      <w:r>
        <w:rPr>
          <w:rFonts w:ascii="Times New Roman" w:cs="Times New Roman" w:eastAsia="Times New Roman" w:hAnsi="Times New Roman"/>
          <w:sz w:val="21"/>
          <w:szCs w:val="21"/>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47"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Effective Yield</w:t>
      </w:r>
      <w:r>
        <w:rPr>
          <w:rFonts w:ascii="Times New Roman" w:cs="Times New Roman" w:eastAsia="Times New Roman" w:hAnsi="Times New Roman"/>
          <w:sz w:val="21"/>
          <w:szCs w:val="21"/>
          <w:color w:val="auto"/>
        </w:rPr>
        <w:t>” means, as to any Loans of any Class, the effective yield on such Loans, taking into account the applicable interest rate margins, any interest rate floors or similar devices and all fees, including upfront or similar fees or original issue discount (amortized over the shorter of (x) the original stated life of such Loans and (y) the four years following the date of incurrence thereof) payable generally to Lenders making such Loans, but excluding arrangement fees, structuring fees, administrative or agency fees, commitment fees, underwriting fees or other fees payable to any lead arranger (or its affiliates) (regardless of whether paid in whole or in part to any or all Lenders) in connection with the commitment or syndication of such Indebtedness.</w:t>
      </w:r>
    </w:p>
    <w:p>
      <w:pPr>
        <w:spacing w:after="0" w:line="200" w:lineRule="exact"/>
        <w:rPr>
          <w:sz w:val="20"/>
          <w:szCs w:val="20"/>
          <w:color w:val="auto"/>
        </w:rPr>
      </w:pPr>
    </w:p>
    <w:p>
      <w:pPr>
        <w:spacing w:after="0" w:line="224" w:lineRule="exact"/>
        <w:rPr>
          <w:sz w:val="20"/>
          <w:szCs w:val="20"/>
          <w:color w:val="auto"/>
        </w:rPr>
      </w:pPr>
    </w:p>
    <w:p>
      <w:pPr>
        <w:jc w:val="both"/>
        <w:ind w:firstLine="636"/>
        <w:spacing w:after="0" w:line="28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Eligible Assignee</w:t>
      </w:r>
      <w:r>
        <w:rPr>
          <w:rFonts w:ascii="Times New Roman" w:cs="Times New Roman" w:eastAsia="Times New Roman" w:hAnsi="Times New Roman"/>
          <w:sz w:val="21"/>
          <w:szCs w:val="21"/>
          <w:color w:val="auto"/>
        </w:rPr>
        <w:t xml:space="preserve">” means any Person that meets the requirements to be an assignee under </w:t>
      </w:r>
      <w:r>
        <w:rPr>
          <w:rFonts w:ascii="Times New Roman" w:cs="Times New Roman" w:eastAsia="Times New Roman" w:hAnsi="Times New Roman"/>
          <w:sz w:val="21"/>
          <w:szCs w:val="21"/>
          <w:u w:val="single" w:color="auto"/>
          <w:color w:val="auto"/>
        </w:rPr>
        <w:t>Sections 10.06(b)(v)</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(vi)</w:t>
      </w:r>
      <w:r>
        <w:rPr>
          <w:rFonts w:ascii="Times New Roman" w:cs="Times New Roman" w:eastAsia="Times New Roman" w:hAnsi="Times New Roman"/>
          <w:sz w:val="21"/>
          <w:szCs w:val="21"/>
          <w:color w:val="auto"/>
        </w:rPr>
        <w:t xml:space="preserve"> (subject to such consents, if any, as may be required under </w:t>
      </w:r>
      <w:r>
        <w:rPr>
          <w:rFonts w:ascii="Times New Roman" w:cs="Times New Roman" w:eastAsia="Times New Roman" w:hAnsi="Times New Roman"/>
          <w:sz w:val="21"/>
          <w:szCs w:val="21"/>
          <w:u w:val="single" w:color="auto"/>
          <w:color w:val="auto"/>
        </w:rPr>
        <w:t>Section 10.06(b)(iii)</w:t>
      </w:r>
      <w:r>
        <w:rPr>
          <w:rFonts w:ascii="Times New Roman" w:cs="Times New Roman" w:eastAsia="Times New Roman" w:hAnsi="Times New Roman"/>
          <w:sz w:val="21"/>
          <w:szCs w:val="21"/>
          <w:color w:val="auto"/>
        </w:rPr>
        <w:t>).</w:t>
      </w:r>
    </w:p>
    <w:p>
      <w:pPr>
        <w:spacing w:after="0" w:line="134" w:lineRule="exact"/>
        <w:rPr>
          <w:sz w:val="20"/>
          <w:szCs w:val="20"/>
          <w:color w:val="auto"/>
        </w:rPr>
      </w:pPr>
    </w:p>
    <w:p>
      <w:pPr>
        <w:jc w:val="both"/>
        <w:ind w:firstLine="636"/>
        <w:spacing w:after="0" w:line="276" w:lineRule="auto"/>
        <w:rPr>
          <w:sz w:val="20"/>
          <w:szCs w:val="20"/>
          <w:color w:val="auto"/>
        </w:rPr>
      </w:pPr>
      <w:r>
        <w:rPr>
          <w:rFonts w:ascii="Times New Roman" w:cs="Times New Roman" w:eastAsia="Times New Roman" w:hAnsi="Times New Roman"/>
          <w:sz w:val="21"/>
          <w:szCs w:val="21"/>
          <w:b w:val="1"/>
          <w:bCs w:val="1"/>
          <w:color w:val="auto"/>
        </w:rPr>
        <w:t xml:space="preserve">“Employee Matters Agreement” </w:t>
      </w:r>
      <w:r>
        <w:rPr>
          <w:rFonts w:ascii="Times New Roman" w:cs="Times New Roman" w:eastAsia="Times New Roman" w:hAnsi="Times New Roman"/>
          <w:sz w:val="21"/>
          <w:szCs w:val="21"/>
          <w:color w:val="auto"/>
        </w:rPr>
        <w:t>means that certain Amended and Restated Employee Matters Agreement by and among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Post, the Borrower, Old BRBR, and BellRing Brands, LLC, dated as of March 10, 2022, as amended, modified, supplemented, restated or replaced from time to time.</w:t>
      </w:r>
    </w:p>
    <w:p>
      <w:pPr>
        <w:spacing w:after="0" w:line="1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b w:val="1"/>
          <w:bCs w:val="1"/>
          <w:color w:val="FF0000"/>
          <w:strike w:val="1"/>
        </w:rPr>
        <w:t>“</w:t>
      </w:r>
      <w:r>
        <w:rPr>
          <w:rFonts w:ascii="Times New Roman" w:cs="Times New Roman" w:eastAsia="Times New Roman" w:hAnsi="Times New Roman"/>
          <w:sz w:val="21"/>
          <w:szCs w:val="21"/>
          <w:b w:val="1"/>
          <w:bCs w:val="1"/>
          <w:color w:val="00C000"/>
          <w:strike w:val="1"/>
        </w:rPr>
        <w:t>Engagement Letter</w:t>
      </w:r>
      <w:r>
        <w:rPr>
          <w:rFonts w:ascii="Times New Roman" w:cs="Times New Roman" w:eastAsia="Times New Roman" w:hAnsi="Times New Roman"/>
          <w:sz w:val="21"/>
          <w:szCs w:val="21"/>
          <w:color w:val="00C000"/>
          <w:strike w:val="1"/>
        </w:rPr>
        <w:t>” means the Engagement Letter, dated November 29, 2021, among the Borrower and</w:t>
      </w:r>
      <w:r>
        <w:rPr>
          <w:rFonts w:ascii="Times New Roman" w:cs="Times New Roman" w:eastAsia="Times New Roman" w:hAnsi="Times New Roman"/>
          <w:sz w:val="21"/>
          <w:szCs w:val="21"/>
          <w:b w:val="1"/>
          <w:bCs w:val="1"/>
          <w:color w:val="FF0000"/>
          <w:strike w:val="1"/>
        </w:rPr>
        <w:t xml:space="preserve"> certain</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FF0000"/>
          <w:strike w:val="1"/>
        </w:rPr>
        <w:t>Arrangers, as amended, modified, supplemented, restated or replaced from time to time.</w:t>
      </w:r>
    </w:p>
    <w:p>
      <w:pPr>
        <w:spacing w:after="0" w:line="194" w:lineRule="exact"/>
        <w:rPr>
          <w:sz w:val="20"/>
          <w:szCs w:val="20"/>
          <w:color w:val="auto"/>
        </w:rPr>
      </w:pPr>
    </w:p>
    <w:p>
      <w:pPr>
        <w:jc w:val="both"/>
        <w:ind w:firstLine="636"/>
        <w:spacing w:after="0" w:line="26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Environmental Claim</w:t>
      </w:r>
      <w:r>
        <w:rPr>
          <w:rFonts w:ascii="Times New Roman" w:cs="Times New Roman" w:eastAsia="Times New Roman" w:hAnsi="Times New Roman"/>
          <w:sz w:val="21"/>
          <w:szCs w:val="21"/>
          <w:color w:val="auto"/>
        </w:rPr>
        <w:t>” means any written notice, claim, demand, action, litigation, toxic tort, proceeding, demand, request for information, complaint, citation, summons, investigation, notice of non-compliance or violation, cause of action, consent order, consent decree, investigation, or other proceeding by any Governmental Authority or any other Person, arising out of, based on or pursuant to any Environmental Law or related in any way to any actual, alleged or threatened Environmental Liability.</w:t>
      </w:r>
    </w:p>
    <w:p>
      <w:pPr>
        <w:spacing w:after="0" w:line="158"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Environmental Laws</w:t>
      </w:r>
      <w:r>
        <w:rPr>
          <w:rFonts w:ascii="Times New Roman" w:cs="Times New Roman" w:eastAsia="Times New Roman" w:hAnsi="Times New Roman"/>
          <w:sz w:val="21"/>
          <w:szCs w:val="21"/>
          <w:color w:val="auto"/>
        </w:rPr>
        <w:t>” means any and all Federal, state, local, and foreign statutes, laws, regulations, ordinances, rules, judgments, orders, decrees, agreements or governmental restrictions relating to human health and safety, pollution, the protection of the environment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31</w:t>
      </w:r>
    </w:p>
    <w:p>
      <w:pPr>
        <w:sectPr>
          <w:pgSz w:w="11900" w:h="16838" w:orient="portrait"/>
          <w:cols w:equalWidth="0" w:num="1">
            <w:col w:w="11240"/>
          </w:cols>
          <w:pgMar w:left="320" w:top="1393" w:right="339" w:bottom="1440" w:gutter="0" w:footer="0" w:header="0"/>
        </w:sectPr>
      </w:pPr>
    </w:p>
    <w:bookmarkStart w:id="137" w:name="page138"/>
    <w:bookmarkEnd w:id="137"/>
    <w:p>
      <w:pPr>
        <w:jc w:val="both"/>
        <w:spacing w:after="0" w:line="285" w:lineRule="auto"/>
        <w:rPr>
          <w:sz w:val="20"/>
          <w:szCs w:val="20"/>
          <w:color w:val="auto"/>
        </w:rPr>
      </w:pPr>
      <w:r>
        <w:rPr>
          <w:rFonts w:ascii="Times New Roman" w:cs="Times New Roman" w:eastAsia="Times New Roman" w:hAnsi="Times New Roman"/>
          <w:sz w:val="21"/>
          <w:szCs w:val="21"/>
          <w:color w:val="auto"/>
        </w:rPr>
        <w:t>the release of any materials into the environment, including those related to hazardous materials, substances or wastes and air and water emissions and discharges.</w:t>
      </w:r>
    </w:p>
    <w:p>
      <w:pPr>
        <w:spacing w:after="0" w:line="138" w:lineRule="exact"/>
        <w:rPr>
          <w:sz w:val="20"/>
          <w:szCs w:val="20"/>
          <w:color w:val="auto"/>
        </w:rPr>
      </w:pPr>
    </w:p>
    <w:p>
      <w:pPr>
        <w:jc w:val="both"/>
        <w:ind w:firstLine="636"/>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Environmental Liability</w:t>
      </w:r>
      <w:r>
        <w:rPr>
          <w:rFonts w:ascii="Times New Roman" w:cs="Times New Roman" w:eastAsia="Times New Roman" w:hAnsi="Times New Roman"/>
          <w:sz w:val="21"/>
          <w:szCs w:val="21"/>
          <w:color w:val="auto"/>
        </w:rPr>
        <w:t>” means any liability, contingent or otherwise (including any liability for damages, costs of environmental remediation, fines, penalties or indemnities), obligation, responsibility or cost directly or indirectly resulting from or based upon (a) any violation of, or liability under, any Environmental Law, (b) the generation, use, handling, transportation, storage, distribution, treatment or disposal of any Hazardous Materials, (c) exposure to any Hazardous Materials, (d) the release or threatened release of any Hazardous Materials into the environment, (e) natural resource damage or (f) any contract, agreement or other consensual arrangement pursuant to which liability is assumed or imposed with respect to any of the foregoing.</w:t>
      </w:r>
    </w:p>
    <w:p>
      <w:pPr>
        <w:spacing w:after="0" w:line="179" w:lineRule="exact"/>
        <w:rPr>
          <w:sz w:val="20"/>
          <w:szCs w:val="20"/>
          <w:color w:val="auto"/>
        </w:rPr>
      </w:pPr>
    </w:p>
    <w:p>
      <w:pPr>
        <w:jc w:val="both"/>
        <w:ind w:firstLine="636"/>
        <w:spacing w:after="0" w:line="28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Environmental Permit</w:t>
      </w:r>
      <w:r>
        <w:rPr>
          <w:rFonts w:ascii="Times New Roman" w:cs="Times New Roman" w:eastAsia="Times New Roman" w:hAnsi="Times New Roman"/>
          <w:sz w:val="21"/>
          <w:szCs w:val="21"/>
          <w:color w:val="auto"/>
        </w:rPr>
        <w:t>” means any permit, approval, identification number, license or other authorization issued pursuant to or required under any Environmental Law.</w:t>
      </w:r>
    </w:p>
    <w:p>
      <w:pPr>
        <w:spacing w:after="0" w:line="134" w:lineRule="exact"/>
        <w:rPr>
          <w:sz w:val="20"/>
          <w:szCs w:val="20"/>
          <w:color w:val="auto"/>
        </w:rPr>
      </w:pPr>
    </w:p>
    <w:p>
      <w:pPr>
        <w:jc w:val="both"/>
        <w:ind w:firstLine="636"/>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Equity Interests</w:t>
      </w:r>
      <w:r>
        <w:rPr>
          <w:rFonts w:ascii="Times New Roman" w:cs="Times New Roman" w:eastAsia="Times New Roman" w:hAnsi="Times New Roman"/>
          <w:sz w:val="21"/>
          <w:szCs w:val="21"/>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70" w:lineRule="exact"/>
        <w:rPr>
          <w:sz w:val="20"/>
          <w:szCs w:val="20"/>
          <w:color w:val="auto"/>
        </w:rPr>
      </w:pPr>
    </w:p>
    <w:p>
      <w:pPr>
        <w:jc w:val="both"/>
        <w:ind w:firstLine="636"/>
        <w:spacing w:after="0" w:line="28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ERISA</w:t>
      </w:r>
      <w:r>
        <w:rPr>
          <w:rFonts w:ascii="Times New Roman" w:cs="Times New Roman" w:eastAsia="Times New Roman" w:hAnsi="Times New Roman"/>
          <w:sz w:val="21"/>
          <w:szCs w:val="21"/>
          <w:color w:val="auto"/>
        </w:rPr>
        <w:t>” means the Employee Retirement Income Security Act of 1974, as amended, and the rules and regulations promulgated thereunder.</w:t>
      </w:r>
    </w:p>
    <w:p>
      <w:pPr>
        <w:spacing w:after="0" w:line="147"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ERISA Affiliate</w:t>
      </w:r>
      <w:r>
        <w:rPr>
          <w:rFonts w:ascii="Times New Roman" w:cs="Times New Roman" w:eastAsia="Times New Roman" w:hAnsi="Times New Roman"/>
          <w:sz w:val="21"/>
          <w:szCs w:val="21"/>
          <w:color w:val="auto"/>
        </w:rPr>
        <w:t>” means any trade or business (whether or not incorporated) under common control with the Borrower within the meaning of Section 414(b) or (c) of the Code (or Sections 414(m) and (o) of the Code for purposes of provisions relating to Section 412 of the Code).</w:t>
      </w:r>
    </w:p>
    <w:p>
      <w:pPr>
        <w:spacing w:after="0" w:line="155" w:lineRule="exact"/>
        <w:rPr>
          <w:sz w:val="20"/>
          <w:szCs w:val="20"/>
          <w:color w:val="auto"/>
        </w:rPr>
      </w:pPr>
    </w:p>
    <w:p>
      <w:pPr>
        <w:jc w:val="both"/>
        <w:ind w:firstLine="636"/>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ERISA Event</w:t>
      </w:r>
      <w:r>
        <w:rPr>
          <w:rFonts w:ascii="Times New Roman" w:cs="Times New Roman" w:eastAsia="Times New Roman" w:hAnsi="Times New Roman"/>
          <w:sz w:val="21"/>
          <w:szCs w:val="21"/>
          <w:color w:val="auto"/>
        </w:rPr>
        <w:t>” means the occurrence of any of the following (a) a Reportable Event with respect to a Pension Plan; (b) the withdrawal of the Borrower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the Borrower or any ERISA Affiliate from a Multiemployer Plan or notification concerning the imposition upon the Borrower or any of its ERISA Affiliates of any liability with respect to such withdrawal, or a determination that a Multiemployer Plan is or is expected to be insolvent within the meaning of Title IV of ERISA; (d) the filing of a notice of intent to terminate, or the treatment of a Pension Plan amendment as a termination of, any Pension Plan, under Section 4041 or 4041A of ERISA; (e) the institution by the PBGC of proceedings to terminate a Pension Plan; (f) any event or condition which constitutes grounds under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32</w:t>
      </w:r>
    </w:p>
    <w:p>
      <w:pPr>
        <w:sectPr>
          <w:pgSz w:w="11900" w:h="16838" w:orient="portrait"/>
          <w:cols w:equalWidth="0" w:num="1">
            <w:col w:w="11240"/>
          </w:cols>
          <w:pgMar w:left="320" w:top="1397" w:right="339" w:bottom="1440" w:gutter="0" w:footer="0" w:header="0"/>
        </w:sectPr>
      </w:pPr>
    </w:p>
    <w:bookmarkStart w:id="138" w:name="page139"/>
    <w:bookmarkEnd w:id="138"/>
    <w:p>
      <w:pPr>
        <w:jc w:val="both"/>
        <w:spacing w:after="0" w:line="259" w:lineRule="auto"/>
        <w:rPr>
          <w:sz w:val="20"/>
          <w:szCs w:val="20"/>
          <w:color w:val="auto"/>
        </w:rPr>
      </w:pPr>
      <w:r>
        <w:rPr>
          <w:rFonts w:ascii="Times New Roman" w:cs="Times New Roman" w:eastAsia="Times New Roman" w:hAnsi="Times New Roman"/>
          <w:sz w:val="21"/>
          <w:szCs w:val="21"/>
          <w:color w:val="auto"/>
        </w:rPr>
        <w:t>4042 of ERISA for the termination of, or the appointment of a trustee to administer, any Pension Plan; (g) the determination that the adjusted funding target attainment percentage (as defined in Section 436(j)(2) of the Code) of any Pension Plan is both less than 80% and such Pension Plan is more than $20,000,000 underfunded on an adjusted funding target attainment percentage basis; (h) the imposition of any liability under Title IV of ERISA, other than for PBGC premiums due but not delinquent under Section 4007 of ERISA, upon the Borrower or any ERISA Affiliate; or (i) the failure to satisfy the Pension Funding Rules with respect to any Pension Plan, whether or not waived.</w:t>
      </w:r>
    </w:p>
    <w:p>
      <w:pPr>
        <w:spacing w:after="0" w:line="168"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Escrow Subsidiary</w:t>
      </w:r>
      <w:r>
        <w:rPr>
          <w:rFonts w:ascii="Times New Roman" w:cs="Times New Roman" w:eastAsia="Times New Roman" w:hAnsi="Times New Roman"/>
          <w:sz w:val="21"/>
          <w:szCs w:val="21"/>
          <w:color w:val="auto"/>
        </w:rPr>
        <w:t xml:space="preserve">” means a wholly-owned Subsidiary (i) created by the Borrower or any Subsidiary for the sole purpose of issuing debt securities the net proceeds of which must be deposited into a secured escrow account of such Subsidiary pending consummation of a Permitted Acquisition and which debt securities must be redeemed if such Permitted Acquisition is not consummated, (ii) engaged in no activities other than those incidental to the issuance of such debt securities, (iii) owning no assets other than amounts that have been deposited into such secured escrow account and (iv) which has been designated as an Escrow Subsidiary by the Borrower’s Board of Directors as evidenced by a filing with the Administrative Agent of (1) a board resolution of the Borrower giving effect to such designation and (2) an officers’ certificate certifying that such designation, and the transactions in which such Subsidiary will engage (including the terms of the debt securities issued by such Subsidiary), comply with the requirements of this definition;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at any time (x) such Subsidiary ceases to comply with the requirements of this definition or (y) the debt securities become guaranteed by (or secured by assets of) any Person other than such Subsidiary, such designated Subsidiary shall no longer constitute an Escrow Subsidiary under this Agreement.</w:t>
      </w:r>
    </w:p>
    <w:p>
      <w:pPr>
        <w:spacing w:after="0" w:line="174" w:lineRule="exact"/>
        <w:rPr>
          <w:sz w:val="20"/>
          <w:szCs w:val="20"/>
          <w:color w:val="auto"/>
        </w:rPr>
      </w:pPr>
    </w:p>
    <w:p>
      <w:pPr>
        <w:jc w:val="both"/>
        <w:ind w:firstLine="636"/>
        <w:spacing w:after="0" w:line="28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EU Bail-In Legislation Schedule</w:t>
      </w:r>
      <w:r>
        <w:rPr>
          <w:rFonts w:ascii="Times New Roman" w:cs="Times New Roman" w:eastAsia="Times New Roman" w:hAnsi="Times New Roman"/>
          <w:sz w:val="21"/>
          <w:szCs w:val="21"/>
          <w:color w:val="auto"/>
        </w:rPr>
        <w:t>” means the EU Bail-In Legislation Schedule published by the Loan Market Association (or any successor Person), as in effect from time to time.</w:t>
      </w:r>
    </w:p>
    <w:p>
      <w:pPr>
        <w:spacing w:after="0" w:line="147" w:lineRule="exact"/>
        <w:rPr>
          <w:sz w:val="20"/>
          <w:szCs w:val="20"/>
          <w:color w:val="auto"/>
        </w:rPr>
      </w:pPr>
    </w:p>
    <w:p>
      <w:pPr>
        <w:jc w:val="both"/>
        <w:ind w:firstLine="636"/>
        <w:spacing w:after="0" w:line="28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Euro</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means the single currency of any member state of the European Union that adopts or has adopted the Euro as its lawful currency in accordance with the legislation of the European Union relating to economic and monetary union.</w:t>
      </w:r>
    </w:p>
    <w:p>
      <w:pPr>
        <w:spacing w:after="0" w:line="134" w:lineRule="exact"/>
        <w:rPr>
          <w:sz w:val="20"/>
          <w:szCs w:val="20"/>
          <w:color w:val="auto"/>
        </w:rPr>
      </w:pPr>
    </w:p>
    <w:p>
      <w:pPr>
        <w:jc w:val="both"/>
        <w:ind w:firstLine="636"/>
        <w:spacing w:after="0" w:line="28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Eurodollar Rate</w:t>
      </w:r>
      <w:r>
        <w:rPr>
          <w:rFonts w:ascii="Times New Roman" w:cs="Times New Roman" w:eastAsia="Times New Roman" w:hAnsi="Times New Roman"/>
          <w:sz w:val="21"/>
          <w:szCs w:val="21"/>
          <w:color w:val="auto"/>
        </w:rPr>
        <w:t>” means, with respect to any Term Benchmark Borrowing denominated in Euros and for any Interest Period, the EURIBOR Screen Rate, two TARGET Days prior to the commencement of such Interest Period .</w:t>
      </w:r>
    </w:p>
    <w:p>
      <w:pPr>
        <w:spacing w:after="0" w:line="134" w:lineRule="exact"/>
        <w:rPr>
          <w:sz w:val="20"/>
          <w:szCs w:val="20"/>
          <w:color w:val="auto"/>
        </w:rPr>
      </w:pPr>
    </w:p>
    <w:p>
      <w:pPr>
        <w:jc w:val="both"/>
        <w:ind w:firstLine="636"/>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EURIBOR Screen Rate</w:t>
      </w:r>
      <w:r>
        <w:rPr>
          <w:rFonts w:ascii="Times New Roman" w:cs="Times New Roman" w:eastAsia="Times New Roman" w:hAnsi="Times New Roman"/>
          <w:sz w:val="21"/>
          <w:szCs w:val="21"/>
          <w:color w:val="auto"/>
        </w:rPr>
        <w:t>” means the euro interbank offered rate administered by the European Money Markets Institute (or any other person which takes over the administration of that rate) for the relevant period displayed (before any correction, recalculation or republication by the administrator) on page EURIBOR01 of the Thomson Reuters screen (or any replacement Thomson Reuters page which displays that rate) or on the appropriate page of such other information service which publishes that rate from time to time in place of Thomson Reuters as published at approximately 11:00 a.m. Brussels time two TARGET Days prior to the commencement of such Interest Period. If such page or service ceases to be available,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33</w:t>
      </w:r>
    </w:p>
    <w:p>
      <w:pPr>
        <w:sectPr>
          <w:pgSz w:w="11900" w:h="16838" w:orient="portrait"/>
          <w:cols w:equalWidth="0" w:num="1">
            <w:col w:w="11240"/>
          </w:cols>
          <w:pgMar w:left="320" w:top="1397"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21"/>
          <w:szCs w:val="21"/>
          <w:color w:val="auto"/>
        </w:rPr>
        <w:t>Administrative Agent may specify another page or service displaying the relevant rate after consultation with the Borrower.</w:t>
      </w:r>
    </w:p>
    <w:p>
      <w:pPr>
        <w:spacing w:after="0" w:line="218" w:lineRule="exact"/>
        <w:rPr>
          <w:sz w:val="20"/>
          <w:szCs w:val="20"/>
          <w:color w:val="auto"/>
        </w:rPr>
      </w:pPr>
    </w:p>
    <w:p>
      <w:pPr>
        <w:jc w:val="both"/>
        <w:ind w:right="20" w:firstLine="636"/>
        <w:spacing w:after="0" w:line="28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Eurodollar Rate Loan</w:t>
      </w:r>
      <w:r>
        <w:rPr>
          <w:rFonts w:ascii="Times New Roman" w:cs="Times New Roman" w:eastAsia="Times New Roman" w:hAnsi="Times New Roman"/>
          <w:sz w:val="21"/>
          <w:szCs w:val="21"/>
          <w:color w:val="auto"/>
        </w:rPr>
        <w:t>” means a Revolving Credit Loan or a Term Loan that bears interest at a rate based on the definition of “</w:t>
      </w:r>
      <w:r>
        <w:rPr>
          <w:rFonts w:ascii="Times New Roman" w:cs="Times New Roman" w:eastAsia="Times New Roman" w:hAnsi="Times New Roman"/>
          <w:sz w:val="21"/>
          <w:szCs w:val="21"/>
          <w:b w:val="1"/>
          <w:bCs w:val="1"/>
          <w:color w:val="auto"/>
        </w:rPr>
        <w:t>Eurodollar Rate</w:t>
      </w:r>
      <w:r>
        <w:rPr>
          <w:rFonts w:ascii="Times New Roman" w:cs="Times New Roman" w:eastAsia="Times New Roman" w:hAnsi="Times New Roman"/>
          <w:sz w:val="21"/>
          <w:szCs w:val="21"/>
          <w:color w:val="auto"/>
        </w:rPr>
        <w:t>.”</w:t>
      </w:r>
    </w:p>
    <w:p>
      <w:pPr>
        <w:spacing w:after="0" w:line="1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Event of Default</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8.01</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Exchange Act</w:t>
      </w:r>
      <w:r>
        <w:rPr>
          <w:rFonts w:ascii="Times New Roman" w:cs="Times New Roman" w:eastAsia="Times New Roman" w:hAnsi="Times New Roman"/>
          <w:sz w:val="21"/>
          <w:szCs w:val="21"/>
          <w:color w:val="auto"/>
        </w:rPr>
        <w:t>” means the Securities Exchange Act of 1934, as amended.</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Excluded Assets</w:t>
      </w:r>
      <w:r>
        <w:rPr>
          <w:rFonts w:ascii="Times New Roman" w:cs="Times New Roman" w:eastAsia="Times New Roman" w:hAnsi="Times New Roman"/>
          <w:sz w:val="21"/>
          <w:szCs w:val="21"/>
          <w:color w:val="auto"/>
        </w:rPr>
        <w:t>” has the meaning specified in the Collateral Agreement.</w:t>
      </w:r>
    </w:p>
    <w:p>
      <w:pPr>
        <w:spacing w:after="0" w:line="222" w:lineRule="exact"/>
        <w:rPr>
          <w:sz w:val="20"/>
          <w:szCs w:val="20"/>
          <w:color w:val="auto"/>
        </w:rPr>
      </w:pPr>
    </w:p>
    <w:p>
      <w:pPr>
        <w:jc w:val="both"/>
        <w:ind w:firstLine="636"/>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Excluded Subsidiary</w:t>
      </w:r>
      <w:r>
        <w:rPr>
          <w:rFonts w:ascii="Times New Roman" w:cs="Times New Roman" w:eastAsia="Times New Roman" w:hAnsi="Times New Roman"/>
          <w:sz w:val="21"/>
          <w:szCs w:val="21"/>
          <w:color w:val="auto"/>
        </w:rPr>
        <w:t xml:space="preserve">” means (a) any Affected Foreign Subsidiary, or any direct or indirect Subsidiary of any Affected Foreign Subsidiary, (b) any Receivables Subsidiary, (c) any Escrow Subsidiary, (d) any Unrestricted Subsidiary, (e) any Disregarded Domestic Subsidiary, (f) Active Nutrition International GmbH, or (g) any Restricted Subsidiary that is not a wholly owned Subsidiary and that constitutes a bona fide joint venture with a third party that is not an Affiliate of the Borrower, if, in the case of this </w:t>
      </w:r>
      <w:r>
        <w:rPr>
          <w:rFonts w:ascii="Times New Roman" w:cs="Times New Roman" w:eastAsia="Times New Roman" w:hAnsi="Times New Roman"/>
          <w:sz w:val="21"/>
          <w:szCs w:val="21"/>
          <w:u w:val="single" w:color="auto"/>
          <w:color w:val="auto"/>
        </w:rPr>
        <w:t>clause (g)</w:t>
      </w:r>
      <w:r>
        <w:rPr>
          <w:rFonts w:ascii="Times New Roman" w:cs="Times New Roman" w:eastAsia="Times New Roman" w:hAnsi="Times New Roman"/>
          <w:sz w:val="21"/>
          <w:szCs w:val="21"/>
          <w:color w:val="auto"/>
        </w:rPr>
        <w:t xml:space="preserve">, the granting of a security interest therein (i) would be prohibited by, cause a default under or result in a breach of, or would give another Person (other than the Borrower or any Restricted Subsidiary) a right to terminate, under any organizational document, shareholders, joint venture or similar agreement applicable to such Restricted Subsidiary that is not a wholly owned Subsidiary and that constitutes a bona fide joint venture with a third party that is not an Affiliate of the Borrower or (ii) would require obtaining the consent of any Person (other than the Borrower or any Restricted Subsidiary) unless such consent has been obtained;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Borrower and its Restricted Subsidiaries shall not be required to obtain any such consents.</w:t>
      </w:r>
    </w:p>
    <w:p>
      <w:pPr>
        <w:spacing w:after="0" w:line="170"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Excluded Taxes</w:t>
      </w:r>
      <w:r>
        <w:rPr>
          <w:rFonts w:ascii="Times New Roman" w:cs="Times New Roman" w:eastAsia="Times New Roman" w:hAnsi="Times New Roman"/>
          <w:sz w:val="21"/>
          <w:szCs w:val="21"/>
          <w:color w:val="auto"/>
        </w:rPr>
        <w:t xml:space="preserve">” means any of the following Taxes imposed on or with respect to a Recipient or required to be withheld or deducted from a payment to a Recipient, (a) Taxes imposed on or measured by overall net income (however denominated), franchise Taxes (in lieu of net income Taxes), and branch profits Taxes in each case, (i) imposed by the jurisdiction (or any political subdivision thereof) under the Laws of which such Recipient is organized or in which its principal office is located or, in the case of any Lender, in which its applicable Lending Office is located, or (ii) that are Other Connection Taxes, (b) any backup withholding tax that is required by the Code to be withheld from amounts payable to a Lender that has failed to comply with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of </w:t>
      </w:r>
      <w:r>
        <w:rPr>
          <w:rFonts w:ascii="Times New Roman" w:cs="Times New Roman" w:eastAsia="Times New Roman" w:hAnsi="Times New Roman"/>
          <w:sz w:val="21"/>
          <w:szCs w:val="21"/>
          <w:u w:val="single" w:color="auto"/>
          <w:color w:val="auto"/>
        </w:rPr>
        <w:t>Section 3.01(e)(ii)</w:t>
      </w:r>
      <w:r>
        <w:rPr>
          <w:rFonts w:ascii="Times New Roman" w:cs="Times New Roman" w:eastAsia="Times New Roman" w:hAnsi="Times New Roman"/>
          <w:sz w:val="21"/>
          <w:szCs w:val="21"/>
          <w:color w:val="auto"/>
        </w:rPr>
        <w:t xml:space="preserve">, (c) in the case of a Lender (other than an assignee pursuant to a request by the Borrower under </w:t>
      </w:r>
      <w:r>
        <w:rPr>
          <w:rFonts w:ascii="Times New Roman" w:cs="Times New Roman" w:eastAsia="Times New Roman" w:hAnsi="Times New Roman"/>
          <w:sz w:val="21"/>
          <w:szCs w:val="21"/>
          <w:u w:val="single" w:color="auto"/>
          <w:color w:val="auto"/>
        </w:rPr>
        <w:t>Section 10.13</w:t>
      </w:r>
      <w:r>
        <w:rPr>
          <w:rFonts w:ascii="Times New Roman" w:cs="Times New Roman" w:eastAsia="Times New Roman" w:hAnsi="Times New Roman"/>
          <w:sz w:val="21"/>
          <w:szCs w:val="21"/>
          <w:color w:val="auto"/>
        </w:rPr>
        <w:t xml:space="preserve">), any United States federal withholding Tax that (i) is required to be imposed on amounts payable to or for the account of such Lender pursuant to the Laws in force at the time such Lender acquires such interest in the Loan or Commitment (or designates a new Lending Office) or (ii) is attributable to such Lender’s failure or inability (other than as a result of a Change in Law) to comply with </w:t>
      </w:r>
      <w:r>
        <w:rPr>
          <w:rFonts w:ascii="Times New Roman" w:cs="Times New Roman" w:eastAsia="Times New Roman" w:hAnsi="Times New Roman"/>
          <w:sz w:val="21"/>
          <w:szCs w:val="21"/>
          <w:u w:val="single" w:color="auto"/>
          <w:color w:val="auto"/>
        </w:rPr>
        <w:t>clause (B)</w:t>
      </w:r>
      <w:r>
        <w:rPr>
          <w:rFonts w:ascii="Times New Roman" w:cs="Times New Roman" w:eastAsia="Times New Roman" w:hAnsi="Times New Roman"/>
          <w:sz w:val="21"/>
          <w:szCs w:val="21"/>
          <w:color w:val="auto"/>
        </w:rPr>
        <w:t xml:space="preserve"> of </w:t>
      </w:r>
      <w:r>
        <w:rPr>
          <w:rFonts w:ascii="Times New Roman" w:cs="Times New Roman" w:eastAsia="Times New Roman" w:hAnsi="Times New Roman"/>
          <w:sz w:val="21"/>
          <w:szCs w:val="21"/>
          <w:u w:val="single" w:color="auto"/>
          <w:color w:val="auto"/>
        </w:rPr>
        <w:t>Section 3.01(e)(ii)</w:t>
      </w:r>
      <w:r>
        <w:rPr>
          <w:rFonts w:ascii="Times New Roman" w:cs="Times New Roman" w:eastAsia="Times New Roman" w:hAnsi="Times New Roman"/>
          <w:sz w:val="21"/>
          <w:szCs w:val="21"/>
          <w:color w:val="auto"/>
        </w:rPr>
        <w:t>, except that in the case of a Lender that designates a new Lending Office or becomes a Party to this Agreement pursuant to an assignment, withholding Taxes shall not be Excluded Taxes to the extent that such Taxes were not Excluded Taxes with respect to such Lender or its assignor, as the case may be, immediately before such designation of a new Lending Office or assignment; and (d) any U.S. federal withholding Taxes imposed under FATCA.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34</w:t>
      </w:r>
    </w:p>
    <w:p>
      <w:pPr>
        <w:sectPr>
          <w:pgSz w:w="11900" w:h="16838" w:orient="portrait"/>
          <w:cols w:equalWidth="0" w:num="1">
            <w:col w:w="11240"/>
          </w:cols>
          <w:pgMar w:left="320" w:top="1397" w:right="339" w:bottom="1440" w:gutter="0" w:footer="0" w:header="0"/>
        </w:sectPr>
      </w:pPr>
    </w:p>
    <w:bookmarkStart w:id="140" w:name="page141"/>
    <w:bookmarkEnd w:id="140"/>
    <w:p>
      <w:pPr>
        <w:jc w:val="both"/>
        <w:ind w:firstLine="636"/>
        <w:spacing w:after="0" w:line="267" w:lineRule="auto"/>
        <w:rPr>
          <w:sz w:val="20"/>
          <w:szCs w:val="20"/>
          <w:color w:val="auto"/>
        </w:rPr>
      </w:pPr>
      <w:r>
        <w:rPr>
          <w:rFonts w:ascii="Times New Roman" w:cs="Times New Roman" w:eastAsia="Times New Roman" w:hAnsi="Times New Roman"/>
          <w:sz w:val="21"/>
          <w:szCs w:val="21"/>
          <w:b w:val="1"/>
          <w:bCs w:val="1"/>
          <w:color w:val="FF0000"/>
          <w:strike w:val="1"/>
        </w:rPr>
        <w:t>“Existing Credit Agreement” means that certain credit agreement dated October 21, 2019, by and among BellRing Brands, LLC, as the borrower, Credit Suisse AG, Cayman Islands Branch, as administrative agent and the lenders and issuing banks party thereto, (as amended, amended and restated, modified or supplemented from time to time prior to the date hereof)</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b w:val="1"/>
          <w:bCs w:val="1"/>
          <w:u w:val="single" w:color="auto"/>
          <w:color w:val="0000FF"/>
        </w:rPr>
        <w:t>“Existing Credit Agreement” has the meaning specified in the preamble hereto</w:t>
      </w:r>
      <w:r>
        <w:rPr>
          <w:rFonts w:ascii="Times New Roman" w:cs="Times New Roman" w:eastAsia="Times New Roman" w:hAnsi="Times New Roman"/>
          <w:sz w:val="21"/>
          <w:szCs w:val="21"/>
          <w:color w:val="000000"/>
        </w:rPr>
        <w:t>.</w:t>
      </w:r>
    </w:p>
    <w:p>
      <w:pPr>
        <w:spacing w:after="0" w:line="222" w:lineRule="exact"/>
        <w:rPr>
          <w:sz w:val="20"/>
          <w:szCs w:val="20"/>
          <w:color w:val="auto"/>
        </w:rPr>
      </w:pPr>
    </w:p>
    <w:p>
      <w:pPr>
        <w:jc w:val="both"/>
        <w:ind w:right="20" w:firstLine="636"/>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Facility</w:t>
      </w:r>
      <w:r>
        <w:rPr>
          <w:rFonts w:ascii="Times New Roman" w:cs="Times New Roman" w:eastAsia="Times New Roman" w:hAnsi="Times New Roman"/>
          <w:sz w:val="21"/>
          <w:szCs w:val="21"/>
          <w:color w:val="auto"/>
        </w:rPr>
        <w:t>” means the Revolving Credit Facility, an Incremental Facility or a Refinancing Facility, as the context may require.</w:t>
      </w:r>
    </w:p>
    <w:p>
      <w:pPr>
        <w:spacing w:after="0" w:line="200" w:lineRule="exact"/>
        <w:rPr>
          <w:sz w:val="20"/>
          <w:szCs w:val="20"/>
          <w:color w:val="auto"/>
        </w:rPr>
      </w:pPr>
    </w:p>
    <w:p>
      <w:pPr>
        <w:spacing w:after="0" w:line="2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FASB ASC</w:t>
      </w:r>
      <w:r>
        <w:rPr>
          <w:rFonts w:ascii="Times New Roman" w:cs="Times New Roman" w:eastAsia="Times New Roman" w:hAnsi="Times New Roman"/>
          <w:sz w:val="21"/>
          <w:szCs w:val="21"/>
          <w:color w:val="auto"/>
        </w:rPr>
        <w:t>” means the Accounting Standards Codification of the Financial Accounting Standards Board.</w:t>
      </w:r>
    </w:p>
    <w:p>
      <w:pPr>
        <w:spacing w:after="0" w:line="236"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FATCA</w:t>
      </w:r>
      <w:r>
        <w:rPr>
          <w:rFonts w:ascii="Times New Roman" w:cs="Times New Roman" w:eastAsia="Times New Roman" w:hAnsi="Times New Roman"/>
          <w:sz w:val="21"/>
          <w:szCs w:val="21"/>
          <w:color w:val="auto"/>
        </w:rPr>
        <w:t>” means Sections 1471 through 1474 of the Code, as of the date of this Agreement (or any amended or successor version that is substantively comparable and not materially more onerous to comply with) and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68" w:lineRule="exact"/>
        <w:rPr>
          <w:sz w:val="20"/>
          <w:szCs w:val="20"/>
          <w:color w:val="auto"/>
        </w:rPr>
      </w:pPr>
    </w:p>
    <w:p>
      <w:pPr>
        <w:jc w:val="both"/>
        <w:ind w:firstLine="636"/>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Federal Funds Effective Rate</w:t>
      </w:r>
      <w:r>
        <w:rPr>
          <w:rFonts w:ascii="Times New Roman" w:cs="Times New Roman" w:eastAsia="Times New Roman" w:hAnsi="Times New Roman"/>
          <w:sz w:val="21"/>
          <w:szCs w:val="21"/>
          <w:color w:val="auto"/>
        </w:rPr>
        <w:t xml:space="preserve">” means, for any day, the rate calculated by the NYFRB based on such day’s federal funds transactions by depositary institutions, as determined in such manner as shall be set forth on the NYFRB’s Website from time to time, and published on the next succeeding Business Day by the NYFRB as the effective federal funds rate;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the Federal Funds Effective Rate as so determined would be less than 0%, such rate shall be deemed to be 0% for the purposes of this Agreement.</w:t>
      </w:r>
    </w:p>
    <w:p>
      <w:pPr>
        <w:spacing w:after="0" w:line="16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Federal Reserve Board</w:t>
      </w:r>
      <w:r>
        <w:rPr>
          <w:rFonts w:ascii="Times New Roman" w:cs="Times New Roman" w:eastAsia="Times New Roman" w:hAnsi="Times New Roman"/>
          <w:sz w:val="21"/>
          <w:szCs w:val="21"/>
          <w:color w:val="auto"/>
        </w:rPr>
        <w:t>” means the Board of Governors of the Federal Reserve System of the United States of America.</w:t>
      </w:r>
    </w:p>
    <w:p>
      <w:pPr>
        <w:spacing w:after="0" w:line="236"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Fee Letter</w:t>
      </w:r>
      <w:r>
        <w:rPr>
          <w:rFonts w:ascii="Times New Roman" w:cs="Times New Roman" w:eastAsia="Times New Roman" w:hAnsi="Times New Roman"/>
          <w:sz w:val="21"/>
          <w:szCs w:val="21"/>
          <w:color w:val="auto"/>
        </w:rPr>
        <w:t>” means the agency fee letter, dated November 29, 2021, among the Borrower and JPMorgan Chase Bank, N.A.</w:t>
      </w:r>
      <w:r>
        <w:rPr>
          <w:rFonts w:ascii="Times New Roman" w:cs="Times New Roman" w:eastAsia="Times New Roman" w:hAnsi="Times New Roman"/>
          <w:sz w:val="21"/>
          <w:szCs w:val="21"/>
          <w:b w:val="1"/>
          <w:bCs w:val="1"/>
          <w:u w:val="single" w:color="auto"/>
          <w:color w:val="0000FF"/>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0000FF"/>
        </w:rPr>
        <w:t>as amended and restated as of the First Amendment Effective Date, and as further amended, restated, modified from time to time.</w:t>
      </w:r>
    </w:p>
    <w:p>
      <w:pPr>
        <w:spacing w:after="0" w:line="155" w:lineRule="exact"/>
        <w:rPr>
          <w:sz w:val="20"/>
          <w:szCs w:val="20"/>
          <w:color w:val="auto"/>
        </w:rPr>
      </w:pPr>
    </w:p>
    <w:p>
      <w:pPr>
        <w:jc w:val="both"/>
        <w:ind w:firstLine="636"/>
        <w:spacing w:after="0" w:line="276" w:lineRule="auto"/>
        <w:rPr>
          <w:sz w:val="20"/>
          <w:szCs w:val="20"/>
          <w:color w:val="auto"/>
        </w:rPr>
      </w:pPr>
      <w:r>
        <w:rPr>
          <w:rFonts w:ascii="Times New Roman" w:cs="Times New Roman" w:eastAsia="Times New Roman" w:hAnsi="Times New Roman"/>
          <w:sz w:val="21"/>
          <w:szCs w:val="21"/>
          <w:b w:val="1"/>
          <w:bCs w:val="1"/>
          <w:u w:val="single" w:color="auto"/>
          <w:color w:val="0000FF"/>
        </w:rPr>
        <w:t>“First Amendment” means the First Amendment to Credit Agreement, dated as of August 22, 2025, by and among the Borrower, the Guarantors party thereto, the Lenders party thereto and JPMorgan Chase Bank, N.A., as the Administrative Agent.</w:t>
      </w:r>
    </w:p>
    <w:p>
      <w:pPr>
        <w:spacing w:after="0" w:line="1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b w:val="1"/>
          <w:bCs w:val="1"/>
          <w:u w:val="single" w:color="auto"/>
          <w:color w:val="0000FF"/>
        </w:rPr>
        <w:t>“First Amendment Effective Date” means August 22, 2025.</w:t>
      </w:r>
    </w:p>
    <w:p>
      <w:pPr>
        <w:spacing w:after="0" w:line="222" w:lineRule="exact"/>
        <w:rPr>
          <w:sz w:val="20"/>
          <w:szCs w:val="20"/>
          <w:color w:val="auto"/>
        </w:rPr>
      </w:pPr>
    </w:p>
    <w:p>
      <w:pPr>
        <w:jc w:val="both"/>
        <w:ind w:firstLine="636"/>
        <w:spacing w:after="0" w:line="28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Fiscal Year</w:t>
      </w:r>
      <w:r>
        <w:rPr>
          <w:rFonts w:ascii="Times New Roman" w:cs="Times New Roman" w:eastAsia="Times New Roman" w:hAnsi="Times New Roman"/>
          <w:sz w:val="21"/>
          <w:szCs w:val="21"/>
          <w:color w:val="auto"/>
        </w:rPr>
        <w:t>” means the fiscal year of the Borrower and its Restricted Subsidiaries ending on September 30 of each calendar year.</w:t>
      </w:r>
    </w:p>
    <w:p>
      <w:pPr>
        <w:spacing w:after="0" w:line="134" w:lineRule="exact"/>
        <w:rPr>
          <w:sz w:val="20"/>
          <w:szCs w:val="20"/>
          <w:color w:val="auto"/>
        </w:rPr>
      </w:pPr>
    </w:p>
    <w:p>
      <w:pPr>
        <w:jc w:val="both"/>
        <w:ind w:firstLine="636"/>
        <w:spacing w:after="0" w:line="28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Floor</w:t>
      </w:r>
      <w:r>
        <w:rPr>
          <w:rFonts w:ascii="Times New Roman" w:cs="Times New Roman" w:eastAsia="Times New Roman" w:hAnsi="Times New Roman"/>
          <w:sz w:val="21"/>
          <w:szCs w:val="21"/>
          <w:color w:val="auto"/>
        </w:rPr>
        <w:t>” means the benchmark rate floor, if any, provided in this Agreement initially (as of the execution of this Agreement, the modification, amendment or renewal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35</w:t>
      </w:r>
    </w:p>
    <w:p>
      <w:pPr>
        <w:sectPr>
          <w:pgSz w:w="11900" w:h="16838" w:orient="portrait"/>
          <w:cols w:equalWidth="0" w:num="1">
            <w:col w:w="11240"/>
          </w:cols>
          <w:pgMar w:left="320" w:top="1393" w:right="339" w:bottom="1440" w:gutter="0" w:footer="0" w:header="0"/>
        </w:sectPr>
      </w:pPr>
    </w:p>
    <w:bookmarkStart w:id="141" w:name="page142"/>
    <w:bookmarkEnd w:id="141"/>
    <w:p>
      <w:pPr>
        <w:jc w:val="both"/>
        <w:spacing w:after="0" w:line="267" w:lineRule="auto"/>
        <w:rPr>
          <w:sz w:val="20"/>
          <w:szCs w:val="20"/>
          <w:color w:val="auto"/>
        </w:rPr>
      </w:pPr>
      <w:r>
        <w:rPr>
          <w:rFonts w:ascii="Times New Roman" w:cs="Times New Roman" w:eastAsia="Times New Roman" w:hAnsi="Times New Roman"/>
          <w:sz w:val="21"/>
          <w:szCs w:val="21"/>
          <w:color w:val="auto"/>
        </w:rPr>
        <w:t xml:space="preserve">or otherwise) with respect to </w:t>
      </w:r>
      <w:r>
        <w:rPr>
          <w:rFonts w:ascii="Times New Roman" w:cs="Times New Roman" w:eastAsia="Times New Roman" w:hAnsi="Times New Roman"/>
          <w:sz w:val="21"/>
          <w:szCs w:val="21"/>
          <w:b w:val="1"/>
          <w:bCs w:val="1"/>
          <w:color w:val="FF0000"/>
        </w:rPr>
        <w:t>the Adjusted</w:t>
      </w:r>
      <w:r>
        <w:rPr>
          <w:rFonts w:ascii="Times New Roman" w:cs="Times New Roman" w:eastAsia="Times New Roman" w:hAnsi="Times New Roman"/>
          <w:sz w:val="21"/>
          <w:szCs w:val="21"/>
          <w:color w:val="auto"/>
        </w:rPr>
        <w:t xml:space="preserve"> Term SOFR </w:t>
      </w:r>
      <w:r>
        <w:rPr>
          <w:rFonts w:ascii="Times New Roman" w:cs="Times New Roman" w:eastAsia="Times New Roman" w:hAnsi="Times New Roman"/>
          <w:sz w:val="21"/>
          <w:szCs w:val="21"/>
          <w:b w:val="1"/>
          <w:bCs w:val="1"/>
          <w:color w:val="FF0000"/>
        </w:rPr>
        <w:t>Rate</w:t>
      </w:r>
      <w:r>
        <w:rPr>
          <w:rFonts w:ascii="Times New Roman" w:cs="Times New Roman" w:eastAsia="Times New Roman" w:hAnsi="Times New Roman"/>
          <w:sz w:val="21"/>
          <w:szCs w:val="21"/>
          <w:color w:val="auto"/>
        </w:rPr>
        <w:t xml:space="preserve">, Adjusted Eurodollar Rate, </w:t>
      </w:r>
      <w:r>
        <w:rPr>
          <w:rFonts w:ascii="Times New Roman" w:cs="Times New Roman" w:eastAsia="Times New Roman" w:hAnsi="Times New Roman"/>
          <w:sz w:val="21"/>
          <w:szCs w:val="21"/>
          <w:b w:val="1"/>
          <w:bCs w:val="1"/>
          <w:color w:val="FF0000"/>
          <w:strike w:val="1"/>
        </w:rPr>
        <w:t>Adjusted</w:t>
      </w:r>
      <w:r>
        <w:rPr>
          <w:rFonts w:ascii="Times New Roman" w:cs="Times New Roman" w:eastAsia="Times New Roman" w:hAnsi="Times New Roman"/>
          <w:sz w:val="21"/>
          <w:szCs w:val="21"/>
          <w:color w:val="auto"/>
        </w:rPr>
        <w:t xml:space="preserve"> Daily Simple SOFR, </w:t>
      </w:r>
      <w:r>
        <w:rPr>
          <w:rFonts w:ascii="Times New Roman" w:cs="Times New Roman" w:eastAsia="Times New Roman" w:hAnsi="Times New Roman"/>
          <w:sz w:val="21"/>
          <w:szCs w:val="21"/>
          <w:b w:val="1"/>
          <w:bCs w:val="1"/>
          <w:color w:val="FF0000"/>
        </w:rPr>
        <w:t>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FF0000"/>
          <w:strike w:val="1"/>
        </w:rPr>
        <w:t>Adjusted Daily</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color w:val="000000"/>
        </w:rPr>
        <w:t>Simple RFR or the Central Bank Rate, as applicable. For the avoidance of doubt the initial Floor with respect to the</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b w:val="1"/>
          <w:bCs w:val="1"/>
          <w:color w:val="FF0000"/>
          <w:strike w:val="1"/>
        </w:rPr>
        <w:t>Original</w:t>
      </w:r>
      <w:r>
        <w:rPr>
          <w:rFonts w:ascii="Times New Roman" w:cs="Times New Roman" w:eastAsia="Times New Roman" w:hAnsi="Times New Roman"/>
          <w:sz w:val="21"/>
          <w:szCs w:val="21"/>
          <w:b w:val="1"/>
          <w:bCs w:val="1"/>
          <w:u w:val="single" w:color="auto"/>
          <w:color w:val="0000FF"/>
        </w:rPr>
        <w:t>2025</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color w:val="000000"/>
        </w:rPr>
        <w:t>Revolving</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b w:val="1"/>
          <w:bCs w:val="1"/>
          <w:u w:val="single" w:color="auto"/>
          <w:color w:val="0000FF"/>
        </w:rPr>
        <w:t>Credit</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color w:val="000000"/>
        </w:rPr>
        <w:t>Loans for each of</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b w:val="1"/>
          <w:bCs w:val="1"/>
          <w:color w:val="FF0000"/>
          <w:strike w:val="1"/>
        </w:rPr>
        <w:t>the Adjusted</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color w:val="000000"/>
        </w:rPr>
        <w:t>Term SOFR</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b w:val="1"/>
          <w:bCs w:val="1"/>
          <w:color w:val="FF0000"/>
          <w:strike w:val="1"/>
        </w:rPr>
        <w:t>Rate</w:t>
      </w:r>
      <w:r>
        <w:rPr>
          <w:rFonts w:ascii="Times New Roman" w:cs="Times New Roman" w:eastAsia="Times New Roman" w:hAnsi="Times New Roman"/>
          <w:sz w:val="21"/>
          <w:szCs w:val="21"/>
          <w:color w:val="000000"/>
        </w:rPr>
        <w:t>, the Adjusted Eurodollar Rate,</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b w:val="1"/>
          <w:bCs w:val="1"/>
          <w:color w:val="FF0000"/>
          <w:strike w:val="1"/>
        </w:rPr>
        <w:t>Adjusted</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color w:val="000000"/>
        </w:rPr>
        <w:t>Daily</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color w:val="000000"/>
        </w:rPr>
        <w:t xml:space="preserve">Simple SOFR, the </w:t>
      </w:r>
      <w:r>
        <w:rPr>
          <w:rFonts w:ascii="Times New Roman" w:cs="Times New Roman" w:eastAsia="Times New Roman" w:hAnsi="Times New Roman"/>
          <w:sz w:val="21"/>
          <w:szCs w:val="21"/>
          <w:b w:val="1"/>
          <w:bCs w:val="1"/>
          <w:color w:val="FF0000"/>
          <w:strike w:val="1"/>
        </w:rPr>
        <w:t>Adjusted</w:t>
      </w:r>
      <w:r>
        <w:rPr>
          <w:rFonts w:ascii="Times New Roman" w:cs="Times New Roman" w:eastAsia="Times New Roman" w:hAnsi="Times New Roman"/>
          <w:sz w:val="21"/>
          <w:szCs w:val="21"/>
          <w:color w:val="000000"/>
        </w:rPr>
        <w:t xml:space="preserve"> Daily Simple RFR and the Central Bank Rate shall be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1644650</wp:posOffset>
            </wp:positionH>
            <wp:positionV relativeFrom="paragraph">
              <wp:posOffset>-586105</wp:posOffset>
            </wp:positionV>
            <wp:extent cx="82105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2">
                      <a:extLst>
                        <a:ext uri="{28A0092B-C50C-407E-A947-70E740481C1C}"/>
                      </a:extLst>
                    </a:blip>
                    <a:srcRect/>
                    <a:stretch>
                      <a:fillRect/>
                    </a:stretch>
                  </pic:blipFill>
                  <pic:spPr bwMode="auto">
                    <a:xfrm>
                      <a:off x="0" y="0"/>
                      <a:ext cx="821055"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-586105</wp:posOffset>
            </wp:positionV>
            <wp:extent cx="32829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3">
                      <a:extLst>
                        <a:ext uri="{28A0092B-C50C-407E-A947-70E740481C1C}"/>
                      </a:extLst>
                    </a:blip>
                    <a:srcRect/>
                    <a:stretch>
                      <a:fillRect/>
                    </a:stretch>
                  </pic:blipFill>
                  <pic:spPr bwMode="auto">
                    <a:xfrm>
                      <a:off x="0" y="0"/>
                      <a:ext cx="328295" cy="8255"/>
                    </a:xfrm>
                    <a:prstGeom prst="rect">
                      <a:avLst/>
                    </a:prstGeom>
                    <a:noFill/>
                  </pic:spPr>
                </pic:pic>
              </a:graphicData>
            </a:graphic>
          </wp:anchor>
        </w:drawing>
        <w:drawing>
          <wp:anchor simplePos="0" relativeHeight="251657728" behindDoc="1" locked="0" layoutInCell="0" allowOverlap="1">
            <wp:simplePos x="0" y="0"/>
            <wp:positionH relativeFrom="column">
              <wp:posOffset>6892925</wp:posOffset>
            </wp:positionH>
            <wp:positionV relativeFrom="paragraph">
              <wp:posOffset>-586105</wp:posOffset>
            </wp:positionV>
            <wp:extent cx="2381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4">
                      <a:extLst>
                        <a:ext uri="{28A0092B-C50C-407E-A947-70E740481C1C}"/>
                      </a:extLst>
                    </a:blip>
                    <a:srcRect/>
                    <a:stretch>
                      <a:fillRect/>
                    </a:stretch>
                  </pic:blipFill>
                  <pic:spPr bwMode="auto">
                    <a:xfrm>
                      <a:off x="0" y="0"/>
                      <a:ext cx="238125" cy="8255"/>
                    </a:xfrm>
                    <a:prstGeom prst="rect">
                      <a:avLst/>
                    </a:prstGeom>
                    <a:noFill/>
                  </pic:spPr>
                </pic:pic>
              </a:graphicData>
            </a:graphic>
          </wp:anchor>
        </w:drawing>
      </w:r>
    </w:p>
    <w:p>
      <w:pPr>
        <w:spacing w:after="0" w:line="1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Foreign Government Scheme or Arrangement</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5.11(c)</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Foreign Lender</w:t>
      </w:r>
      <w:r>
        <w:rPr>
          <w:rFonts w:ascii="Times New Roman" w:cs="Times New Roman" w:eastAsia="Times New Roman" w:hAnsi="Times New Roman"/>
          <w:sz w:val="21"/>
          <w:szCs w:val="21"/>
          <w:color w:val="auto"/>
        </w:rPr>
        <w:t>” means a Lender that is not a U.S. Person.</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Foreign Plan</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5.11(c)</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Foreign Subsidiary</w:t>
      </w:r>
      <w:r>
        <w:rPr>
          <w:rFonts w:ascii="Times New Roman" w:cs="Times New Roman" w:eastAsia="Times New Roman" w:hAnsi="Times New Roman"/>
          <w:sz w:val="21"/>
          <w:szCs w:val="21"/>
          <w:color w:val="auto"/>
        </w:rPr>
        <w:t>” means any Subsidiary that is not a Domestic Subsidiary.</w:t>
      </w:r>
    </w:p>
    <w:p>
      <w:pPr>
        <w:spacing w:after="0" w:line="236" w:lineRule="exact"/>
        <w:rPr>
          <w:sz w:val="20"/>
          <w:szCs w:val="20"/>
          <w:color w:val="auto"/>
        </w:rPr>
      </w:pPr>
    </w:p>
    <w:p>
      <w:pPr>
        <w:jc w:val="both"/>
        <w:ind w:firstLine="636"/>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Formation Documents</w:t>
      </w:r>
      <w:r>
        <w:rPr>
          <w:rFonts w:ascii="Times New Roman" w:cs="Times New Roman" w:eastAsia="Times New Roman" w:hAnsi="Times New Roman"/>
          <w:sz w:val="21"/>
          <w:szCs w:val="21"/>
          <w:color w:val="auto"/>
        </w:rPr>
        <w:t>” means the Employee Matters Agreement, the Legal Engagement Letter, the Master Services Agreement, the Master Transaction Agreement, the Registration Rights Agreement, the Tax Matters Agreement, the Tax Matters Agreement (2019), the Tax Receivable Agreement, the Trademark and Domain Name License Agreement and the Transaction Agreement.</w:t>
      </w:r>
    </w:p>
    <w:p>
      <w:pPr>
        <w:spacing w:after="0" w:line="16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FRB</w:t>
      </w:r>
      <w:r>
        <w:rPr>
          <w:rFonts w:ascii="Times New Roman" w:cs="Times New Roman" w:eastAsia="Times New Roman" w:hAnsi="Times New Roman"/>
          <w:sz w:val="21"/>
          <w:szCs w:val="21"/>
          <w:color w:val="auto"/>
        </w:rPr>
        <w:t>” means the Board of Governors of the Federal Reserve System of the United States.</w:t>
      </w:r>
    </w:p>
    <w:p>
      <w:pPr>
        <w:spacing w:after="0" w:line="222" w:lineRule="exact"/>
        <w:rPr>
          <w:sz w:val="20"/>
          <w:szCs w:val="20"/>
          <w:color w:val="auto"/>
        </w:rPr>
      </w:pPr>
    </w:p>
    <w:p>
      <w:pPr>
        <w:jc w:val="both"/>
        <w:ind w:firstLine="636"/>
        <w:spacing w:after="0" w:line="26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Fronting Exposure</w:t>
      </w:r>
      <w:r>
        <w:rPr>
          <w:rFonts w:ascii="Times New Roman" w:cs="Times New Roman" w:eastAsia="Times New Roman" w:hAnsi="Times New Roman"/>
          <w:sz w:val="21"/>
          <w:szCs w:val="21"/>
          <w:color w:val="auto"/>
        </w:rPr>
        <w:t>” means, at any time there is a Defaulting Lender, with respect to any L/C Issuer, such Defaulting Lender’s Applicable Revolving Credit Percentage of the outstanding L/C Obligations in respect of Letters of Credit issued by such L/C Issuer other than L/C Obligations as to which such Defaulting Lender’s participation obligation has been reallocated to other Lenders or Cash Collateralized in accordance with the terms hereof.</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Fully Funded</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5.11(c)</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jc w:val="both"/>
        <w:ind w:firstLine="636"/>
        <w:spacing w:after="0" w:line="30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Fund</w:t>
      </w:r>
      <w:r>
        <w:rPr>
          <w:rFonts w:ascii="Times New Roman" w:cs="Times New Roman" w:eastAsia="Times New Roman" w:hAnsi="Times New Roman"/>
          <w:sz w:val="21"/>
          <w:szCs w:val="21"/>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GAAP</w:t>
      </w:r>
      <w:r>
        <w:rPr>
          <w:rFonts w:ascii="Times New Roman" w:cs="Times New Roman" w:eastAsia="Times New Roman" w:hAnsi="Times New Roman"/>
          <w:sz w:val="21"/>
          <w:szCs w:val="21"/>
          <w:color w:val="auto"/>
        </w:rPr>
        <w:t>” means generally accepted accounting principles in the United States of America as in effect from time to time.</w:t>
      </w:r>
    </w:p>
    <w:p>
      <w:pPr>
        <w:spacing w:after="0" w:line="222" w:lineRule="exact"/>
        <w:rPr>
          <w:sz w:val="20"/>
          <w:szCs w:val="20"/>
          <w:color w:val="auto"/>
        </w:rPr>
      </w:pPr>
    </w:p>
    <w:p>
      <w:pPr>
        <w:jc w:val="both"/>
        <w:ind w:firstLine="636"/>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Governmental Authority</w:t>
      </w:r>
      <w:r>
        <w:rPr>
          <w:rFonts w:ascii="Times New Roman" w:cs="Times New Roman" w:eastAsia="Times New Roman" w:hAnsi="Times New Roman"/>
          <w:sz w:val="21"/>
          <w:szCs w:val="21"/>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the National Association of Insurance Commissioners and any supra-national bodies such as the European Union or the European Central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36</w:t>
      </w:r>
    </w:p>
    <w:p>
      <w:pPr>
        <w:sectPr>
          <w:pgSz w:w="11900" w:h="16838" w:orient="portrait"/>
          <w:cols w:equalWidth="0" w:num="1">
            <w:col w:w="11240"/>
          </w:cols>
          <w:pgMar w:left="320" w:top="1393" w:right="339" w:bottom="1440" w:gutter="0" w:footer="0" w:header="0"/>
        </w:sectPr>
      </w:pPr>
    </w:p>
    <w:bookmarkStart w:id="142" w:name="page143"/>
    <w:bookmarkEnd w:id="142"/>
    <w:p>
      <w:pPr>
        <w:jc w:val="both"/>
        <w:ind w:firstLine="636"/>
        <w:spacing w:after="0" w:line="25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Guarantee</w:t>
      </w:r>
      <w:r>
        <w:rPr>
          <w:rFonts w:ascii="Times New Roman" w:cs="Times New Roman" w:eastAsia="Times New Roman" w:hAnsi="Times New Roman"/>
          <w:sz w:val="21"/>
          <w:szCs w:val="21"/>
          <w:color w:val="auto"/>
        </w:rPr>
        <w:t xml:space="preserve">” means, as to any Person, (a) any obligation, contingent or otherwise, of such Person guaranteeing or having the economic effect of guaranteeing any Indebtedness or other obligation payable or performable by another Person (the “primary obligor”)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 or other obligation of any other Person, whether or not such Indebtedness or other obligation is assumed by such Person (or any right, contingent or otherwise, of any holder of such Indebtedness to obtain any such Lien);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term “Guarantee” shall not include endorsements for collection or deposit, in either case in the ordinary course of business, or customary and reasonable indemnity obligations in effect on the Closing Date or entered into in connection with any acquisition or disposition of assets permitted under this Agreement (other than such obligations with respect to Indebtedness).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w:t>
      </w:r>
      <w:r>
        <w:rPr>
          <w:rFonts w:ascii="Times New Roman" w:cs="Times New Roman" w:eastAsia="Times New Roman" w:hAnsi="Times New Roman"/>
          <w:sz w:val="21"/>
          <w:szCs w:val="21"/>
          <w:b w:val="1"/>
          <w:bCs w:val="1"/>
          <w:color w:val="auto"/>
        </w:rPr>
        <w:t>Guarantee</w:t>
      </w:r>
      <w:r>
        <w:rPr>
          <w:rFonts w:ascii="Times New Roman" w:cs="Times New Roman" w:eastAsia="Times New Roman" w:hAnsi="Times New Roman"/>
          <w:sz w:val="21"/>
          <w:szCs w:val="21"/>
          <w:color w:val="auto"/>
        </w:rPr>
        <w:t>” as a verb has a corresponding meaning.</w:t>
      </w:r>
    </w:p>
    <w:p>
      <w:pPr>
        <w:spacing w:after="0" w:line="183" w:lineRule="exact"/>
        <w:rPr>
          <w:sz w:val="20"/>
          <w:szCs w:val="20"/>
          <w:color w:val="auto"/>
        </w:rPr>
      </w:pPr>
    </w:p>
    <w:p>
      <w:pPr>
        <w:jc w:val="both"/>
        <w:ind w:firstLine="636"/>
        <w:spacing w:after="0" w:line="27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Guarantors</w:t>
      </w:r>
      <w:r>
        <w:rPr>
          <w:rFonts w:ascii="Times New Roman" w:cs="Times New Roman" w:eastAsia="Times New Roman" w:hAnsi="Times New Roman"/>
          <w:sz w:val="21"/>
          <w:szCs w:val="21"/>
          <w:color w:val="auto"/>
        </w:rPr>
        <w:t>” means, collectively, each existing and future direct or indirect Subsidiary of the Borrower (other than any Excluded Subsidiary or any Immaterial Subsidiary) that is a party (whether originally or by the execution of a joinder) to the Collateral Agreement.</w:t>
      </w:r>
    </w:p>
    <w:p>
      <w:pPr>
        <w:spacing w:after="0" w:line="147" w:lineRule="exact"/>
        <w:rPr>
          <w:sz w:val="20"/>
          <w:szCs w:val="20"/>
          <w:color w:val="auto"/>
        </w:rPr>
      </w:pPr>
    </w:p>
    <w:p>
      <w:pPr>
        <w:jc w:val="both"/>
        <w:ind w:firstLine="636"/>
        <w:spacing w:after="0" w:line="26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Hazardous Materials</w:t>
      </w:r>
      <w:r>
        <w:rPr>
          <w:rFonts w:ascii="Times New Roman" w:cs="Times New Roman" w:eastAsia="Times New Roman" w:hAnsi="Times New Roman"/>
          <w:sz w:val="21"/>
          <w:szCs w:val="21"/>
          <w:color w:val="auto"/>
        </w:rPr>
        <w:t>” means all explosive or radioactive substances or wastes, contaminants, pollutants or any other hazardous or toxic substances, wastes or materials regulated under or defined in any Environmental Law, including petroleum, its derivatives or petroleum distillates, asbestos or asbestos-containing materials, polychlorinated biphenyls, radon gas, and infectious or medical wastes.</w:t>
      </w:r>
    </w:p>
    <w:p>
      <w:pPr>
        <w:spacing w:after="0" w:line="158"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Hazardous Material Activity</w:t>
      </w:r>
      <w:r>
        <w:rPr>
          <w:rFonts w:ascii="Times New Roman" w:cs="Times New Roman" w:eastAsia="Times New Roman" w:hAnsi="Times New Roman"/>
          <w:sz w:val="21"/>
          <w:szCs w:val="21"/>
          <w:color w:val="auto"/>
        </w:rPr>
        <w:t>” means any past, current, proposed or threatened activity, event or occurrence involving any Hazardous Material, including the use, manufacture, possession, storage, holding, presence, existence, location, Release, threatened Release, discharge, placement, generation, transportation, processing, construction, treatment, abatement, removal, remediation, disposal, disposition or handling of any Hazardous Material, and any corrective action or response action with respect to any of the foregoing.</w:t>
      </w:r>
    </w:p>
    <w:p>
      <w:pPr>
        <w:spacing w:after="0" w:line="181" w:lineRule="exact"/>
        <w:rPr>
          <w:sz w:val="20"/>
          <w:szCs w:val="20"/>
          <w:color w:val="auto"/>
        </w:rPr>
      </w:pPr>
    </w:p>
    <w:p>
      <w:pPr>
        <w:jc w:val="both"/>
        <w:ind w:firstLine="636"/>
        <w:spacing w:after="0" w:line="28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Hedge Bank</w:t>
      </w:r>
      <w:r>
        <w:rPr>
          <w:rFonts w:ascii="Times New Roman" w:cs="Times New Roman" w:eastAsia="Times New Roman" w:hAnsi="Times New Roman"/>
          <w:sz w:val="21"/>
          <w:szCs w:val="21"/>
          <w:color w:val="auto"/>
        </w:rPr>
        <w:t>” means any Person that, at the time it enters into a Swap Contract permitted hereunder, is a Lender, the Administrative Agent or an Arranger or an Affiliate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37</w:t>
      </w:r>
    </w:p>
    <w:p>
      <w:pPr>
        <w:sectPr>
          <w:pgSz w:w="11900" w:h="16838" w:orient="portrait"/>
          <w:cols w:equalWidth="0" w:num="1">
            <w:col w:w="11240"/>
          </w:cols>
          <w:pgMar w:left="320" w:top="1393"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21"/>
          <w:szCs w:val="21"/>
          <w:color w:val="auto"/>
        </w:rPr>
        <w:t>Lender, the Administrative Agent or an Arranger in its capacity as a party to such Swap Contract.</w:t>
      </w:r>
    </w:p>
    <w:p>
      <w:pPr>
        <w:spacing w:after="0" w:line="218"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Immaterial Subsidiary</w:t>
      </w:r>
      <w:r>
        <w:rPr>
          <w:rFonts w:ascii="Times New Roman" w:cs="Times New Roman" w:eastAsia="Times New Roman" w:hAnsi="Times New Roman"/>
          <w:sz w:val="21"/>
          <w:szCs w:val="21"/>
          <w:color w:val="auto"/>
        </w:rPr>
        <w:t xml:space="preserve">” means, as of any date, any Restricted Subsidiary that, (a) as of the last date of the most recent fiscal quarter of the Borrower for which financial statements have been delivered, accounts for less than 5.00% of the Consolidated Total Assets of the Borrower and its Restricted Subsidiaries and less than 5.00% of the total revenue of the Borrower and its Restricted Subsidiaries on a consolidated basis, in each case, as measured as of the last day of the most recent fiscal quarter of the Borrower for which financial statements have been delivered and (b) does not, directly or indirectly, hold Equity Interests in any Restricted Subsidiary that is not an Immaterial Subsidiary as of such date;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as of the last date of the most recent fiscal quarter of the Borrower for which financial statements have been delivered, the aggregate amount of Consolidated Total Assets or net sales attributable to all Restricted Subsidiaries that are Immaterial Subsidiaries exceeds 7.50% of the Consolidated Total Assets of the Borrower and its Restricted Subsidiaries or 7.50% of the total revenues of the Borrower and its Restricted Subsidiaries on a consolidated basis, then a sufficient number of Restricted Subsidiaries which are not Excluded Subsidiaries shall be designated by the Borrower (or, in the event the Borrower has failed to do so within twenty days, the Administrative Agent) to eliminate such excess, and such designated Restricted Subsidiaries shall no longer constitute Immaterial Subsidiaries under this Agreement.</w:t>
      </w:r>
    </w:p>
    <w:p>
      <w:pPr>
        <w:spacing w:after="0" w:line="200" w:lineRule="exact"/>
        <w:rPr>
          <w:sz w:val="20"/>
          <w:szCs w:val="20"/>
          <w:color w:val="auto"/>
        </w:rPr>
      </w:pPr>
    </w:p>
    <w:p>
      <w:pPr>
        <w:spacing w:after="0" w:line="246" w:lineRule="exact"/>
        <w:rPr>
          <w:sz w:val="20"/>
          <w:szCs w:val="20"/>
          <w:color w:val="auto"/>
        </w:rPr>
      </w:pPr>
    </w:p>
    <w:p>
      <w:pPr>
        <w:jc w:val="both"/>
        <w:ind w:firstLine="636"/>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Immediate Family Member</w:t>
      </w:r>
      <w:r>
        <w:rPr>
          <w:rFonts w:ascii="Times New Roman" w:cs="Times New Roman" w:eastAsia="Times New Roman" w:hAnsi="Times New Roman"/>
          <w:sz w:val="21"/>
          <w:szCs w:val="21"/>
          <w:color w:val="auto"/>
        </w:rPr>
        <w:t>” means with respect to any individual, such individual’s child, stepchild, grandchild or more remote descendant, parent, stepparent, grandparent, spouse, former spouse, domestic partner, former domestic partner, sibling, mother-in-law, father-in-law, son-in-law and daughter-in-law (including adoptive relationships), any trust, partnership or other bona fide estate-planning vehicle the only beneficiaries of which are any of the foregoing individuals, such individual’s estate (or an executor or administrator, in each case, acting on their behalf) or any private foundation or fund that is controlled by any of the foregoing individuals or any donor-advised fund of which any such individual is the donor.</w:t>
      </w:r>
    </w:p>
    <w:p>
      <w:pPr>
        <w:spacing w:after="0" w:line="16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Increased Amount Date</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2.14(b)</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Incremental Available Amount</w:t>
      </w:r>
      <w:r>
        <w:rPr>
          <w:rFonts w:ascii="Times New Roman" w:cs="Times New Roman" w:eastAsia="Times New Roman" w:hAnsi="Times New Roman"/>
          <w:sz w:val="21"/>
          <w:szCs w:val="21"/>
          <w:color w:val="auto"/>
        </w:rPr>
        <w:t>” means</w:t>
      </w:r>
    </w:p>
    <w:p>
      <w:pPr>
        <w:spacing w:after="0" w:line="222" w:lineRule="exact"/>
        <w:rPr>
          <w:sz w:val="20"/>
          <w:szCs w:val="20"/>
          <w:color w:val="auto"/>
        </w:rPr>
      </w:pPr>
    </w:p>
    <w:p>
      <w:pPr>
        <w:jc w:val="both"/>
        <w:ind w:firstLine="636"/>
        <w:spacing w:after="0" w:line="276" w:lineRule="auto"/>
        <w:rPr>
          <w:sz w:val="20"/>
          <w:szCs w:val="20"/>
          <w:color w:val="auto"/>
        </w:rPr>
      </w:pPr>
      <w:r>
        <w:rPr>
          <w:rFonts w:ascii="Times New Roman" w:cs="Times New Roman" w:eastAsia="Times New Roman" w:hAnsi="Times New Roman"/>
          <w:sz w:val="21"/>
          <w:szCs w:val="21"/>
          <w:color w:val="auto"/>
        </w:rPr>
        <w:t>(a)(i) the greater of (x) $</w:t>
      </w:r>
      <w:r>
        <w:rPr>
          <w:rFonts w:ascii="Times New Roman" w:cs="Times New Roman" w:eastAsia="Times New Roman" w:hAnsi="Times New Roman"/>
          <w:sz w:val="21"/>
          <w:szCs w:val="21"/>
          <w:b w:val="1"/>
          <w:bCs w:val="1"/>
          <w:color w:val="FF0000"/>
          <w:strike w:val="1"/>
        </w:rPr>
        <w:t>250,000,000</w:t>
      </w:r>
      <w:r>
        <w:rPr>
          <w:rFonts w:ascii="Times New Roman" w:cs="Times New Roman" w:eastAsia="Times New Roman" w:hAnsi="Times New Roman"/>
          <w:sz w:val="21"/>
          <w:szCs w:val="21"/>
          <w:b w:val="1"/>
          <w:bCs w:val="1"/>
          <w:u w:val="single" w:color="auto"/>
          <w:color w:val="0000FF"/>
        </w:rPr>
        <w:t>500,000,000</w:t>
      </w:r>
      <w:r>
        <w:rPr>
          <w:rFonts w:ascii="Times New Roman" w:cs="Times New Roman" w:eastAsia="Times New Roman" w:hAnsi="Times New Roman"/>
          <w:sz w:val="21"/>
          <w:szCs w:val="21"/>
          <w:color w:val="auto"/>
        </w:rPr>
        <w:t xml:space="preserve"> and (y) 100.00% of the Consolidated EBITDA based on the Most Recent Financial Statements less (ii) the aggregate principal amount of Indebtedness incurred pursuant to </w:t>
      </w:r>
      <w:r>
        <w:rPr>
          <w:rFonts w:ascii="Times New Roman" w:cs="Times New Roman" w:eastAsia="Times New Roman" w:hAnsi="Times New Roman"/>
          <w:sz w:val="21"/>
          <w:szCs w:val="21"/>
          <w:u w:val="single" w:color="auto"/>
          <w:color w:val="auto"/>
        </w:rPr>
        <w:t>Section 2.14(a)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7.03(s)</w:t>
      </w:r>
      <w:r>
        <w:rPr>
          <w:rFonts w:ascii="Times New Roman" w:cs="Times New Roman" w:eastAsia="Times New Roman" w:hAnsi="Times New Roman"/>
          <w:sz w:val="21"/>
          <w:szCs w:val="21"/>
          <w:color w:val="auto"/>
        </w:rPr>
        <w:t xml:space="preserve"> in reliance of this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plus</w:t>
      </w:r>
    </w:p>
    <w:p>
      <w:pPr>
        <w:spacing w:after="0" w:line="151"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21"/>
          <w:szCs w:val="21"/>
          <w:color w:val="auto"/>
        </w:rPr>
        <w:t>(b)(i) the amount of any voluntary prepayments or debt buybacks of Term Loans, loans under any Incremental Equivalent Debt and/or loans under other Indebtedness, in each case, secured on a pari passu basis with the Liens securing the Obligations hereunder (which, in the case of any such Indebtedness that constitutes revolving Indebtedness, is accompanied by a permanent reduction in the relevant commitment), (ii) voluntary prepayments of Revolving Credit Loans to the extent accompanied by a permanent reduction in the relevant commitment, and (iii) the amount paid in cash in respect of any reduction in the outstanding principal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38</w:t>
      </w:r>
    </w:p>
    <w:p>
      <w:pPr>
        <w:sectPr>
          <w:pgSz w:w="11900" w:h="16838" w:orient="portrait"/>
          <w:cols w:equalWidth="0" w:num="1">
            <w:col w:w="11240"/>
          </w:cols>
          <w:pgMar w:left="320" w:top="1397" w:right="339" w:bottom="1440" w:gutter="0" w:footer="0" w:header="0"/>
        </w:sectPr>
      </w:pPr>
    </w:p>
    <w:bookmarkStart w:id="144" w:name="page145"/>
    <w:bookmarkEnd w:id="144"/>
    <w:p>
      <w:pPr>
        <w:jc w:val="both"/>
        <w:spacing w:after="0" w:line="259" w:lineRule="auto"/>
        <w:rPr>
          <w:sz w:val="20"/>
          <w:szCs w:val="20"/>
          <w:color w:val="auto"/>
        </w:rPr>
      </w:pPr>
      <w:r>
        <w:rPr>
          <w:rFonts w:ascii="Times New Roman" w:cs="Times New Roman" w:eastAsia="Times New Roman" w:hAnsi="Times New Roman"/>
          <w:sz w:val="21"/>
          <w:szCs w:val="21"/>
          <w:color w:val="auto"/>
        </w:rPr>
        <w:t xml:space="preserve">of any Term Loan resulting from any assignment of such Term Loan to the Borrower pursuant to </w:t>
      </w:r>
      <w:r>
        <w:rPr>
          <w:rFonts w:ascii="Times New Roman" w:cs="Times New Roman" w:eastAsia="Times New Roman" w:hAnsi="Times New Roman"/>
          <w:sz w:val="21"/>
          <w:szCs w:val="21"/>
          <w:u w:val="single" w:color="auto"/>
          <w:color w:val="auto"/>
        </w:rPr>
        <w:t>Section 10.06(b)(vii)</w:t>
      </w:r>
      <w:r>
        <w:rPr>
          <w:rFonts w:ascii="Times New Roman" w:cs="Times New Roman" w:eastAsia="Times New Roman" w:hAnsi="Times New Roman"/>
          <w:sz w:val="21"/>
          <w:szCs w:val="21"/>
          <w:color w:val="auto"/>
        </w:rPr>
        <w:t xml:space="preserve"> and/or the application of “yank-a-bank” provisions pursuant to </w:t>
      </w:r>
      <w:r>
        <w:rPr>
          <w:rFonts w:ascii="Times New Roman" w:cs="Times New Roman" w:eastAsia="Times New Roman" w:hAnsi="Times New Roman"/>
          <w:sz w:val="21"/>
          <w:szCs w:val="21"/>
          <w:u w:val="single" w:color="auto"/>
          <w:color w:val="auto"/>
        </w:rPr>
        <w:t>Section 10.13</w:t>
      </w:r>
      <w:r>
        <w:rPr>
          <w:rFonts w:ascii="Times New Roman" w:cs="Times New Roman" w:eastAsia="Times New Roman" w:hAnsi="Times New Roman"/>
          <w:sz w:val="21"/>
          <w:szCs w:val="21"/>
          <w:color w:val="auto"/>
        </w:rPr>
        <w:t xml:space="preserve">, in each case, made prior to the Increased Amount Date (in the case of each of </w:t>
      </w:r>
      <w:r>
        <w:rPr>
          <w:rFonts w:ascii="Times New Roman" w:cs="Times New Roman" w:eastAsia="Times New Roman" w:hAnsi="Times New Roman"/>
          <w:sz w:val="21"/>
          <w:szCs w:val="21"/>
          <w:u w:val="single" w:color="auto"/>
          <w:color w:val="auto"/>
        </w:rPr>
        <w:t>clauses (b)(i)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(iii)</w:t>
      </w:r>
      <w:r>
        <w:rPr>
          <w:rFonts w:ascii="Times New Roman" w:cs="Times New Roman" w:eastAsia="Times New Roman" w:hAnsi="Times New Roman"/>
          <w:sz w:val="21"/>
          <w:szCs w:val="21"/>
          <w:color w:val="auto"/>
        </w:rPr>
        <w:t xml:space="preserve">, other than prepayments, repayments or commitment reductions financed with the proceeds of long-term indebtedness (other than revolving indebtedness (except where revolving indebtedness is used to replace revolving indebtedness))) </w:t>
      </w:r>
      <w:r>
        <w:rPr>
          <w:rFonts w:ascii="Times New Roman" w:cs="Times New Roman" w:eastAsia="Times New Roman" w:hAnsi="Times New Roman"/>
          <w:sz w:val="21"/>
          <w:szCs w:val="21"/>
          <w:u w:val="single" w:color="auto"/>
          <w:color w:val="auto"/>
        </w:rPr>
        <w:t>less</w:t>
      </w:r>
      <w:r>
        <w:rPr>
          <w:rFonts w:ascii="Times New Roman" w:cs="Times New Roman" w:eastAsia="Times New Roman" w:hAnsi="Times New Roman"/>
          <w:sz w:val="21"/>
          <w:szCs w:val="21"/>
          <w:color w:val="auto"/>
        </w:rPr>
        <w:t xml:space="preserve"> (iv) the aggregate principal amount of Indebtedness incurred pursuant to </w:t>
      </w:r>
      <w:r>
        <w:rPr>
          <w:rFonts w:ascii="Times New Roman" w:cs="Times New Roman" w:eastAsia="Times New Roman" w:hAnsi="Times New Roman"/>
          <w:sz w:val="21"/>
          <w:szCs w:val="21"/>
          <w:u w:val="single" w:color="auto"/>
          <w:color w:val="auto"/>
        </w:rPr>
        <w:t>Section 2.14(a)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7.03(s)</w:t>
      </w:r>
      <w:r>
        <w:rPr>
          <w:rFonts w:ascii="Times New Roman" w:cs="Times New Roman" w:eastAsia="Times New Roman" w:hAnsi="Times New Roman"/>
          <w:sz w:val="21"/>
          <w:szCs w:val="21"/>
          <w:color w:val="auto"/>
        </w:rPr>
        <w:t xml:space="preserve"> in reliance on this </w:t>
      </w:r>
      <w:r>
        <w:rPr>
          <w:rFonts w:ascii="Times New Roman" w:cs="Times New Roman" w:eastAsia="Times New Roman" w:hAnsi="Times New Roman"/>
          <w:sz w:val="21"/>
          <w:szCs w:val="21"/>
          <w:u w:val="single" w:color="auto"/>
          <w:color w:val="auto"/>
        </w:rPr>
        <w:t>clause (b)</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plus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6457315</wp:posOffset>
            </wp:positionH>
            <wp:positionV relativeFrom="paragraph">
              <wp:posOffset>-327025</wp:posOffset>
            </wp:positionV>
            <wp:extent cx="673100" cy="1428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5">
                      <a:extLst>
                        <a:ext uri="{28A0092B-C50C-407E-A947-70E740481C1C}"/>
                      </a:extLst>
                    </a:blip>
                    <a:srcRect/>
                    <a:stretch>
                      <a:fillRect/>
                    </a:stretch>
                  </pic:blipFill>
                  <pic:spPr bwMode="auto">
                    <a:xfrm>
                      <a:off x="0" y="0"/>
                      <a:ext cx="673100" cy="142875"/>
                    </a:xfrm>
                    <a:prstGeom prst="rect">
                      <a:avLst/>
                    </a:prstGeom>
                    <a:noFill/>
                  </pic:spPr>
                </pic:pic>
              </a:graphicData>
            </a:graphic>
          </wp:anchor>
        </w:drawing>
      </w:r>
    </w:p>
    <w:p>
      <w:pPr>
        <w:spacing w:after="0" w:line="152" w:lineRule="exact"/>
        <w:rPr>
          <w:sz w:val="20"/>
          <w:szCs w:val="20"/>
          <w:color w:val="auto"/>
        </w:rPr>
      </w:pPr>
    </w:p>
    <w:p>
      <w:pPr>
        <w:jc w:val="both"/>
        <w:ind w:firstLine="642"/>
        <w:spacing w:after="0" w:line="259" w:lineRule="auto"/>
        <w:tabs>
          <w:tab w:leader="none" w:pos="938" w:val="left"/>
        </w:tabs>
        <w:numPr>
          <w:ilvl w:val="1"/>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unlimited amount of Indebtedness that is secured by any or all of the Collateral on a basis that is pari passu with or junior to the Liens securing the Obligations or that is unsecured, so long as, after giving effect to the incurrence of such Incremental Equivalent Debt or such Incremental Facility (assuming all commitments under or in respect of the Revolving Credit Facility Increase, Incremental Term Loans or Incremental Equivalent Debt are fully funded and without netting the cash proceeds thereof),</w:t>
      </w:r>
    </w:p>
    <w:p>
      <w:pPr>
        <w:spacing w:after="0" w:line="1" w:lineRule="exact"/>
        <w:rPr>
          <w:rFonts w:ascii="Times New Roman" w:cs="Times New Roman" w:eastAsia="Times New Roman" w:hAnsi="Times New Roman"/>
          <w:sz w:val="21"/>
          <w:szCs w:val="21"/>
          <w:color w:val="auto"/>
        </w:rPr>
      </w:pPr>
    </w:p>
    <w:p>
      <w:pPr>
        <w:jc w:val="both"/>
        <w:ind w:firstLine="6"/>
        <w:spacing w:after="0" w:line="253" w:lineRule="auto"/>
        <w:tabs>
          <w:tab w:leader="none" w:pos="292"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any Indebtedness secured by any or all of the Collateral on a pari passu basis with the Liens securing the Obligations hereunder, the pro forma Secured Net Leverage Ratio would not exceed the greater of 3.50:1.00 and (in the case of Indebtedness incurred in connection with a Permitted Acquisition or other Investment in the nature of an acquisition) the Secured Net Leverage Ratio immediately prior to giving effect to such Permitted Acquisition or other Investment in the nature of an acquisition, (ii) in the case of any Indebtedness secured by any or all of the Collateral on a junior basis to the Liens securing the Obligations hereunder or secured by assets that do not constitute Collateral, the pro forma Secured Net Leverage Ratio would not exceed the greater of 4.25:1.00 and (in the case of Indebtedness incurred in connection with a Permitted Acquisition or other Investment in the nature of an acquisition) the Secured Net Leverage Ratio immediately prior to giving effect to such Permitted Acquisition or other Investment in the nature of an acquisition, and (iii) in the case of any Indebtedness that is unsecured, either (x) the pro forma Total Net Leverage Ratio would not exceed the greater of 6.00:1.00 and (in the case of Indebtedness incurred in connection with a Permitted Acquisition or other Investment in the nature of an acquisition) the Total Net Leverage Ratio immediately prior to giving effect to such Permitted Acquisition or other Investment in the nature of an acquisition or (y) the pro forma Consolidated Interest Coverage Ratio would be greater than or equal to the lesser of 2.00:1.00 and (in the case of Indebtedness incurred in connection with a Permitted Acquisition or other Investment in the nature of an acquisition) the Consolidated Interest Coverage Ratio immediately prior to giving effect to such Permitted Acquisition or other Investment in the nature of an acquisition,</w:t>
      </w:r>
    </w:p>
    <w:p>
      <w:pPr>
        <w:spacing w:after="0" w:line="200" w:lineRule="exact"/>
        <w:rPr>
          <w:sz w:val="20"/>
          <w:szCs w:val="20"/>
          <w:color w:val="auto"/>
        </w:rPr>
      </w:pPr>
    </w:p>
    <w:p>
      <w:pPr>
        <w:spacing w:after="0" w:line="235" w:lineRule="exact"/>
        <w:rPr>
          <w:sz w:val="20"/>
          <w:szCs w:val="20"/>
          <w:color w:val="auto"/>
        </w:rPr>
      </w:pPr>
    </w:p>
    <w:p>
      <w:pPr>
        <w:ind w:firstLine="636"/>
        <w:spacing w:after="0" w:line="287" w:lineRule="auto"/>
        <w:rPr>
          <w:sz w:val="20"/>
          <w:szCs w:val="20"/>
          <w:color w:val="auto"/>
        </w:rPr>
      </w:pP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to the extent the proceeds of any Incremental Term Loans or Incremental Equivalent Debt are intended to be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applied to finance a Limited Condition Acquisition, pro forma compliance shall be tested in accordance with </w:t>
      </w:r>
      <w:r>
        <w:rPr>
          <w:rFonts w:ascii="Times New Roman" w:cs="Times New Roman" w:eastAsia="Times New Roman" w:hAnsi="Times New Roman"/>
          <w:sz w:val="21"/>
          <w:szCs w:val="21"/>
          <w:u w:val="single" w:color="auto"/>
          <w:color w:val="auto"/>
        </w:rPr>
        <w:t>Section 1.09(c)</w:t>
      </w:r>
      <w:r>
        <w:rPr>
          <w:rFonts w:ascii="Times New Roman" w:cs="Times New Roman" w:eastAsia="Times New Roman" w:hAnsi="Times New Roman"/>
          <w:sz w:val="21"/>
          <w:szCs w:val="21"/>
          <w:color w:val="auto"/>
        </w:rPr>
        <w:t>; and</w:t>
      </w:r>
    </w:p>
    <w:p>
      <w:pPr>
        <w:spacing w:after="0" w:line="1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i w:val="1"/>
          <w:iCs w:val="1"/>
          <w:color w:val="auto"/>
        </w:rPr>
        <w:t xml:space="preserve">provided, further </w:t>
      </w:r>
      <w:r>
        <w:rPr>
          <w:rFonts w:ascii="Times New Roman" w:cs="Times New Roman" w:eastAsia="Times New Roman" w:hAnsi="Times New Roman"/>
          <w:sz w:val="21"/>
          <w:szCs w:val="21"/>
          <w:color w:val="auto"/>
        </w:rPr>
        <w:t>that, at the election of the Borrower, (I) the Borrower shall be deemed to have used amounts under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u w:val="single" w:color="auto"/>
          <w:color w:val="auto"/>
        </w:rPr>
        <w:t>clause</w:t>
      </w:r>
    </w:p>
    <w:p>
      <w:pPr>
        <w:spacing w:after="0" w:line="36" w:lineRule="exact"/>
        <w:rPr>
          <w:sz w:val="20"/>
          <w:szCs w:val="20"/>
          <w:color w:val="auto"/>
        </w:rPr>
      </w:pPr>
    </w:p>
    <w:p>
      <w:pPr>
        <w:jc w:val="both"/>
        <w:ind w:firstLine="6"/>
        <w:spacing w:after="0" w:line="262" w:lineRule="auto"/>
        <w:tabs>
          <w:tab w:leader="none" w:pos="341" w:val="left"/>
        </w:tabs>
        <w:numPr>
          <w:ilvl w:val="0"/>
          <w:numId w:val="79"/>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color w:val="auto"/>
        </w:rPr>
        <w:t xml:space="preserve">(to the extent compliant therewith) prior to utilization of amounts under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(II) Loans may be incurred simultaneously under </w:t>
      </w:r>
      <w:r>
        <w:rPr>
          <w:rFonts w:ascii="Times New Roman" w:cs="Times New Roman" w:eastAsia="Times New Roman" w:hAnsi="Times New Roman"/>
          <w:sz w:val="21"/>
          <w:szCs w:val="21"/>
          <w:u w:val="single" w:color="auto"/>
          <w:color w:val="auto"/>
        </w:rPr>
        <w:t>clauses (a)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(c)</w:t>
      </w:r>
      <w:r>
        <w:rPr>
          <w:rFonts w:ascii="Times New Roman" w:cs="Times New Roman" w:eastAsia="Times New Roman" w:hAnsi="Times New Roman"/>
          <w:sz w:val="21"/>
          <w:szCs w:val="21"/>
          <w:color w:val="auto"/>
        </w:rPr>
        <w:t xml:space="preserve">, and proceeds from any such incurrence may be utilized in a single transaction, at the election of the Borrower, by first calculating the incurrence under </w:t>
      </w:r>
      <w:r>
        <w:rPr>
          <w:rFonts w:ascii="Times New Roman" w:cs="Times New Roman" w:eastAsia="Times New Roman" w:hAnsi="Times New Roman"/>
          <w:sz w:val="21"/>
          <w:szCs w:val="21"/>
          <w:u w:val="single" w:color="auto"/>
          <w:color w:val="auto"/>
        </w:rPr>
        <w:t>clause (c)</w:t>
      </w:r>
      <w:r>
        <w:rPr>
          <w:rFonts w:ascii="Times New Roman" w:cs="Times New Roman" w:eastAsia="Times New Roman" w:hAnsi="Times New Roman"/>
          <w:sz w:val="21"/>
          <w:szCs w:val="21"/>
          <w:color w:val="auto"/>
        </w:rPr>
        <w:t xml:space="preserve"> above and then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39</w:t>
      </w:r>
    </w:p>
    <w:p>
      <w:pPr>
        <w:sectPr>
          <w:pgSz w:w="11900" w:h="16838" w:orient="portrait"/>
          <w:cols w:equalWidth="0" w:num="1">
            <w:col w:w="11240"/>
          </w:cols>
          <w:pgMar w:left="320" w:top="1397" w:right="339" w:bottom="1440" w:gutter="0" w:footer="0" w:header="0"/>
        </w:sectPr>
      </w:pPr>
    </w:p>
    <w:bookmarkStart w:id="145" w:name="page146"/>
    <w:bookmarkEnd w:id="145"/>
    <w:p>
      <w:pPr>
        <w:jc w:val="both"/>
        <w:spacing w:after="0" w:line="267" w:lineRule="auto"/>
        <w:rPr>
          <w:sz w:val="20"/>
          <w:szCs w:val="20"/>
          <w:color w:val="auto"/>
        </w:rPr>
      </w:pPr>
      <w:r>
        <w:rPr>
          <w:rFonts w:ascii="Times New Roman" w:cs="Times New Roman" w:eastAsia="Times New Roman" w:hAnsi="Times New Roman"/>
          <w:sz w:val="21"/>
          <w:szCs w:val="21"/>
          <w:color w:val="auto"/>
        </w:rPr>
        <w:t xml:space="preserve">calculating the incurrence under </w:t>
      </w:r>
      <w:r>
        <w:rPr>
          <w:rFonts w:ascii="Times New Roman" w:cs="Times New Roman" w:eastAsia="Times New Roman" w:hAnsi="Times New Roman"/>
          <w:sz w:val="21"/>
          <w:szCs w:val="21"/>
          <w:u w:val="single" w:color="auto"/>
          <w:color w:val="auto"/>
        </w:rPr>
        <w:t>clauses (a)</w:t>
      </w:r>
      <w:r>
        <w:rPr>
          <w:rFonts w:ascii="Times New Roman" w:cs="Times New Roman" w:eastAsia="Times New Roman" w:hAnsi="Times New Roman"/>
          <w:sz w:val="21"/>
          <w:szCs w:val="21"/>
          <w:color w:val="auto"/>
        </w:rPr>
        <w:t xml:space="preserve"> and (b) above and (III) any Loans incurred in reliance on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and/or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may be reclassified, as the Borrower may elect from time to time, as incurred under </w:t>
      </w:r>
      <w:r>
        <w:rPr>
          <w:rFonts w:ascii="Times New Roman" w:cs="Times New Roman" w:eastAsia="Times New Roman" w:hAnsi="Times New Roman"/>
          <w:sz w:val="21"/>
          <w:szCs w:val="21"/>
          <w:u w:val="single" w:color="auto"/>
          <w:color w:val="auto"/>
        </w:rPr>
        <w:t>clause (c)</w:t>
      </w:r>
      <w:r>
        <w:rPr>
          <w:rFonts w:ascii="Times New Roman" w:cs="Times New Roman" w:eastAsia="Times New Roman" w:hAnsi="Times New Roman"/>
          <w:sz w:val="21"/>
          <w:szCs w:val="21"/>
          <w:color w:val="auto"/>
        </w:rPr>
        <w:t xml:space="preserve"> to the extent permitted thereunder at such time on a pro forma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2592705</wp:posOffset>
            </wp:positionH>
            <wp:positionV relativeFrom="paragraph">
              <wp:posOffset>-367665</wp:posOffset>
            </wp:positionV>
            <wp:extent cx="19050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6">
                      <a:extLst>
                        <a:ext uri="{28A0092B-C50C-407E-A947-70E740481C1C}"/>
                      </a:extLst>
                    </a:blip>
                    <a:srcRect/>
                    <a:stretch>
                      <a:fillRect/>
                    </a:stretch>
                  </pic:blipFill>
                  <pic:spPr bwMode="auto">
                    <a:xfrm>
                      <a:off x="0" y="0"/>
                      <a:ext cx="190500" cy="8255"/>
                    </a:xfrm>
                    <a:prstGeom prst="rect">
                      <a:avLst/>
                    </a:prstGeom>
                    <a:noFill/>
                  </pic:spPr>
                </pic:pic>
              </a:graphicData>
            </a:graphic>
          </wp:anchor>
        </w:drawing>
      </w:r>
    </w:p>
    <w:p>
      <w:pPr>
        <w:spacing w:after="0" w:line="151" w:lineRule="exact"/>
        <w:rPr>
          <w:sz w:val="20"/>
          <w:szCs w:val="20"/>
          <w:color w:val="auto"/>
        </w:rPr>
      </w:pPr>
    </w:p>
    <w:p>
      <w:pPr>
        <w:jc w:val="both"/>
        <w:ind w:firstLine="636"/>
        <w:spacing w:after="0" w:line="28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Incremental Borrowing</w:t>
      </w:r>
      <w:r>
        <w:rPr>
          <w:rFonts w:ascii="Times New Roman" w:cs="Times New Roman" w:eastAsia="Times New Roman" w:hAnsi="Times New Roman"/>
          <w:sz w:val="21"/>
          <w:szCs w:val="21"/>
          <w:color w:val="auto"/>
        </w:rPr>
        <w:t>” means a borrowing of Incremental Revolving Loans or Incremental Term Loans, as the context requires.</w:t>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Incremental Equivalent Debt</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7.03(s)</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jc w:val="both"/>
        <w:ind w:firstLine="636"/>
        <w:spacing w:after="0" w:line="27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Incremental Facility</w:t>
      </w:r>
      <w:r>
        <w:rPr>
          <w:rFonts w:ascii="Times New Roman" w:cs="Times New Roman" w:eastAsia="Times New Roman" w:hAnsi="Times New Roman"/>
          <w:sz w:val="21"/>
          <w:szCs w:val="21"/>
          <w:color w:val="auto"/>
        </w:rPr>
        <w:t>” means, at any time, as the context may require, the aggregate amount of the Incremental Revolving Loan Lenders’ Incremental Revolving Credit Commitments and/or the Incremental Term Loan Lenders’ Incremental Term Loan Commitments of a given Class at such time and, in each case, but without duplication, the Credit Extensions made thereunder.</w:t>
      </w:r>
    </w:p>
    <w:p>
      <w:pPr>
        <w:spacing w:after="0" w:line="1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Incremental Revolving Credit Commitments</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2.14(a)</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Incremental Revolving Loan Lender</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2.14(b)</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Incremental Revolving Loans</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2.14(e)</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Incremental Term Loan Commitments</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2.14(a)</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Incremental Term Loan Lender</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2.14(b)</w:t>
      </w:r>
      <w:r>
        <w:rPr>
          <w:rFonts w:ascii="Times New Roman" w:cs="Times New Roman" w:eastAsia="Times New Roman" w:hAnsi="Times New Roman"/>
          <w:sz w:val="21"/>
          <w:szCs w:val="21"/>
          <w:color w:val="auto"/>
        </w:rPr>
        <w:t>.</w:t>
      </w:r>
    </w:p>
    <w:p>
      <w:pPr>
        <w:spacing w:after="0" w:line="236" w:lineRule="exact"/>
        <w:rPr>
          <w:sz w:val="20"/>
          <w:szCs w:val="20"/>
          <w:color w:val="auto"/>
        </w:rPr>
      </w:pPr>
    </w:p>
    <w:p>
      <w:pPr>
        <w:ind w:firstLine="636"/>
        <w:spacing w:after="0" w:line="28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Incremental Term Loan Maturity Date</w:t>
      </w:r>
      <w:r>
        <w:rPr>
          <w:rFonts w:ascii="Times New Roman" w:cs="Times New Roman" w:eastAsia="Times New Roman" w:hAnsi="Times New Roman"/>
          <w:sz w:val="21"/>
          <w:szCs w:val="21"/>
          <w:color w:val="auto"/>
        </w:rPr>
        <w:t>” means the date on which Incremental Term Loans of a Class shall become due and payable in full hereunder, as specified in the applicable Joinder Agreement, including by acceleration or otherwise.</w:t>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Incremental Term Loans</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2.14(f)</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ind w:firstLine="636"/>
        <w:spacing w:after="0" w:line="28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Indebtedness</w:t>
      </w:r>
      <w:r>
        <w:rPr>
          <w:rFonts w:ascii="Times New Roman" w:cs="Times New Roman" w:eastAsia="Times New Roman" w:hAnsi="Times New Roman"/>
          <w:sz w:val="21"/>
          <w:szCs w:val="21"/>
          <w:color w:val="auto"/>
        </w:rPr>
        <w:t>” means, as to any Person at a particular time, without duplication, all of the following, whether or not included as indebtedness or liabilities in accordance with GAAP:</w:t>
      </w:r>
    </w:p>
    <w:p>
      <w:pPr>
        <w:spacing w:after="0" w:line="151" w:lineRule="exact"/>
        <w:rPr>
          <w:sz w:val="20"/>
          <w:szCs w:val="20"/>
          <w:color w:val="auto"/>
        </w:rPr>
      </w:pPr>
    </w:p>
    <w:p>
      <w:pPr>
        <w:ind w:left="640" w:right="20" w:firstLine="638"/>
        <w:spacing w:after="0" w:line="285" w:lineRule="auto"/>
        <w:tabs>
          <w:tab w:leader="none" w:pos="1909"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obligations of such Person for borrowed money and all obligations of such Person evidenced by bonds, debentures, notes, loan agreements or other similar instruments;</w:t>
      </w:r>
    </w:p>
    <w:p>
      <w:pPr>
        <w:spacing w:after="0" w:line="141" w:lineRule="exact"/>
        <w:rPr>
          <w:rFonts w:ascii="Times New Roman" w:cs="Times New Roman" w:eastAsia="Times New Roman" w:hAnsi="Times New Roman"/>
          <w:sz w:val="21"/>
          <w:szCs w:val="21"/>
          <w:color w:val="auto"/>
        </w:rPr>
      </w:pPr>
    </w:p>
    <w:p>
      <w:pPr>
        <w:ind w:left="640" w:firstLine="638"/>
        <w:spacing w:after="0" w:line="285" w:lineRule="auto"/>
        <w:tabs>
          <w:tab w:leader="none" w:pos="1907"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maximum amount of all direct or contingent obligations of such Person arising under letters of credit (including standby and commercial), bankers’ acceptances, bank guaranties, surety bonds and similar instruments;</w:t>
      </w:r>
    </w:p>
    <w:p>
      <w:pPr>
        <w:spacing w:after="0" w:line="141" w:lineRule="exact"/>
        <w:rPr>
          <w:rFonts w:ascii="Times New Roman" w:cs="Times New Roman" w:eastAsia="Times New Roman" w:hAnsi="Times New Roman"/>
          <w:sz w:val="21"/>
          <w:szCs w:val="21"/>
          <w:color w:val="auto"/>
        </w:rPr>
      </w:pPr>
    </w:p>
    <w:p>
      <w:pPr>
        <w:ind w:left="1920" w:hanging="642"/>
        <w:spacing w:after="0"/>
        <w:tabs>
          <w:tab w:leader="none" w:pos="1920"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net obligations of such Person under any Swap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40</w:t>
      </w:r>
    </w:p>
    <w:p>
      <w:pPr>
        <w:sectPr>
          <w:pgSz w:w="11900" w:h="16838" w:orient="portrait"/>
          <w:cols w:equalWidth="0" w:num="1">
            <w:col w:w="11240"/>
          </w:cols>
          <w:pgMar w:left="320" w:top="1397" w:right="339" w:bottom="1440" w:gutter="0" w:footer="0" w:header="0"/>
        </w:sectPr>
      </w:pPr>
    </w:p>
    <w:bookmarkStart w:id="146" w:name="page147"/>
    <w:bookmarkEnd w:id="146"/>
    <w:p>
      <w:pPr>
        <w:jc w:val="both"/>
        <w:ind w:left="640" w:firstLine="638"/>
        <w:spacing w:after="0" w:line="262" w:lineRule="auto"/>
        <w:tabs>
          <w:tab w:leader="none" w:pos="1907"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obligations of such Person to pay the deferred purchase price of property or services (other than (i) trade accounts payable in the ordinary course of business and not past due for more than 60 days after the date on which such trade account is due (unless being contested in good faith and by appropriate proceedings) and (ii) earn-outs, hold-backs and other deferred payment of consideration in Permitted Acquisitions to the extent not required to be reflected as liabilities on the balance sheet of the Borrower and its Restricted Subsidiaries in accordance with GAAP);</w:t>
      </w:r>
    </w:p>
    <w:p>
      <w:pPr>
        <w:spacing w:after="0" w:line="165" w:lineRule="exact"/>
        <w:rPr>
          <w:rFonts w:ascii="Times New Roman" w:cs="Times New Roman" w:eastAsia="Times New Roman" w:hAnsi="Times New Roman"/>
          <w:sz w:val="21"/>
          <w:szCs w:val="21"/>
          <w:color w:val="auto"/>
        </w:rPr>
      </w:pPr>
    </w:p>
    <w:p>
      <w:pPr>
        <w:jc w:val="both"/>
        <w:ind w:left="640" w:firstLine="638"/>
        <w:spacing w:after="0" w:line="267" w:lineRule="auto"/>
        <w:tabs>
          <w:tab w:leader="none" w:pos="1909"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spacing w:after="0" w:line="174" w:lineRule="exact"/>
        <w:rPr>
          <w:rFonts w:ascii="Times New Roman" w:cs="Times New Roman" w:eastAsia="Times New Roman" w:hAnsi="Times New Roman"/>
          <w:sz w:val="21"/>
          <w:szCs w:val="21"/>
          <w:color w:val="auto"/>
        </w:rPr>
      </w:pPr>
    </w:p>
    <w:p>
      <w:pPr>
        <w:ind w:left="1920" w:hanging="642"/>
        <w:spacing w:after="0"/>
        <w:tabs>
          <w:tab w:leader="none" w:pos="1920"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Capital Leases;</w:t>
      </w:r>
    </w:p>
    <w:p>
      <w:pPr>
        <w:spacing w:after="0" w:line="222" w:lineRule="exact"/>
        <w:rPr>
          <w:rFonts w:ascii="Times New Roman" w:cs="Times New Roman" w:eastAsia="Times New Roman" w:hAnsi="Times New Roman"/>
          <w:sz w:val="21"/>
          <w:szCs w:val="21"/>
          <w:color w:val="auto"/>
        </w:rPr>
      </w:pPr>
    </w:p>
    <w:p>
      <w:pPr>
        <w:jc w:val="both"/>
        <w:ind w:left="640" w:firstLine="638"/>
        <w:spacing w:after="0" w:line="267" w:lineRule="auto"/>
        <w:tabs>
          <w:tab w:leader="none" w:pos="1907"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all obligations of such Person in respect of Disqualified Equity Interests valued, in the case of a redeemable preferred interest that is a Disqualified Equity Interest, at the greater of its voluntary or involuntary liquidation preference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accrued and unpaid distributions or dividends; and</w:t>
      </w:r>
    </w:p>
    <w:p>
      <w:pPr>
        <w:spacing w:after="0" w:line="161" w:lineRule="exact"/>
        <w:rPr>
          <w:rFonts w:ascii="Times New Roman" w:cs="Times New Roman" w:eastAsia="Times New Roman" w:hAnsi="Times New Roman"/>
          <w:sz w:val="21"/>
          <w:szCs w:val="21"/>
          <w:color w:val="auto"/>
        </w:rPr>
      </w:pPr>
    </w:p>
    <w:p>
      <w:pPr>
        <w:ind w:left="1900" w:hanging="622"/>
        <w:spacing w:after="0"/>
        <w:tabs>
          <w:tab w:leader="none" w:pos="1900"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Guarantees of such Person in respect of any of the foregoing.</w:t>
      </w:r>
    </w:p>
    <w:p>
      <w:pPr>
        <w:spacing w:after="0" w:line="222" w:lineRule="exact"/>
        <w:rPr>
          <w:sz w:val="20"/>
          <w:szCs w:val="20"/>
          <w:color w:val="auto"/>
        </w:rPr>
      </w:pPr>
    </w:p>
    <w:p>
      <w:pPr>
        <w:jc w:val="both"/>
        <w:ind w:firstLine="636"/>
        <w:spacing w:after="0" w:line="257" w:lineRule="auto"/>
        <w:rPr>
          <w:sz w:val="20"/>
          <w:szCs w:val="20"/>
          <w:color w:val="auto"/>
        </w:rPr>
      </w:pPr>
      <w:r>
        <w:rPr>
          <w:rFonts w:ascii="Times New Roman" w:cs="Times New Roman" w:eastAsia="Times New Roman" w:hAnsi="Times New Roman"/>
          <w:sz w:val="21"/>
          <w:szCs w:val="21"/>
          <w:color w:val="auto"/>
        </w:rPr>
        <w:t>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The amount of any net obligation under any Swap Contract on any date shall be deemed to be the Swap Termination Value thereof as of such date. The amount of any Capital Lease as of any date shall be deemed to be the amount of Attributable Indebtedness in respect thereof as of such date. Notwithstanding the foregoing, in connection with the purchase or sale by the Borrower or its Restricted Subsidiaries of any assets or business, the term “Indebtedness” will exclude amounts owed to dissenting shareholders (including in connection with, or as a result of, exercise of dissenters’ or appraisal rights and the settlement of any claims or action (whether actual, contingent or potential)), pursuant to or in connection with a consolidation, amalgamation, merger or transfer of assets not prohibited by the applicable provisions of this Agreement.</w:t>
      </w:r>
    </w:p>
    <w:p>
      <w:pPr>
        <w:spacing w:after="0" w:line="16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Indemnified Liabilities</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10.04(b)</w:t>
      </w:r>
      <w:r>
        <w:rPr>
          <w:rFonts w:ascii="Times New Roman" w:cs="Times New Roman" w:eastAsia="Times New Roman" w:hAnsi="Times New Roman"/>
          <w:sz w:val="21"/>
          <w:szCs w:val="21"/>
          <w:color w:val="auto"/>
        </w:rPr>
        <w:t>.</w:t>
      </w:r>
    </w:p>
    <w:p>
      <w:pPr>
        <w:spacing w:after="0" w:line="236"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Indemnified Taxes</w:t>
      </w:r>
      <w:r>
        <w:rPr>
          <w:rFonts w:ascii="Times New Roman" w:cs="Times New Roman" w:eastAsia="Times New Roman" w:hAnsi="Times New Roman"/>
          <w:sz w:val="21"/>
          <w:szCs w:val="21"/>
          <w:color w:val="auto"/>
        </w:rPr>
        <w:t>” means (a) Taxes, other than Excluded Taxes, imposed on or with respect to any payment made by or on account of any obligation of any Loan Party under any Loan Document and (b) to the extent not otherwise described in clause (a), Other Taxes.</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Indemnitee</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10.04(b)</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jc w:val="both"/>
        <w:ind w:firstLine="636"/>
        <w:spacing w:after="0" w:line="28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Information</w:t>
      </w:r>
      <w:r>
        <w:rPr>
          <w:rFonts w:ascii="Times New Roman" w:cs="Times New Roman" w:eastAsia="Times New Roman" w:hAnsi="Times New Roman"/>
          <w:sz w:val="21"/>
          <w:szCs w:val="21"/>
          <w:color w:val="auto"/>
        </w:rPr>
        <w:t>” means all information received from the Borrower or any Subsidiary relating to the Borrower or any Subsidiary or any of their respective businesses other than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41</w:t>
      </w:r>
    </w:p>
    <w:p>
      <w:pPr>
        <w:sectPr>
          <w:pgSz w:w="11900" w:h="16838" w:orient="portrait"/>
          <w:cols w:equalWidth="0" w:num="1">
            <w:col w:w="11240"/>
          </w:cols>
          <w:pgMar w:left="320" w:top="1397" w:right="339" w:bottom="1440" w:gutter="0" w:footer="0" w:header="0"/>
        </w:sectPr>
      </w:pPr>
    </w:p>
    <w:bookmarkStart w:id="147" w:name="page148"/>
    <w:bookmarkEnd w:id="147"/>
    <w:p>
      <w:pPr>
        <w:jc w:val="both"/>
        <w:spacing w:after="0" w:line="285" w:lineRule="auto"/>
        <w:rPr>
          <w:sz w:val="20"/>
          <w:szCs w:val="20"/>
          <w:color w:val="auto"/>
        </w:rPr>
      </w:pPr>
      <w:r>
        <w:rPr>
          <w:rFonts w:ascii="Times New Roman" w:cs="Times New Roman" w:eastAsia="Times New Roman" w:hAnsi="Times New Roman"/>
          <w:sz w:val="21"/>
          <w:szCs w:val="21"/>
          <w:color w:val="auto"/>
        </w:rPr>
        <w:t>such information that is available to the Administrative Agent, any Lender or any L/C Issuer on a non-confidential basis prior to disclosure by the Borrower or any Subsidiary.</w:t>
      </w:r>
    </w:p>
    <w:p>
      <w:pPr>
        <w:spacing w:after="0" w:line="138" w:lineRule="exact"/>
        <w:rPr>
          <w:sz w:val="20"/>
          <w:szCs w:val="20"/>
          <w:color w:val="auto"/>
        </w:rPr>
      </w:pPr>
    </w:p>
    <w:p>
      <w:pPr>
        <w:jc w:val="both"/>
        <w:ind w:firstLine="636"/>
        <w:spacing w:after="0" w:line="30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Interest Election Request</w:t>
      </w:r>
      <w:r>
        <w:rPr>
          <w:rFonts w:ascii="Times New Roman" w:cs="Times New Roman" w:eastAsia="Times New Roman" w:hAnsi="Times New Roman"/>
          <w:sz w:val="21"/>
          <w:szCs w:val="21"/>
          <w:color w:val="auto"/>
        </w:rPr>
        <w:t xml:space="preserve">” means a request by the Borrower to convert or continue a Revolving Borrowing in accordance with </w:t>
      </w:r>
      <w:r>
        <w:rPr>
          <w:rFonts w:ascii="Times New Roman" w:cs="Times New Roman" w:eastAsia="Times New Roman" w:hAnsi="Times New Roman"/>
          <w:sz w:val="21"/>
          <w:szCs w:val="21"/>
          <w:u w:val="single" w:color="auto"/>
          <w:color w:val="auto"/>
        </w:rPr>
        <w:t>Section 2.02</w:t>
      </w:r>
      <w:r>
        <w:rPr>
          <w:rFonts w:ascii="Times New Roman" w:cs="Times New Roman" w:eastAsia="Times New Roman" w:hAnsi="Times New Roman"/>
          <w:sz w:val="21"/>
          <w:szCs w:val="21"/>
          <w:color w:val="auto"/>
        </w:rPr>
        <w:t>, which shall be substantially in the form of Exhibit C or any other form approved by the Administrative Agent.</w:t>
      </w:r>
    </w:p>
    <w:p>
      <w:pPr>
        <w:spacing w:after="0" w:line="121"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Interest Payment Date</w:t>
      </w:r>
      <w:r>
        <w:rPr>
          <w:rFonts w:ascii="Times New Roman" w:cs="Times New Roman" w:eastAsia="Times New Roman" w:hAnsi="Times New Roman"/>
          <w:sz w:val="21"/>
          <w:szCs w:val="21"/>
          <w:color w:val="auto"/>
        </w:rPr>
        <w:t>” means (a) with respect to any Base Rate Loan, (i) the last day of each March, June, September and December and (ii) the Maturity Date of the Facility under which such Loan was made, (b) with respect to any RFR Loan, (i) each date that is on the numerically corresponding day in each calendar month that is one month after the Borrowing of such Loan (or, if there is no such numerically corresponding day in such month, then the last day of such month) and (ii) the Maturity Date of the Facility under which such Loan was made, and (c) with respect to any Term SOFR Loan or any Eurodollar Rate Loans, (i) the last day of each Interest Period applicable to the Borrowing of which such Loan is a part and, in the case of a Term Benchmark Borrowing with an Interest Period of more than three months’ duration, each day prior to the last day of such Interest Period that occurs at intervals of three months’ duration after the first day of such Interest Period and (ii) the Maturity Date of the Facility under which such Loan was made.</w:t>
      </w:r>
    </w:p>
    <w:p>
      <w:pPr>
        <w:spacing w:after="0" w:line="173"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Interest Period</w:t>
      </w:r>
      <w:r>
        <w:rPr>
          <w:rFonts w:ascii="Times New Roman" w:cs="Times New Roman" w:eastAsia="Times New Roman" w:hAnsi="Times New Roman"/>
          <w:sz w:val="21"/>
          <w:szCs w:val="21"/>
          <w:color w:val="auto"/>
        </w:rPr>
        <w:t xml:space="preserve">” means with respect to any Term Benchmark Borrowing, the period commencing on the date of such Borrowing and ending on the numerically corresponding day in the calendar month that is one, three or six months thereafter, as the Borrower may elect;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(b)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(c) no tenor that has been removed from this definition pursuant to </w:t>
      </w:r>
      <w:r>
        <w:rPr>
          <w:rFonts w:ascii="Times New Roman" w:cs="Times New Roman" w:eastAsia="Times New Roman" w:hAnsi="Times New Roman"/>
          <w:sz w:val="21"/>
          <w:szCs w:val="21"/>
          <w:u w:val="single" w:color="auto"/>
          <w:color w:val="auto"/>
        </w:rPr>
        <w:t>Section 3.08</w:t>
      </w:r>
      <w:r>
        <w:rPr>
          <w:rFonts w:ascii="Times New Roman" w:cs="Times New Roman" w:eastAsia="Times New Roman" w:hAnsi="Times New Roman"/>
          <w:sz w:val="21"/>
          <w:szCs w:val="21"/>
          <w:color w:val="auto"/>
        </w:rPr>
        <w:t xml:space="preserve"> shall be available for specification in such Request for Credit Extension or Interest Election Request and (d) no Interest Period shall extend beyond the Maturity Date of the Facility under which such Loan was made. For purposes hereof, the date of a Borrowing initially shall be the date on which such Borrowing is made and, thereafter, shall be the effective date of the most recent conversion or continuation of such Borrowing.</w:t>
      </w:r>
    </w:p>
    <w:p>
      <w:pPr>
        <w:spacing w:after="0" w:line="188" w:lineRule="exact"/>
        <w:rPr>
          <w:sz w:val="20"/>
          <w:szCs w:val="20"/>
          <w:color w:val="auto"/>
        </w:rPr>
      </w:pPr>
    </w:p>
    <w:p>
      <w:pPr>
        <w:jc w:val="both"/>
        <w:ind w:firstLine="636"/>
        <w:spacing w:after="0" w:line="28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Interest Rate Determination Date</w:t>
      </w:r>
      <w:r>
        <w:rPr>
          <w:rFonts w:ascii="Times New Roman" w:cs="Times New Roman" w:eastAsia="Times New Roman" w:hAnsi="Times New Roman"/>
          <w:sz w:val="21"/>
          <w:szCs w:val="21"/>
          <w:color w:val="auto"/>
        </w:rPr>
        <w:t>” means, with respect to any Interest Period in respect of Eurodollar Rate Loans, the date that is two Business Days prior to the first day of such Interest Period.</w:t>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Investment</w:t>
      </w:r>
      <w:r>
        <w:rPr>
          <w:rFonts w:ascii="Times New Roman" w:cs="Times New Roman" w:eastAsia="Times New Roman" w:hAnsi="Times New Roman"/>
          <w:sz w:val="21"/>
          <w:szCs w:val="21"/>
          <w:color w:val="auto"/>
        </w:rPr>
        <w:t>” means, as to any Person, any direct or indirect acquisition or investment by such Person, whether by means of</w:t>
      </w:r>
    </w:p>
    <w:p>
      <w:pPr>
        <w:spacing w:after="0" w:line="38" w:lineRule="exact"/>
        <w:rPr>
          <w:sz w:val="20"/>
          <w:szCs w:val="20"/>
          <w:color w:val="auto"/>
        </w:rPr>
      </w:pPr>
    </w:p>
    <w:p>
      <w:pPr>
        <w:jc w:val="both"/>
        <w:ind w:firstLine="6"/>
        <w:spacing w:after="0" w:line="255" w:lineRule="auto"/>
        <w:tabs>
          <w:tab w:leader="none" w:pos="295"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purchase or other acquisition of Equity Interests of another Person, (b) the purchase or other acquisition of assets of another Person if such assets constitute a business, division or operating unit (other than purchases or other acquisitions of inventory, materials, supplies and/or equipment in the ordinary course of business), (c) a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42</w:t>
      </w:r>
    </w:p>
    <w:p>
      <w:pPr>
        <w:sectPr>
          <w:pgSz w:w="11900" w:h="16838" w:orient="portrait"/>
          <w:cols w:equalWidth="0" w:num="1">
            <w:col w:w="11240"/>
          </w:cols>
          <w:pgMar w:left="320" w:top="1397" w:right="339" w:bottom="1440" w:gutter="0" w:footer="0" w:header="0"/>
        </w:sectPr>
      </w:pPr>
    </w:p>
    <w:bookmarkStart w:id="148" w:name="page149"/>
    <w:bookmarkEnd w:id="148"/>
    <w:p>
      <w:pPr>
        <w:jc w:val="both"/>
        <w:spacing w:after="0" w:line="266" w:lineRule="auto"/>
        <w:rPr>
          <w:sz w:val="20"/>
          <w:szCs w:val="20"/>
          <w:color w:val="auto"/>
        </w:rPr>
      </w:pPr>
      <w:r>
        <w:rPr>
          <w:rFonts w:ascii="Times New Roman" w:cs="Times New Roman" w:eastAsia="Times New Roman" w:hAnsi="Times New Roman"/>
          <w:sz w:val="21"/>
          <w:szCs w:val="21"/>
          <w:color w:val="auto"/>
        </w:rPr>
        <w:t>advance or capital contribution to, Guarantee or assumption of Indebtedness of, or purchase or other acquisition of any other debt or interest in, another Person, or (d) the purchase or other acquisition (in one transaction or a series of transactions) of assets of another Person that constitute a business unit. For purposes of covenant compliance, the amount of any Investment shall be the amount actually invested, without adjustment for subsequent increases or decreases in the value of such Investment.</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IP Rights</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5.16</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IRS</w:t>
      </w:r>
      <w:r>
        <w:rPr>
          <w:rFonts w:ascii="Times New Roman" w:cs="Times New Roman" w:eastAsia="Times New Roman" w:hAnsi="Times New Roman"/>
          <w:sz w:val="21"/>
          <w:szCs w:val="21"/>
          <w:color w:val="auto"/>
        </w:rPr>
        <w:t>” means the United States Internal Revenue Service.</w:t>
      </w:r>
    </w:p>
    <w:p>
      <w:pPr>
        <w:spacing w:after="0" w:line="222" w:lineRule="exact"/>
        <w:rPr>
          <w:sz w:val="20"/>
          <w:szCs w:val="20"/>
          <w:color w:val="auto"/>
        </w:rPr>
      </w:pPr>
    </w:p>
    <w:p>
      <w:pPr>
        <w:jc w:val="both"/>
        <w:ind w:firstLine="636"/>
        <w:spacing w:after="0" w:line="28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ISP</w:t>
      </w:r>
      <w:r>
        <w:rPr>
          <w:rFonts w:ascii="Times New Roman" w:cs="Times New Roman" w:eastAsia="Times New Roman" w:hAnsi="Times New Roman"/>
          <w:sz w:val="21"/>
          <w:szCs w:val="21"/>
          <w:color w:val="auto"/>
        </w:rPr>
        <w:t>” means, with respect to any Letter of Credit, the International Standby Practices, International Chamber of Commerce Publication No. 590.</w:t>
      </w:r>
    </w:p>
    <w:p>
      <w:pPr>
        <w:spacing w:after="0" w:line="147"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Issuer Documents</w:t>
      </w:r>
      <w:r>
        <w:rPr>
          <w:rFonts w:ascii="Times New Roman" w:cs="Times New Roman" w:eastAsia="Times New Roman" w:hAnsi="Times New Roman"/>
          <w:sz w:val="21"/>
          <w:szCs w:val="21"/>
          <w:color w:val="auto"/>
        </w:rPr>
        <w:t>” means with respect to any Letter of Credit, the Letter of Credit Application and any other document, agreement or instrument entered into by the applicable L/C Issuer and the Borrower (or any Restricted Subsidiary) or in favor of such L/C Issuer relating to such Letter of Credit.</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Joinder Agreement</w:t>
      </w:r>
      <w:r>
        <w:rPr>
          <w:rFonts w:ascii="Times New Roman" w:cs="Times New Roman" w:eastAsia="Times New Roman" w:hAnsi="Times New Roman"/>
          <w:sz w:val="21"/>
          <w:szCs w:val="21"/>
          <w:color w:val="auto"/>
        </w:rPr>
        <w:t xml:space="preserve">” means an agreement substantially in the form of </w:t>
      </w:r>
      <w:r>
        <w:rPr>
          <w:rFonts w:ascii="Times New Roman" w:cs="Times New Roman" w:eastAsia="Times New Roman" w:hAnsi="Times New Roman"/>
          <w:sz w:val="21"/>
          <w:szCs w:val="21"/>
          <w:u w:val="single" w:color="auto"/>
          <w:color w:val="auto"/>
        </w:rPr>
        <w:t>Exhibit F</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Judgment Currency</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10.20</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jc w:val="both"/>
        <w:ind w:firstLine="636"/>
        <w:spacing w:after="0" w:line="30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Junior Lien Intercreditor Agreement</w:t>
      </w:r>
      <w:r>
        <w:rPr>
          <w:rFonts w:ascii="Times New Roman" w:cs="Times New Roman" w:eastAsia="Times New Roman" w:hAnsi="Times New Roman"/>
          <w:sz w:val="21"/>
          <w:szCs w:val="21"/>
          <w:color w:val="auto"/>
        </w:rPr>
        <w:t xml:space="preserve">” means an intercreditor agreement among the Administrative Agent and the other parties from time to time party thereto, substantially in the form of </w:t>
      </w:r>
      <w:r>
        <w:rPr>
          <w:rFonts w:ascii="Times New Roman" w:cs="Times New Roman" w:eastAsia="Times New Roman" w:hAnsi="Times New Roman"/>
          <w:sz w:val="21"/>
          <w:szCs w:val="21"/>
          <w:u w:val="single" w:color="auto"/>
          <w:color w:val="auto"/>
        </w:rPr>
        <w:t>Exhibit J</w:t>
      </w:r>
      <w:r>
        <w:rPr>
          <w:rFonts w:ascii="Times New Roman" w:cs="Times New Roman" w:eastAsia="Times New Roman" w:hAnsi="Times New Roman"/>
          <w:sz w:val="21"/>
          <w:szCs w:val="21"/>
          <w:color w:val="auto"/>
        </w:rPr>
        <w:t>.</w:t>
      </w:r>
    </w:p>
    <w:p>
      <w:pPr>
        <w:spacing w:after="0" w:line="121" w:lineRule="exact"/>
        <w:rPr>
          <w:sz w:val="20"/>
          <w:szCs w:val="20"/>
          <w:color w:val="auto"/>
        </w:rPr>
      </w:pPr>
    </w:p>
    <w:p>
      <w:pPr>
        <w:jc w:val="both"/>
        <w:ind w:firstLine="636"/>
        <w:spacing w:after="0" w:line="28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L/C Advance</w:t>
      </w:r>
      <w:r>
        <w:rPr>
          <w:rFonts w:ascii="Times New Roman" w:cs="Times New Roman" w:eastAsia="Times New Roman" w:hAnsi="Times New Roman"/>
          <w:sz w:val="21"/>
          <w:szCs w:val="21"/>
          <w:color w:val="auto"/>
        </w:rPr>
        <w:t>” means, with respect to each Revolving Credit Lender, such Lender’s funding of its participation in any L/C Borrowing in accordance with its Applicable Revolving Credit Percentage.</w:t>
      </w:r>
    </w:p>
    <w:p>
      <w:pPr>
        <w:spacing w:after="0" w:line="134" w:lineRule="exact"/>
        <w:rPr>
          <w:sz w:val="20"/>
          <w:szCs w:val="20"/>
          <w:color w:val="auto"/>
        </w:rPr>
      </w:pPr>
    </w:p>
    <w:p>
      <w:pPr>
        <w:jc w:val="both"/>
        <w:ind w:firstLine="636"/>
        <w:spacing w:after="0" w:line="28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L/C Borrowing</w:t>
      </w:r>
      <w:r>
        <w:rPr>
          <w:rFonts w:ascii="Times New Roman" w:cs="Times New Roman" w:eastAsia="Times New Roman" w:hAnsi="Times New Roman"/>
          <w:sz w:val="21"/>
          <w:szCs w:val="21"/>
          <w:color w:val="auto"/>
        </w:rPr>
        <w:t>” means an extension of credit resulting from a drawing under any Letter of Credit which has not been reimbursed on the date when made or refinanced as a Revolving Credit Borrowing.</w:t>
      </w:r>
    </w:p>
    <w:p>
      <w:pPr>
        <w:spacing w:after="0" w:line="147" w:lineRule="exact"/>
        <w:rPr>
          <w:sz w:val="20"/>
          <w:szCs w:val="20"/>
          <w:color w:val="auto"/>
        </w:rPr>
      </w:pPr>
    </w:p>
    <w:p>
      <w:pPr>
        <w:jc w:val="both"/>
        <w:ind w:firstLine="636"/>
        <w:spacing w:after="0" w:line="28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L/C Credit Extension</w:t>
      </w:r>
      <w:r>
        <w:rPr>
          <w:rFonts w:ascii="Times New Roman" w:cs="Times New Roman" w:eastAsia="Times New Roman" w:hAnsi="Times New Roman"/>
          <w:sz w:val="21"/>
          <w:szCs w:val="21"/>
          <w:color w:val="auto"/>
        </w:rPr>
        <w:t>” means, with respect to any Letter of Credit, the issuance thereof or extension of the expiry date thereof, or the increase of the amount thereof.</w:t>
      </w:r>
    </w:p>
    <w:p>
      <w:pPr>
        <w:spacing w:after="0" w:line="134"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L/C Issuer</w:t>
      </w:r>
      <w:r>
        <w:rPr>
          <w:rFonts w:ascii="Times New Roman" w:cs="Times New Roman" w:eastAsia="Times New Roman" w:hAnsi="Times New Roman"/>
          <w:sz w:val="21"/>
          <w:szCs w:val="21"/>
          <w:color w:val="auto"/>
        </w:rPr>
        <w:t xml:space="preserve">” means (a) with respect to Letters of Credit (other than any Bank Guarantee) issued hereunder on or after the </w:t>
      </w:r>
      <w:r>
        <w:rPr>
          <w:rFonts w:ascii="Times New Roman" w:cs="Times New Roman" w:eastAsia="Times New Roman" w:hAnsi="Times New Roman"/>
          <w:sz w:val="21"/>
          <w:szCs w:val="21"/>
          <w:b w:val="1"/>
          <w:bCs w:val="1"/>
          <w:color w:val="FF0000"/>
          <w:strike w:val="1"/>
        </w:rPr>
        <w:t>Closing</w:t>
      </w:r>
      <w:r>
        <w:rPr>
          <w:rFonts w:ascii="Times New Roman" w:cs="Times New Roman" w:eastAsia="Times New Roman" w:hAnsi="Times New Roman"/>
          <w:sz w:val="21"/>
          <w:szCs w:val="21"/>
          <w:b w:val="1"/>
          <w:bCs w:val="1"/>
          <w:u w:val="single" w:color="auto"/>
          <w:color w:val="0000FF"/>
        </w:rPr>
        <w:t>First Amendment Effective</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color w:val="000000"/>
        </w:rPr>
        <w:t>Date, (i) JPMorgan Chase Bank, N.A., (ii) any other Revolving Credit Lender that may</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color w:val="000000"/>
        </w:rPr>
        <w:t xml:space="preserve">become and agrees to become an L/C Issuer pursuant to </w:t>
      </w:r>
      <w:r>
        <w:rPr>
          <w:rFonts w:ascii="Times New Roman" w:cs="Times New Roman" w:eastAsia="Times New Roman" w:hAnsi="Times New Roman"/>
          <w:sz w:val="21"/>
          <w:szCs w:val="21"/>
          <w:u w:val="single" w:color="auto"/>
          <w:color w:val="000000"/>
        </w:rPr>
        <w:t>Section 2.03(l)</w:t>
      </w:r>
      <w:r>
        <w:rPr>
          <w:rFonts w:ascii="Times New Roman" w:cs="Times New Roman" w:eastAsia="Times New Roman" w:hAnsi="Times New Roman"/>
          <w:sz w:val="21"/>
          <w:szCs w:val="21"/>
          <w:color w:val="000000"/>
        </w:rPr>
        <w:t>, (iii) any successor issuer of Letters of Credit hereunder or</w:t>
      </w:r>
    </w:p>
    <w:p>
      <w:pPr>
        <w:spacing w:after="0" w:line="3" w:lineRule="exact"/>
        <w:rPr>
          <w:sz w:val="20"/>
          <w:szCs w:val="20"/>
          <w:color w:val="auto"/>
        </w:rPr>
      </w:pPr>
    </w:p>
    <w:p>
      <w:pPr>
        <w:jc w:val="both"/>
        <w:ind w:firstLine="6"/>
        <w:spacing w:after="0" w:line="257" w:lineRule="auto"/>
        <w:tabs>
          <w:tab w:leader="none" w:pos="376"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collectively, all of the foregoing, in each case, in their respective capacities as an issuer thereof and (b) with respect to Bank Guarantees, any Bank Guarantee Issuer. It is understood and agreed that each L/C Issuer’s and its respective Affiliates’ share of the Letter of Credit Sublimit shall not exceed the amount set forth opposite such L/C Issuer’s name on </w:t>
      </w:r>
      <w:r>
        <w:rPr>
          <w:rFonts w:ascii="Times New Roman" w:cs="Times New Roman" w:eastAsia="Times New Roman" w:hAnsi="Times New Roman"/>
          <w:sz w:val="21"/>
          <w:szCs w:val="21"/>
          <w:u w:val="single" w:color="auto"/>
          <w:color w:val="auto"/>
        </w:rPr>
        <w:t>Schedule 2.01</w:t>
      </w:r>
      <w:r>
        <w:rPr>
          <w:rFonts w:ascii="Times New Roman" w:cs="Times New Roman" w:eastAsia="Times New Roman" w:hAnsi="Times New Roman"/>
          <w:sz w:val="21"/>
          <w:szCs w:val="21"/>
          <w:color w:val="auto"/>
        </w:rPr>
        <w:t xml:space="preserve"> (as such Schedule may be amended with the consent of each affected L/C Issuer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43</w:t>
      </w:r>
    </w:p>
    <w:p>
      <w:pPr>
        <w:sectPr>
          <w:pgSz w:w="11900" w:h="16838" w:orient="portrait"/>
          <w:cols w:equalWidth="0" w:num="1">
            <w:col w:w="11240"/>
          </w:cols>
          <w:pgMar w:left="320" w:top="1397" w:right="339" w:bottom="1440" w:gutter="0" w:footer="0" w:header="0"/>
        </w:sectPr>
      </w:pPr>
    </w:p>
    <w:bookmarkStart w:id="149" w:name="page150"/>
    <w:bookmarkEnd w:id="149"/>
    <w:p>
      <w:pPr>
        <w:jc w:val="both"/>
        <w:spacing w:after="0" w:line="267" w:lineRule="auto"/>
        <w:rPr>
          <w:sz w:val="20"/>
          <w:szCs w:val="20"/>
          <w:color w:val="auto"/>
        </w:rPr>
      </w:pPr>
      <w:r>
        <w:rPr>
          <w:rFonts w:ascii="Times New Roman" w:cs="Times New Roman" w:eastAsia="Times New Roman" w:hAnsi="Times New Roman"/>
          <w:sz w:val="21"/>
          <w:szCs w:val="21"/>
          <w:color w:val="auto"/>
        </w:rPr>
        <w:t xml:space="preserve">Borrower from time to time) under the caption “Letter of Credit Commitments” and no L/C Issuer shall be required to issue Letters of Credit in excess of its applicable amount so set forth;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it is understood and agreed that each L/C Issuer may, in its sole discretion, make L/C Credit Extensions in an aggregate amount above its respective share of the Letter of Credit Sublimit.</w:t>
      </w:r>
    </w:p>
    <w:p>
      <w:pPr>
        <w:spacing w:after="0" w:line="171" w:lineRule="exact"/>
        <w:rPr>
          <w:sz w:val="20"/>
          <w:szCs w:val="20"/>
          <w:color w:val="auto"/>
        </w:rPr>
      </w:pPr>
    </w:p>
    <w:p>
      <w:pPr>
        <w:jc w:val="both"/>
        <w:ind w:firstLine="636"/>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L/C Obligations</w:t>
      </w:r>
      <w:r>
        <w:rPr>
          <w:rFonts w:ascii="Times New Roman" w:cs="Times New Roman" w:eastAsia="Times New Roman" w:hAnsi="Times New Roman"/>
          <w:sz w:val="21"/>
          <w:szCs w:val="21"/>
          <w:color w:val="auto"/>
        </w:rPr>
        <w:t xml:space="preserve">” means, as at any date of determination, (i) the aggregate amount available to be drawn under all outstanding Letters of Credit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(ii) the aggregate of all Unreimbursed Amounts, including all L/C Borrowings, in each case, using the U.S. Dollar Equivalent of amounts denominated in an Alternative Currency. For purposes of computing the amount available to be drawn under any Letter of Credit, the amount of such Letter of Credit shall be determined in accordance with </w:t>
      </w:r>
      <w:r>
        <w:rPr>
          <w:rFonts w:ascii="Times New Roman" w:cs="Times New Roman" w:eastAsia="Times New Roman" w:hAnsi="Times New Roman"/>
          <w:sz w:val="21"/>
          <w:szCs w:val="21"/>
          <w:u w:val="single" w:color="auto"/>
          <w:color w:val="auto"/>
        </w:rPr>
        <w:t>Section 1.06</w:t>
      </w:r>
      <w:r>
        <w:rPr>
          <w:rFonts w:ascii="Times New Roman" w:cs="Times New Roman" w:eastAsia="Times New Roman" w:hAnsi="Times New Roman"/>
          <w:sz w:val="21"/>
          <w:szCs w:val="21"/>
          <w:color w:val="auto"/>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70" w:lineRule="exact"/>
        <w:rPr>
          <w:sz w:val="20"/>
          <w:szCs w:val="20"/>
          <w:color w:val="auto"/>
        </w:rPr>
      </w:pPr>
    </w:p>
    <w:p>
      <w:pPr>
        <w:jc w:val="both"/>
        <w:ind w:firstLine="636"/>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Latest Maturity Date</w:t>
      </w:r>
      <w:r>
        <w:rPr>
          <w:rFonts w:ascii="Times New Roman" w:cs="Times New Roman" w:eastAsia="Times New Roman" w:hAnsi="Times New Roman"/>
          <w:sz w:val="21"/>
          <w:szCs w:val="21"/>
          <w:color w:val="auto"/>
        </w:rPr>
        <w:t>” means, at any date of determination, the latest Maturity Date applicable to any Loan or Commitment hereunder at such time, including the latest maturity date of any Refinancing Term Loan, any Refinancing Term Commitment, any Incremental Term Loans, any Incremental Revolving Credit Commitments or any Other Revolving Commitments, in each case as extended in accordance with this Agreement from time to time.</w:t>
      </w:r>
    </w:p>
    <w:p>
      <w:pPr>
        <w:spacing w:after="0" w:line="174"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Laws</w:t>
      </w:r>
      <w:r>
        <w:rPr>
          <w:rFonts w:ascii="Times New Roman" w:cs="Times New Roman" w:eastAsia="Times New Roman" w:hAnsi="Times New Roman"/>
          <w:sz w:val="21"/>
          <w:szCs w:val="21"/>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81"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LCA Election</w:t>
      </w:r>
      <w:r>
        <w:rPr>
          <w:rFonts w:ascii="Times New Roman" w:cs="Times New Roman" w:eastAsia="Times New Roman" w:hAnsi="Times New Roman"/>
          <w:sz w:val="21"/>
          <w:szCs w:val="21"/>
          <w:color w:val="auto"/>
        </w:rPr>
        <w:t>” means the Borrower’s election to treat a specified Investment that is an acquisition or in the nature of an acquisition (including a Permitted Acquisition) as a Limited Condition Acquisition by giving written notice of such election to the Administrative Agent at any time prior to the closing of such Limited Condition Acquisition.</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LCA Test Date</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1.09(c)</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jc w:val="both"/>
        <w:ind w:right="20" w:firstLine="636"/>
        <w:spacing w:after="0" w:line="30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Legal Engagement Letter</w:t>
      </w:r>
      <w:r>
        <w:rPr>
          <w:rFonts w:ascii="Times New Roman" w:cs="Times New Roman" w:eastAsia="Times New Roman" w:hAnsi="Times New Roman"/>
          <w:sz w:val="21"/>
          <w:szCs w:val="21"/>
          <w:color w:val="auto"/>
        </w:rPr>
        <w:t>” means that certain legal engagement letter dated as of March 10, 2022 by and between Post and the Borrower, as amended, modified, supplemented, restated or replaced from time to time.</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Lender</w:t>
      </w:r>
      <w:r>
        <w:rPr>
          <w:rFonts w:ascii="Times New Roman" w:cs="Times New Roman" w:eastAsia="Times New Roman" w:hAnsi="Times New Roman"/>
          <w:sz w:val="21"/>
          <w:szCs w:val="21"/>
          <w:color w:val="auto"/>
        </w:rPr>
        <w:t>” has the meaning specified in the introductory paragraph hereto.</w:t>
      </w:r>
    </w:p>
    <w:p>
      <w:pPr>
        <w:spacing w:after="0" w:line="222"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Lending Office</w:t>
      </w:r>
      <w:r>
        <w:rPr>
          <w:rFonts w:ascii="Times New Roman" w:cs="Times New Roman" w:eastAsia="Times New Roman" w:hAnsi="Times New Roman"/>
          <w:sz w:val="21"/>
          <w:szCs w:val="21"/>
          <w:color w:val="auto"/>
        </w:rPr>
        <w:t>” means, as to any Lender, the office or offices of such Lender described as such in such Lender’s Administrative Questionnaire, or such other office or offices as a Lender may from time to time notify the Borrower and the Administrative Agent, which office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44</w:t>
      </w:r>
    </w:p>
    <w:p>
      <w:pPr>
        <w:sectPr>
          <w:pgSz w:w="11900" w:h="16838" w:orient="portrait"/>
          <w:cols w:equalWidth="0" w:num="1">
            <w:col w:w="11240"/>
          </w:cols>
          <w:pgMar w:left="320" w:top="1397"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21"/>
          <w:szCs w:val="21"/>
          <w:color w:val="auto"/>
        </w:rPr>
        <w:t>may include any Affiliate of such Lender or any domestic or foreign branch of such Lender or such Affiliate.</w:t>
      </w:r>
    </w:p>
    <w:p>
      <w:pPr>
        <w:spacing w:after="0" w:line="2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Letter of Credit</w:t>
      </w:r>
      <w:r>
        <w:rPr>
          <w:rFonts w:ascii="Times New Roman" w:cs="Times New Roman" w:eastAsia="Times New Roman" w:hAnsi="Times New Roman"/>
          <w:sz w:val="21"/>
          <w:szCs w:val="21"/>
          <w:color w:val="auto"/>
        </w:rPr>
        <w:t>” means any standby letter of credit or any Bank Guarantee issued hereunder.</w:t>
      </w:r>
    </w:p>
    <w:p>
      <w:pPr>
        <w:spacing w:after="0" w:line="222" w:lineRule="exact"/>
        <w:rPr>
          <w:sz w:val="20"/>
          <w:szCs w:val="20"/>
          <w:color w:val="auto"/>
        </w:rPr>
      </w:pPr>
    </w:p>
    <w:p>
      <w:pPr>
        <w:jc w:val="both"/>
        <w:ind w:firstLine="636"/>
        <w:spacing w:after="0" w:line="30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Letter of Credit Application</w:t>
      </w:r>
      <w:r>
        <w:rPr>
          <w:rFonts w:ascii="Times New Roman" w:cs="Times New Roman" w:eastAsia="Times New Roman" w:hAnsi="Times New Roman"/>
          <w:sz w:val="21"/>
          <w:szCs w:val="21"/>
          <w:color w:val="auto"/>
        </w:rPr>
        <w:t>” means an application and agreement for the issuance or amendment of a Letter of Credit in the form from time to time in use by the applicable L/C Issuer.</w:t>
      </w:r>
    </w:p>
    <w:p>
      <w:pPr>
        <w:spacing w:after="0" w:line="121" w:lineRule="exact"/>
        <w:rPr>
          <w:sz w:val="20"/>
          <w:szCs w:val="20"/>
          <w:color w:val="auto"/>
        </w:rPr>
      </w:pPr>
    </w:p>
    <w:p>
      <w:pPr>
        <w:jc w:val="both"/>
        <w:ind w:firstLine="636"/>
        <w:spacing w:after="0" w:line="28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Letter of Credit Expiration Date</w:t>
      </w:r>
      <w:r>
        <w:rPr>
          <w:rFonts w:ascii="Times New Roman" w:cs="Times New Roman" w:eastAsia="Times New Roman" w:hAnsi="Times New Roman"/>
          <w:sz w:val="21"/>
          <w:szCs w:val="21"/>
          <w:color w:val="auto"/>
        </w:rPr>
        <w:t>” means the day that is seven days prior to the Maturity Date then in effect for the applicable Revolving Credit Facility (or, if such day is not a Business Day, the next preceding Business Day).</w:t>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Letter of Credit Fee</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2.03(h)</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Letter of Credit Sublimit</w:t>
      </w:r>
      <w:r>
        <w:rPr>
          <w:rFonts w:ascii="Times New Roman" w:cs="Times New Roman" w:eastAsia="Times New Roman" w:hAnsi="Times New Roman"/>
          <w:sz w:val="21"/>
          <w:szCs w:val="21"/>
          <w:color w:val="auto"/>
        </w:rPr>
        <w:t>” means an amount equal to $20,000,000</w:t>
      </w:r>
      <w:r>
        <w:rPr>
          <w:rFonts w:ascii="Times New Roman" w:cs="Times New Roman" w:eastAsia="Times New Roman" w:hAnsi="Times New Roman"/>
          <w:sz w:val="21"/>
          <w:szCs w:val="21"/>
          <w:b w:val="1"/>
          <w:bCs w:val="1"/>
          <w:u w:val="single" w:color="auto"/>
          <w:color w:val="0000FF"/>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u w:val="single" w:color="auto"/>
          <w:color w:val="0000FF"/>
          <w:highlight w:val="white"/>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0000FF"/>
        </w:rPr>
        <w:t>that, for the avoidance of doubt,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-132715</wp:posOffset>
            </wp:positionV>
            <wp:extent cx="2300605" cy="1428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7">
                      <a:extLst>
                        <a:ext uri="{28A0092B-C50C-407E-A947-70E740481C1C}"/>
                      </a:extLst>
                    </a:blip>
                    <a:srcRect/>
                    <a:stretch>
                      <a:fillRect/>
                    </a:stretch>
                  </pic:blipFill>
                  <pic:spPr bwMode="auto">
                    <a:xfrm>
                      <a:off x="0" y="0"/>
                      <a:ext cx="2300605" cy="142875"/>
                    </a:xfrm>
                    <a:prstGeom prst="rect">
                      <a:avLst/>
                    </a:prstGeom>
                    <a:noFill/>
                  </pic:spPr>
                </pic:pic>
              </a:graphicData>
            </a:graphic>
          </wp:anchor>
        </w:drawing>
      </w:r>
    </w:p>
    <w:p>
      <w:pPr>
        <w:spacing w:after="0" w:line="19"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1"/>
          <w:szCs w:val="21"/>
          <w:b w:val="1"/>
          <w:bCs w:val="1"/>
          <w:u w:val="single" w:color="auto"/>
          <w:color w:val="0000FF"/>
        </w:rPr>
        <w:t>Issuing Bank may, in its sole discretion, issue letters of credit in an aggregate amount above its respective share of the letter of credit sublimit</w:t>
      </w:r>
      <w:r>
        <w:rPr>
          <w:rFonts w:ascii="Times New Roman" w:cs="Times New Roman" w:eastAsia="Times New Roman" w:hAnsi="Times New Roman"/>
          <w:sz w:val="21"/>
          <w:szCs w:val="21"/>
          <w:color w:val="000000"/>
        </w:rPr>
        <w:t>. The Letter of Credit Sublimit is part of, and not in addition to, the Revolving Credit Facilities.</w:t>
      </w:r>
    </w:p>
    <w:p>
      <w:pPr>
        <w:spacing w:after="0" w:line="150" w:lineRule="exact"/>
        <w:rPr>
          <w:sz w:val="20"/>
          <w:szCs w:val="20"/>
          <w:color w:val="auto"/>
        </w:rPr>
      </w:pPr>
    </w:p>
    <w:p>
      <w:pPr>
        <w:jc w:val="both"/>
        <w:ind w:firstLine="636"/>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Lien</w:t>
      </w:r>
      <w:r>
        <w:rPr>
          <w:rFonts w:ascii="Times New Roman" w:cs="Times New Roman" w:eastAsia="Times New Roman" w:hAnsi="Times New Roman"/>
          <w:sz w:val="21"/>
          <w:szCs w:val="21"/>
          <w:color w:val="auto"/>
        </w:rPr>
        <w:t>” means any mortgage, pledge, hypothecation, assignment, deposit arrangement, encumbrance, lien (statutory or other),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spacing w:after="0" w:line="200" w:lineRule="exact"/>
        <w:rPr>
          <w:sz w:val="20"/>
          <w:szCs w:val="20"/>
          <w:color w:val="auto"/>
        </w:rPr>
      </w:pPr>
    </w:p>
    <w:p>
      <w:pPr>
        <w:spacing w:after="0" w:line="221" w:lineRule="exact"/>
        <w:rPr>
          <w:sz w:val="20"/>
          <w:szCs w:val="20"/>
          <w:color w:val="auto"/>
        </w:rPr>
      </w:pPr>
    </w:p>
    <w:p>
      <w:pPr>
        <w:jc w:val="both"/>
        <w:ind w:firstLine="636"/>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Limited Condition Acquisition</w:t>
      </w:r>
      <w:r>
        <w:rPr>
          <w:rFonts w:ascii="Times New Roman" w:cs="Times New Roman" w:eastAsia="Times New Roman" w:hAnsi="Times New Roman"/>
          <w:sz w:val="21"/>
          <w:szCs w:val="21"/>
          <w:color w:val="auto"/>
        </w:rPr>
        <w:t>” means any Permitted Acquisition, or other Investment in the nature of an acquisition, by the Borrower or one or more of its Restricted Subsidiaries whose consummation is not, by the terms of the applicable purchase, sale, joint venture, merger or any other definitive agreement with respect to such Permitted Acquisition or other Investment, conditioned on the availability of, or on obtaining, third party financing.</w:t>
      </w:r>
    </w:p>
    <w:p>
      <w:pPr>
        <w:spacing w:after="0" w:line="174" w:lineRule="exact"/>
        <w:rPr>
          <w:sz w:val="20"/>
          <w:szCs w:val="20"/>
          <w:color w:val="auto"/>
        </w:rPr>
      </w:pPr>
    </w:p>
    <w:p>
      <w:pPr>
        <w:jc w:val="both"/>
        <w:ind w:firstLine="636"/>
        <w:spacing w:after="0" w:line="28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Loan</w:t>
      </w:r>
      <w:r>
        <w:rPr>
          <w:rFonts w:ascii="Times New Roman" w:cs="Times New Roman" w:eastAsia="Times New Roman" w:hAnsi="Times New Roman"/>
          <w:sz w:val="21"/>
          <w:szCs w:val="21"/>
          <w:color w:val="auto"/>
        </w:rPr>
        <w:t>” means an extension of credit by a Lender to the Borrower hereunder in the form of a Term Loan or a Revolving Credit Loan.</w:t>
      </w:r>
    </w:p>
    <w:p>
      <w:pPr>
        <w:spacing w:after="0" w:line="134" w:lineRule="exact"/>
        <w:rPr>
          <w:sz w:val="20"/>
          <w:szCs w:val="20"/>
          <w:color w:val="auto"/>
        </w:rPr>
      </w:pPr>
    </w:p>
    <w:p>
      <w:pPr>
        <w:jc w:val="both"/>
        <w:ind w:firstLine="636"/>
        <w:spacing w:after="0" w:line="26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Loan Documents</w:t>
      </w:r>
      <w:r>
        <w:rPr>
          <w:rFonts w:ascii="Times New Roman" w:cs="Times New Roman" w:eastAsia="Times New Roman" w:hAnsi="Times New Roman"/>
          <w:sz w:val="21"/>
          <w:szCs w:val="21"/>
          <w:color w:val="auto"/>
        </w:rPr>
        <w:t xml:space="preserve">” means this Agreement, </w:t>
      </w:r>
      <w:r>
        <w:rPr>
          <w:rFonts w:ascii="Times New Roman" w:cs="Times New Roman" w:eastAsia="Times New Roman" w:hAnsi="Times New Roman"/>
          <w:sz w:val="21"/>
          <w:szCs w:val="21"/>
          <w:b w:val="1"/>
          <w:bCs w:val="1"/>
          <w:u w:val="single" w:color="auto"/>
          <w:color w:val="0000FF"/>
        </w:rPr>
        <w:t>the First Amendment,</w:t>
      </w:r>
      <w:r>
        <w:rPr>
          <w:rFonts w:ascii="Times New Roman" w:cs="Times New Roman" w:eastAsia="Times New Roman" w:hAnsi="Times New Roman"/>
          <w:sz w:val="21"/>
          <w:szCs w:val="21"/>
          <w:color w:val="auto"/>
        </w:rPr>
        <w:t xml:space="preserve"> each Note, each Issuer Document, the Collateral Documents, the Pari Passu Intercreditor Agreement, the Junior Lien Intercreditor Agreement, the Fee Letter, each agreement creating or perfecting rights in Cash Collateral pursuant to the provisions of </w:t>
      </w:r>
      <w:r>
        <w:rPr>
          <w:rFonts w:ascii="Times New Roman" w:cs="Times New Roman" w:eastAsia="Times New Roman" w:hAnsi="Times New Roman"/>
          <w:sz w:val="21"/>
          <w:szCs w:val="21"/>
          <w:u w:val="single" w:color="auto"/>
          <w:color w:val="auto"/>
        </w:rPr>
        <w:t>Section 2.15</w:t>
      </w:r>
      <w:r>
        <w:rPr>
          <w:rFonts w:ascii="Times New Roman" w:cs="Times New Roman" w:eastAsia="Times New Roman" w:hAnsi="Times New Roman"/>
          <w:sz w:val="21"/>
          <w:szCs w:val="21"/>
          <w:color w:val="auto"/>
        </w:rPr>
        <w:t xml:space="preserve"> of this Agreement, any Refinancing Amendment, any Joinder Agreement and any other agreement or instrument designated as a “Loan Document” by its terms.</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Loan Parties</w:t>
      </w:r>
      <w:r>
        <w:rPr>
          <w:rFonts w:ascii="Times New Roman" w:cs="Times New Roman" w:eastAsia="Times New Roman" w:hAnsi="Times New Roman"/>
          <w:sz w:val="21"/>
          <w:szCs w:val="21"/>
          <w:color w:val="auto"/>
        </w:rPr>
        <w:t>” means, collectively, the Borrower and each Guarantor.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45</w:t>
      </w:r>
    </w:p>
    <w:p>
      <w:pPr>
        <w:sectPr>
          <w:pgSz w:w="11900" w:h="16838" w:orient="portrait"/>
          <w:cols w:equalWidth="0" w:num="1">
            <w:col w:w="11240"/>
          </w:cols>
          <w:pgMar w:left="320" w:top="1397" w:right="339" w:bottom="1440" w:gutter="0" w:footer="0" w:header="0"/>
        </w:sectPr>
      </w:pPr>
    </w:p>
    <w:bookmarkStart w:id="151" w:name="page152"/>
    <w:bookmarkEnd w:id="151"/>
    <w:p>
      <w:pPr>
        <w:jc w:val="both"/>
        <w:ind w:firstLine="636"/>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Market Capitalization</w:t>
      </w:r>
      <w:r>
        <w:rPr>
          <w:rFonts w:ascii="Times New Roman" w:cs="Times New Roman" w:eastAsia="Times New Roman" w:hAnsi="Times New Roman"/>
          <w:sz w:val="21"/>
          <w:szCs w:val="21"/>
          <w:color w:val="auto"/>
        </w:rPr>
        <w:t>” means an amount equal to (a) the total number of issued and outstanding shares of the Borrower’s Common Stock that are issued and outstanding on the date of the relevant Restricted Payment and listed on The New York Stock Exchange (or, if the primary listing of such Common Stock is on another exchange, on such other exchange) multiplied by (b) the arithmetic mean of the closing price per share of such Common Stock as reported by The New York Stock Exchange (or, if the primary listing of such Common Stock is on another exchange, on such other exchange) for each of the 30 consecutive trading days immediately preceding the date of such Restricted Payment.</w:t>
      </w:r>
    </w:p>
    <w:p>
      <w:pPr>
        <w:spacing w:after="0" w:line="166" w:lineRule="exact"/>
        <w:rPr>
          <w:sz w:val="20"/>
          <w:szCs w:val="20"/>
          <w:color w:val="auto"/>
        </w:rPr>
      </w:pPr>
    </w:p>
    <w:p>
      <w:pPr>
        <w:jc w:val="both"/>
        <w:ind w:firstLine="636"/>
        <w:spacing w:after="0" w:line="27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Master Services Agreement</w:t>
      </w:r>
      <w:r>
        <w:rPr>
          <w:rFonts w:ascii="Times New Roman" w:cs="Times New Roman" w:eastAsia="Times New Roman" w:hAnsi="Times New Roman"/>
          <w:sz w:val="21"/>
          <w:szCs w:val="21"/>
          <w:color w:val="auto"/>
        </w:rPr>
        <w:t>” means that certain Amended and Restated Master Services Agreement dated as of March 10, 2022 by and among Post, Borrower and certain Subsidiaries of the Borrower, as amended, modified, supplemented, restated or replaced from time to time.</w:t>
      </w:r>
    </w:p>
    <w:p>
      <w:pPr>
        <w:spacing w:after="0" w:line="147" w:lineRule="exact"/>
        <w:rPr>
          <w:sz w:val="20"/>
          <w:szCs w:val="20"/>
          <w:color w:val="auto"/>
        </w:rPr>
      </w:pPr>
    </w:p>
    <w:p>
      <w:pPr>
        <w:jc w:val="both"/>
        <w:ind w:firstLine="636"/>
        <w:spacing w:after="0" w:line="28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Master Transaction Agreement</w:t>
      </w:r>
      <w:r>
        <w:rPr>
          <w:rFonts w:ascii="Times New Roman" w:cs="Times New Roman" w:eastAsia="Times New Roman" w:hAnsi="Times New Roman"/>
          <w:sz w:val="21"/>
          <w:szCs w:val="21"/>
          <w:color w:val="auto"/>
        </w:rPr>
        <w:t>” means that certain Master Transaction Agreement dated as of October 7, 2019 by and among Post, BellRing Brands, LLC and Old BRBR, as amended, modified, supplemented, restated or replaced from time to time.</w:t>
      </w:r>
    </w:p>
    <w:p>
      <w:pPr>
        <w:spacing w:after="0" w:line="134" w:lineRule="exact"/>
        <w:rPr>
          <w:sz w:val="20"/>
          <w:szCs w:val="20"/>
          <w:color w:val="auto"/>
        </w:rPr>
      </w:pPr>
    </w:p>
    <w:p>
      <w:pPr>
        <w:jc w:val="both"/>
        <w:ind w:firstLine="636"/>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Material Adverse Effect</w:t>
      </w:r>
      <w:r>
        <w:rPr>
          <w:rFonts w:ascii="Times New Roman" w:cs="Times New Roman" w:eastAsia="Times New Roman" w:hAnsi="Times New Roman"/>
          <w:sz w:val="21"/>
          <w:szCs w:val="21"/>
          <w:color w:val="auto"/>
        </w:rPr>
        <w:t>” means (a) a material adverse change in, or a material adverse effect upon, the results of operations, business, properties, liabilities (actual or contingent) or financial condition of the Borrower and its Restricted Subsidiaries taken as a whole; (b) a material impairment of the rights and remedies of the Administrative Agent or any Lender under any Loan Document; or (c) a material adverse effect upon the legality, validity, binding effect or enforceability against any Loan Party of any Loan Document to which it is a party.</w:t>
      </w:r>
    </w:p>
    <w:p>
      <w:pPr>
        <w:spacing w:after="0" w:line="161" w:lineRule="exact"/>
        <w:rPr>
          <w:sz w:val="20"/>
          <w:szCs w:val="20"/>
          <w:color w:val="auto"/>
        </w:rPr>
      </w:pPr>
    </w:p>
    <w:p>
      <w:pPr>
        <w:jc w:val="both"/>
        <w:ind w:firstLine="636"/>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Maturity Date</w:t>
      </w:r>
      <w:r>
        <w:rPr>
          <w:rFonts w:ascii="Times New Roman" w:cs="Times New Roman" w:eastAsia="Times New Roman" w:hAnsi="Times New Roman"/>
          <w:sz w:val="21"/>
          <w:szCs w:val="21"/>
          <w:color w:val="auto"/>
        </w:rPr>
        <w:t xml:space="preserve">” means, (i) with respect to the </w:t>
      </w:r>
      <w:r>
        <w:rPr>
          <w:rFonts w:ascii="Times New Roman" w:cs="Times New Roman" w:eastAsia="Times New Roman" w:hAnsi="Times New Roman"/>
          <w:sz w:val="21"/>
          <w:szCs w:val="21"/>
          <w:b w:val="1"/>
          <w:bCs w:val="1"/>
          <w:color w:val="FF0000"/>
          <w:strike w:val="1"/>
        </w:rPr>
        <w:t>Original</w:t>
      </w:r>
      <w:r>
        <w:rPr>
          <w:rFonts w:ascii="Times New Roman" w:cs="Times New Roman" w:eastAsia="Times New Roman" w:hAnsi="Times New Roman"/>
          <w:sz w:val="21"/>
          <w:szCs w:val="21"/>
          <w:b w:val="1"/>
          <w:bCs w:val="1"/>
          <w:u w:val="single" w:color="auto"/>
          <w:color w:val="0000FF"/>
        </w:rPr>
        <w:t>2025</w:t>
      </w:r>
      <w:r>
        <w:rPr>
          <w:rFonts w:ascii="Times New Roman" w:cs="Times New Roman" w:eastAsia="Times New Roman" w:hAnsi="Times New Roman"/>
          <w:sz w:val="21"/>
          <w:szCs w:val="21"/>
          <w:color w:val="auto"/>
        </w:rPr>
        <w:t xml:space="preserve"> Revolving Credit Commitments and any subsequent additions thereto, </w:t>
      </w:r>
      <w:r>
        <w:rPr>
          <w:rFonts w:ascii="Times New Roman" w:cs="Times New Roman" w:eastAsia="Times New Roman" w:hAnsi="Times New Roman"/>
          <w:sz w:val="21"/>
          <w:szCs w:val="21"/>
          <w:b w:val="1"/>
          <w:bCs w:val="1"/>
          <w:color w:val="FF0000"/>
          <w:strike w:val="1"/>
        </w:rPr>
        <w:t>March 10, 2027</w:t>
      </w:r>
      <w:r>
        <w:rPr>
          <w:rFonts w:ascii="Times New Roman" w:cs="Times New Roman" w:eastAsia="Times New Roman" w:hAnsi="Times New Roman"/>
          <w:sz w:val="21"/>
          <w:szCs w:val="21"/>
          <w:b w:val="1"/>
          <w:bCs w:val="1"/>
          <w:u w:val="single" w:color="auto"/>
          <w:color w:val="0000FF"/>
        </w:rPr>
        <w:t>August 22, 2030 (the “Scheduled Revolving Facility Maturity Date”);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u w:val="single" w:color="auto"/>
          <w:color w:val="0000FF"/>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0000FF"/>
        </w:rPr>
        <w:t>that, if on December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0000FF"/>
        </w:rPr>
        <w:t>14, 2029 (the “Springing Maturity Date”), the Senior Notes have not been redeemed in full in cash or refinanced and replaced in full with notes and/or loans maturing at least 91 days after the Scheduled Revolving Facility Maturity Date, then the Maturity Date for the 2025 Revolving Credit Facility shall at such time become the Springing Maturity Date,</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(ii) with</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 xml:space="preserve">respect to any Refinancing Term Loans or Other Revolving Commitments, the final maturity date applicable thereto as specified in the applicable Refinancing Amendment and (iii) with respect to any Incremental Term Loans, the final maturity date applicable thereto as specified in the applicable Joinder Agreement; </w:t>
      </w:r>
      <w:r>
        <w:rPr>
          <w:rFonts w:ascii="Times New Roman" w:cs="Times New Roman" w:eastAsia="Times New Roman" w:hAnsi="Times New Roman"/>
          <w:sz w:val="21"/>
          <w:szCs w:val="21"/>
          <w:i w:val="1"/>
          <w:iCs w:val="1"/>
          <w:color w:val="000000"/>
        </w:rPr>
        <w:t>provided</w:t>
      </w:r>
      <w:r>
        <w:rPr>
          <w:rFonts w:ascii="Times New Roman" w:cs="Times New Roman" w:eastAsia="Times New Roman" w:hAnsi="Times New Roman"/>
          <w:sz w:val="21"/>
          <w:szCs w:val="21"/>
          <w:color w:val="000000"/>
        </w:rPr>
        <w:t>, in each case, that if such date is not a Business Day, then the applicable Maturity Date shall be the next preceding Business Day.</w:t>
      </w:r>
    </w:p>
    <w:p>
      <w:pPr>
        <w:spacing w:after="0" w:line="1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Maximum Rate</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10.09</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Measurement Period</w:t>
      </w:r>
      <w:r>
        <w:rPr>
          <w:rFonts w:ascii="Times New Roman" w:cs="Times New Roman" w:eastAsia="Times New Roman" w:hAnsi="Times New Roman"/>
          <w:sz w:val="21"/>
          <w:szCs w:val="21"/>
          <w:color w:val="auto"/>
        </w:rPr>
        <w:t xml:space="preserve">” means, at any date of determination, the most recently completed four fiscal quarters of the Borrower for which financial statements are available (other than for purposes of calculating ratios pursuant to </w:t>
      </w:r>
      <w:r>
        <w:rPr>
          <w:rFonts w:ascii="Times New Roman" w:cs="Times New Roman" w:eastAsia="Times New Roman" w:hAnsi="Times New Roman"/>
          <w:sz w:val="21"/>
          <w:szCs w:val="21"/>
          <w:u w:val="single" w:color="auto"/>
          <w:color w:val="auto"/>
        </w:rPr>
        <w:t>Section 7.11</w:t>
      </w:r>
      <w:r>
        <w:rPr>
          <w:rFonts w:ascii="Times New Roman" w:cs="Times New Roman" w:eastAsia="Times New Roman" w:hAnsi="Times New Roman"/>
          <w:sz w:val="21"/>
          <w:szCs w:val="21"/>
          <w:color w:val="auto"/>
        </w:rPr>
        <w:t>, which shall look to the most recently completed four fiscal quarters of the Borrower).</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Merger Sub</w:t>
      </w:r>
      <w:r>
        <w:rPr>
          <w:rFonts w:ascii="Times New Roman" w:cs="Times New Roman" w:eastAsia="Times New Roman" w:hAnsi="Times New Roman"/>
          <w:sz w:val="21"/>
          <w:szCs w:val="21"/>
          <w:color w:val="auto"/>
        </w:rPr>
        <w:t>” means BellRing Merger Sub Corporation, a Delaware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46</w:t>
      </w:r>
    </w:p>
    <w:p>
      <w:pPr>
        <w:sectPr>
          <w:pgSz w:w="11900" w:h="16838" w:orient="portrait"/>
          <w:cols w:equalWidth="0" w:num="1">
            <w:col w:w="11240"/>
          </w:cols>
          <w:pgMar w:left="320" w:top="1393" w:right="339" w:bottom="1440" w:gutter="0" w:footer="0" w:header="0"/>
        </w:sectPr>
      </w:pPr>
    </w:p>
    <w:bookmarkStart w:id="152" w:name="page153"/>
    <w:bookmarkEnd w:id="152"/>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MNPI</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6.02</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Moody’s</w:t>
      </w:r>
      <w:r>
        <w:rPr>
          <w:rFonts w:ascii="Times New Roman" w:cs="Times New Roman" w:eastAsia="Times New Roman" w:hAnsi="Times New Roman"/>
          <w:sz w:val="21"/>
          <w:szCs w:val="21"/>
          <w:color w:val="auto"/>
        </w:rPr>
        <w:t>” means Moody’s Investors Service, Inc. and any successor thereto.</w:t>
      </w:r>
    </w:p>
    <w:p>
      <w:pPr>
        <w:spacing w:after="0" w:line="222" w:lineRule="exact"/>
        <w:rPr>
          <w:sz w:val="20"/>
          <w:szCs w:val="20"/>
          <w:color w:val="auto"/>
        </w:rPr>
      </w:pPr>
    </w:p>
    <w:p>
      <w:pPr>
        <w:jc w:val="both"/>
        <w:ind w:firstLine="636"/>
        <w:spacing w:after="0" w:line="27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Most Recent Financial Statements</w:t>
      </w:r>
      <w:r>
        <w:rPr>
          <w:rFonts w:ascii="Times New Roman" w:cs="Times New Roman" w:eastAsia="Times New Roman" w:hAnsi="Times New Roman"/>
          <w:sz w:val="21"/>
          <w:szCs w:val="21"/>
          <w:color w:val="auto"/>
        </w:rPr>
        <w:t xml:space="preserve">” means the most recently delivered financial statements required to be delivered pursuant to </w:t>
      </w:r>
      <w:r>
        <w:rPr>
          <w:rFonts w:ascii="Times New Roman" w:cs="Times New Roman" w:eastAsia="Times New Roman" w:hAnsi="Times New Roman"/>
          <w:sz w:val="21"/>
          <w:szCs w:val="21"/>
          <w:u w:val="single" w:color="auto"/>
          <w:color w:val="auto"/>
        </w:rPr>
        <w:t>Section 6.01(a)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6.01(b)</w:t>
      </w:r>
      <w:r>
        <w:rPr>
          <w:rFonts w:ascii="Times New Roman" w:cs="Times New Roman" w:eastAsia="Times New Roman" w:hAnsi="Times New Roman"/>
          <w:sz w:val="21"/>
          <w:szCs w:val="21"/>
          <w:color w:val="auto"/>
        </w:rPr>
        <w:t xml:space="preserve"> of this Agreement (or, until such time as such financial statements are so required to be delivered, the financial statements for the period ended December 31, 2021).</w:t>
      </w:r>
    </w:p>
    <w:p>
      <w:pPr>
        <w:spacing w:after="0" w:line="147"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Multiemployer Plan</w:t>
      </w:r>
      <w:r>
        <w:rPr>
          <w:rFonts w:ascii="Times New Roman" w:cs="Times New Roman" w:eastAsia="Times New Roman" w:hAnsi="Times New Roman"/>
          <w:sz w:val="21"/>
          <w:szCs w:val="21"/>
          <w:color w:val="auto"/>
        </w:rPr>
        <w:t>” means an employee benefit plan defined in Section 4001(a)(3) of ERISA to which the Borrower or any ERISA Affiliate makes or is obligated to make contributions, or during the preceding five plan years has made or been obligated to make contributions.</w:t>
      </w:r>
    </w:p>
    <w:p>
      <w:pPr>
        <w:spacing w:after="0" w:line="169" w:lineRule="exact"/>
        <w:rPr>
          <w:sz w:val="20"/>
          <w:szCs w:val="20"/>
          <w:color w:val="auto"/>
        </w:rPr>
      </w:pPr>
    </w:p>
    <w:p>
      <w:pPr>
        <w:jc w:val="both"/>
        <w:ind w:firstLine="636"/>
        <w:spacing w:after="0" w:line="28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Multiple Employer Plan</w:t>
      </w:r>
      <w:r>
        <w:rPr>
          <w:rFonts w:ascii="Times New Roman" w:cs="Times New Roman" w:eastAsia="Times New Roman" w:hAnsi="Times New Roman"/>
          <w:sz w:val="21"/>
          <w:szCs w:val="21"/>
          <w:color w:val="auto"/>
        </w:rPr>
        <w:t>” means a plan which has two or more contributing sponsors (including the Borrower or any ERISA Affiliate) at least two of whom are not under common control, as such a plan is described in Section 4064 of ERISA.</w:t>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Non-Guarantor Debt</w:t>
      </w:r>
      <w:r>
        <w:rPr>
          <w:rFonts w:ascii="Times New Roman" w:cs="Times New Roman" w:eastAsia="Times New Roman" w:hAnsi="Times New Roman"/>
          <w:sz w:val="21"/>
          <w:szCs w:val="21"/>
          <w:color w:val="auto"/>
        </w:rPr>
        <w:t>” means Indebtedness incurred, created or assumed by Restricted Subsidiaries that are not Loan</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Parties.</w:t>
      </w:r>
    </w:p>
    <w:p>
      <w:pPr>
        <w:spacing w:after="0" w:line="194" w:lineRule="exact"/>
        <w:rPr>
          <w:sz w:val="20"/>
          <w:szCs w:val="20"/>
          <w:color w:val="auto"/>
        </w:rPr>
      </w:pPr>
    </w:p>
    <w:p>
      <w:pPr>
        <w:jc w:val="both"/>
        <w:ind w:firstLine="636"/>
        <w:spacing w:after="0" w:line="28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Non-Guarantor Debt Cap</w:t>
      </w:r>
      <w:r>
        <w:rPr>
          <w:rFonts w:ascii="Times New Roman" w:cs="Times New Roman" w:eastAsia="Times New Roman" w:hAnsi="Times New Roman"/>
          <w:sz w:val="21"/>
          <w:szCs w:val="21"/>
          <w:color w:val="auto"/>
        </w:rPr>
        <w:t>” means an amount equal to the greater of (x) $</w:t>
      </w:r>
      <w:r>
        <w:rPr>
          <w:rFonts w:ascii="Times New Roman" w:cs="Times New Roman" w:eastAsia="Times New Roman" w:hAnsi="Times New Roman"/>
          <w:sz w:val="21"/>
          <w:szCs w:val="21"/>
          <w:b w:val="1"/>
          <w:bCs w:val="1"/>
          <w:color w:val="FF0000"/>
          <w:strike w:val="1"/>
        </w:rPr>
        <w:t>150,000,000</w:t>
      </w:r>
      <w:r>
        <w:rPr>
          <w:rFonts w:ascii="Times New Roman" w:cs="Times New Roman" w:eastAsia="Times New Roman" w:hAnsi="Times New Roman"/>
          <w:sz w:val="21"/>
          <w:szCs w:val="21"/>
          <w:b w:val="1"/>
          <w:bCs w:val="1"/>
          <w:u w:val="single" w:color="auto"/>
          <w:color w:val="0000FF"/>
        </w:rPr>
        <w:t>300,000,000</w:t>
      </w:r>
      <w:r>
        <w:rPr>
          <w:rFonts w:ascii="Times New Roman" w:cs="Times New Roman" w:eastAsia="Times New Roman" w:hAnsi="Times New Roman"/>
          <w:sz w:val="21"/>
          <w:szCs w:val="21"/>
          <w:color w:val="auto"/>
        </w:rPr>
        <w:t xml:space="preserve"> and (y) 60% of Consolidated EBITDA based on the Most Recent Financial Statements.</w:t>
      </w:r>
    </w:p>
    <w:p>
      <w:pPr>
        <w:spacing w:after="0" w:line="1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Non-Recourse Debt</w:t>
      </w:r>
      <w:r>
        <w:rPr>
          <w:rFonts w:ascii="Times New Roman" w:cs="Times New Roman" w:eastAsia="Times New Roman" w:hAnsi="Times New Roman"/>
          <w:sz w:val="21"/>
          <w:szCs w:val="21"/>
          <w:color w:val="auto"/>
        </w:rPr>
        <w:t>” means Indebtedness:</w:t>
      </w:r>
    </w:p>
    <w:p>
      <w:pPr>
        <w:spacing w:after="0" w:line="226" w:lineRule="exact"/>
        <w:rPr>
          <w:sz w:val="20"/>
          <w:szCs w:val="20"/>
          <w:color w:val="auto"/>
        </w:rPr>
      </w:pPr>
    </w:p>
    <w:p>
      <w:pPr>
        <w:jc w:val="both"/>
        <w:ind w:left="640" w:firstLine="638"/>
        <w:spacing w:after="0" w:line="267" w:lineRule="auto"/>
        <w:tabs>
          <w:tab w:leader="none" w:pos="1900"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to which neither the Borrower nor any of its Restricted Subsidiaries (a) provides credit support of any kind (including any undertaking, agreement or instrument that would constitute Indebtedness), or (b) is directly or indirectly liable as a guarantor or otherwise;</w:t>
      </w:r>
    </w:p>
    <w:p>
      <w:pPr>
        <w:spacing w:after="0" w:line="161" w:lineRule="exact"/>
        <w:rPr>
          <w:rFonts w:ascii="Times New Roman" w:cs="Times New Roman" w:eastAsia="Times New Roman" w:hAnsi="Times New Roman"/>
          <w:sz w:val="21"/>
          <w:szCs w:val="21"/>
          <w:color w:val="auto"/>
        </w:rPr>
      </w:pPr>
    </w:p>
    <w:p>
      <w:pPr>
        <w:jc w:val="both"/>
        <w:ind w:left="640" w:firstLine="638"/>
        <w:spacing w:after="0" w:line="266" w:lineRule="auto"/>
        <w:tabs>
          <w:tab w:leader="none" w:pos="1900"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default with respect to which (including any rights that the holders thereof may have to take enforcement action against an Unrestricted Subsidiary) would not permit upon notice, lapse of time or both any holder of any other Indebtedness (other than the Obligations) of the Borrower or any of its Restricted Subsidiaries to declare a default on such other Indebtedness or cause the payment thereof to be accelerated or payable prior to its stated maturity; and</w:t>
      </w:r>
    </w:p>
    <w:p>
      <w:pPr>
        <w:spacing w:after="0" w:line="161" w:lineRule="exact"/>
        <w:rPr>
          <w:rFonts w:ascii="Times New Roman" w:cs="Times New Roman" w:eastAsia="Times New Roman" w:hAnsi="Times New Roman"/>
          <w:sz w:val="21"/>
          <w:szCs w:val="21"/>
          <w:color w:val="auto"/>
        </w:rPr>
      </w:pPr>
    </w:p>
    <w:p>
      <w:pPr>
        <w:ind w:left="640" w:firstLine="638"/>
        <w:spacing w:after="0" w:line="285" w:lineRule="auto"/>
        <w:tabs>
          <w:tab w:leader="none" w:pos="1907"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to which the lenders have been notified in writing that they will not have any recourse to the stock or assets of the Borrower or any of its Restricted Subsidiaries.</w:t>
      </w:r>
    </w:p>
    <w:p>
      <w:pPr>
        <w:spacing w:after="0" w:line="151"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Note</w:t>
      </w:r>
      <w:r>
        <w:rPr>
          <w:rFonts w:ascii="Times New Roman" w:cs="Times New Roman" w:eastAsia="Times New Roman" w:hAnsi="Times New Roman"/>
          <w:sz w:val="21"/>
          <w:szCs w:val="21"/>
          <w:color w:val="auto"/>
        </w:rPr>
        <w:t xml:space="preserve">” means a promissory note made by the Borrower (x) in favor of a Revolving Credit Lender evidencing Revolving Credit Loans made by such Revolving Credit Lender, substantially in the form of </w:t>
      </w:r>
      <w:r>
        <w:rPr>
          <w:rFonts w:ascii="Times New Roman" w:cs="Times New Roman" w:eastAsia="Times New Roman" w:hAnsi="Times New Roman"/>
          <w:sz w:val="21"/>
          <w:szCs w:val="21"/>
          <w:u w:val="single" w:color="auto"/>
          <w:color w:val="auto"/>
        </w:rPr>
        <w:t>Exhibit C-1</w:t>
      </w:r>
      <w:r>
        <w:rPr>
          <w:rFonts w:ascii="Times New Roman" w:cs="Times New Roman" w:eastAsia="Times New Roman" w:hAnsi="Times New Roman"/>
          <w:sz w:val="21"/>
          <w:szCs w:val="21"/>
          <w:color w:val="auto"/>
        </w:rPr>
        <w:t xml:space="preserve"> or (y) in favor of an Incremental Term Loan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47</w:t>
      </w:r>
    </w:p>
    <w:p>
      <w:pPr>
        <w:sectPr>
          <w:pgSz w:w="11900" w:h="16838" w:orient="portrait"/>
          <w:cols w:equalWidth="0" w:num="1">
            <w:col w:w="11240"/>
          </w:cols>
          <w:pgMar w:left="320" w:top="1394"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21"/>
          <w:szCs w:val="21"/>
          <w:color w:val="auto"/>
        </w:rPr>
        <w:t xml:space="preserve">evidencing Incremental Term Loans made by such Incremental Term Loan Lender, substantially in the form of </w:t>
      </w:r>
      <w:r>
        <w:rPr>
          <w:rFonts w:ascii="Times New Roman" w:cs="Times New Roman" w:eastAsia="Times New Roman" w:hAnsi="Times New Roman"/>
          <w:sz w:val="21"/>
          <w:szCs w:val="21"/>
          <w:u w:val="single" w:color="auto"/>
          <w:color w:val="auto"/>
        </w:rPr>
        <w:t>Exhibit C-2</w:t>
      </w:r>
      <w:r>
        <w:rPr>
          <w:rFonts w:ascii="Times New Roman" w:cs="Times New Roman" w:eastAsia="Times New Roman" w:hAnsi="Times New Roman"/>
          <w:sz w:val="21"/>
          <w:szCs w:val="21"/>
          <w:color w:val="auto"/>
        </w:rPr>
        <w:t>.</w:t>
      </w:r>
    </w:p>
    <w:p>
      <w:pPr>
        <w:spacing w:after="0" w:line="2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NYFRB</w:t>
      </w:r>
      <w:r>
        <w:rPr>
          <w:rFonts w:ascii="Times New Roman" w:cs="Times New Roman" w:eastAsia="Times New Roman" w:hAnsi="Times New Roman"/>
          <w:sz w:val="21"/>
          <w:szCs w:val="21"/>
          <w:color w:val="auto"/>
        </w:rPr>
        <w:t>” means the Federal Reserve Bank of New York.</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NYFRB’s Website</w:t>
      </w:r>
      <w:r>
        <w:rPr>
          <w:rFonts w:ascii="Times New Roman" w:cs="Times New Roman" w:eastAsia="Times New Roman" w:hAnsi="Times New Roman"/>
          <w:sz w:val="21"/>
          <w:szCs w:val="21"/>
          <w:color w:val="auto"/>
        </w:rPr>
        <w:t>” means the website of the NYFRB at http://www.newyorkfed.org, or any successor source.</w:t>
      </w:r>
    </w:p>
    <w:p>
      <w:pPr>
        <w:spacing w:after="0" w:line="236" w:lineRule="exact"/>
        <w:rPr>
          <w:sz w:val="20"/>
          <w:szCs w:val="20"/>
          <w:color w:val="auto"/>
        </w:rPr>
      </w:pPr>
    </w:p>
    <w:p>
      <w:pPr>
        <w:jc w:val="both"/>
        <w:ind w:firstLine="636"/>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NYFRB Rate</w:t>
      </w:r>
      <w:r>
        <w:rPr>
          <w:rFonts w:ascii="Times New Roman" w:cs="Times New Roman" w:eastAsia="Times New Roman" w:hAnsi="Times New Roman"/>
          <w:sz w:val="21"/>
          <w:szCs w:val="21"/>
          <w:color w:val="auto"/>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none of such rates are published for any day that is a Business Day, the term “NYFRB Rate” means the rate for a federal funds transaction quoted at 11:00 a.m. on such day received by the Administrative Agent from a federal funds broker of recognized standing selected by it;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further</w:t>
      </w:r>
      <w:r>
        <w:rPr>
          <w:rFonts w:ascii="Times New Roman" w:cs="Times New Roman" w:eastAsia="Times New Roman" w:hAnsi="Times New Roman"/>
          <w:sz w:val="21"/>
          <w:szCs w:val="21"/>
          <w:color w:val="auto"/>
        </w:rPr>
        <w:t>, that if any of the aforesaid rates as so determined is less than 0%, such rate shall be deemed to be 0% for purposes of this Agreement.</w:t>
      </w:r>
    </w:p>
    <w:p>
      <w:pPr>
        <w:spacing w:after="0" w:line="166" w:lineRule="exact"/>
        <w:rPr>
          <w:sz w:val="20"/>
          <w:szCs w:val="20"/>
          <w:color w:val="auto"/>
        </w:rPr>
      </w:pPr>
    </w:p>
    <w:p>
      <w:pPr>
        <w:jc w:val="both"/>
        <w:ind w:firstLine="636"/>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Obligations</w:t>
      </w:r>
      <w:r>
        <w:rPr>
          <w:rFonts w:ascii="Times New Roman" w:cs="Times New Roman" w:eastAsia="Times New Roman" w:hAnsi="Times New Roman"/>
          <w:sz w:val="21"/>
          <w:szCs w:val="21"/>
          <w:color w:val="auto"/>
        </w:rPr>
        <w:t>” means all advances to, and debts, liabilities, obligations, covenants and duties of, any Loan Party arising under any Loan Document or otherwise with respect to any Loan, Letter of Credit, Secured Cash Management Agreement or Secured Hedge Agreement, in each case, whether direct or indirect (including those acquired by assumption), absolute or contingent, due or to become due, now existing or hereafter arising and including interest and fees that accrue after the commencement by or against any Loan Party or any Affiliate thereof of any proceeding under any Debtor Relief Laws naming such Person as the debtor in such proceeding, regardless of whether such interest and fees are allowed claims in such proceeding. Notwithstanding the foregoing, Obligations of any Guarantor shall in no event include any Excluded Swap Obligations (as defined in the Collateral Agreement) of such Guarantor.</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OFAC</w:t>
      </w:r>
      <w:r>
        <w:rPr>
          <w:rFonts w:ascii="Times New Roman" w:cs="Times New Roman" w:eastAsia="Times New Roman" w:hAnsi="Times New Roman"/>
          <w:sz w:val="21"/>
          <w:szCs w:val="21"/>
          <w:color w:val="auto"/>
        </w:rPr>
        <w:t>” means the U.S. Department of the Treasury’s Office of Foreign Assets Control.</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Offer Loans</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10.06(b)(vii)(A)</w:t>
      </w:r>
      <w:r>
        <w:rPr>
          <w:rFonts w:ascii="Times New Roman" w:cs="Times New Roman" w:eastAsia="Times New Roman" w:hAnsi="Times New Roman"/>
          <w:sz w:val="21"/>
          <w:szCs w:val="21"/>
          <w:color w:val="auto"/>
        </w:rPr>
        <w:t>.</w:t>
      </w:r>
    </w:p>
    <w:p>
      <w:pPr>
        <w:spacing w:after="0" w:line="236"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Old BRBR</w:t>
      </w:r>
      <w:r>
        <w:rPr>
          <w:rFonts w:ascii="Times New Roman" w:cs="Times New Roman" w:eastAsia="Times New Roman" w:hAnsi="Times New Roman"/>
          <w:sz w:val="21"/>
          <w:szCs w:val="21"/>
          <w:color w:val="auto"/>
        </w:rPr>
        <w:t>” means, prior to the Old BRBR Merger, BellRing Brands, Inc., a Delaware corporation and, upon the Old BRBR Merger, BellRing Intermediate Holdings, Inc., a Delaware corporation, formerly known as BellRing Brands, Inc., a Delaware corporation.</w:t>
      </w:r>
    </w:p>
    <w:p>
      <w:pPr>
        <w:spacing w:after="0" w:line="155" w:lineRule="exact"/>
        <w:rPr>
          <w:sz w:val="20"/>
          <w:szCs w:val="20"/>
          <w:color w:val="auto"/>
        </w:rPr>
      </w:pPr>
    </w:p>
    <w:p>
      <w:pPr>
        <w:jc w:val="both"/>
        <w:ind w:firstLine="636"/>
        <w:spacing w:after="0" w:line="28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Old BRBR Merger</w:t>
      </w:r>
      <w:r>
        <w:rPr>
          <w:rFonts w:ascii="Times New Roman" w:cs="Times New Roman" w:eastAsia="Times New Roman" w:hAnsi="Times New Roman"/>
          <w:sz w:val="21"/>
          <w:szCs w:val="21"/>
          <w:color w:val="auto"/>
        </w:rPr>
        <w:t>” means, in accordance with the terms set forth in the Transaction Agreement, the merger of Old BRBR with and into Merger Sub with Old BRBR as the surviving corporation.</w:t>
      </w:r>
    </w:p>
    <w:p>
      <w:pPr>
        <w:spacing w:after="0" w:line="147"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Organization Documents</w:t>
      </w:r>
      <w:r>
        <w:rPr>
          <w:rFonts w:ascii="Times New Roman" w:cs="Times New Roman" w:eastAsia="Times New Roman" w:hAnsi="Times New Roman"/>
          <w:sz w:val="21"/>
          <w:szCs w:val="21"/>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48</w:t>
      </w:r>
    </w:p>
    <w:p>
      <w:pPr>
        <w:sectPr>
          <w:pgSz w:w="11900" w:h="16838" w:orient="portrait"/>
          <w:cols w:equalWidth="0" w:num="1">
            <w:col w:w="11240"/>
          </w:cols>
          <w:pgMar w:left="320" w:top="1397" w:right="339" w:bottom="1440" w:gutter="0" w:footer="0" w:header="0"/>
        </w:sectPr>
      </w:pPr>
    </w:p>
    <w:bookmarkStart w:id="154" w:name="page155"/>
    <w:bookmarkEnd w:id="154"/>
    <w:p>
      <w:pPr>
        <w:jc w:val="both"/>
        <w:spacing w:after="0" w:line="267" w:lineRule="auto"/>
        <w:rPr>
          <w:sz w:val="20"/>
          <w:szCs w:val="20"/>
          <w:color w:val="auto"/>
        </w:rPr>
      </w:pPr>
      <w:r>
        <w:rPr>
          <w:rFonts w:ascii="Times New Roman" w:cs="Times New Roman" w:eastAsia="Times New Roman" w:hAnsi="Times New Roman"/>
          <w:sz w:val="21"/>
          <w:szCs w:val="21"/>
          <w:color w:val="auto"/>
        </w:rPr>
        <w:t>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71"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Original Revolving Credit Commitment</w:t>
      </w:r>
      <w:r>
        <w:rPr>
          <w:rFonts w:ascii="Times New Roman" w:cs="Times New Roman" w:eastAsia="Times New Roman" w:hAnsi="Times New Roman"/>
          <w:sz w:val="21"/>
          <w:szCs w:val="21"/>
          <w:color w:val="auto"/>
        </w:rPr>
        <w:t xml:space="preserve">” means, as to each Revolving Credit Lender, its commitment in effect as of the Closing Date to make Original Revolving Credit Loans to the Borrower pursuant to </w:t>
      </w:r>
      <w:r>
        <w:rPr>
          <w:rFonts w:ascii="Times New Roman" w:cs="Times New Roman" w:eastAsia="Times New Roman" w:hAnsi="Times New Roman"/>
          <w:sz w:val="21"/>
          <w:szCs w:val="21"/>
          <w:u w:val="single" w:color="auto"/>
          <w:color w:val="auto"/>
        </w:rPr>
        <w:t>Section 2.01</w:t>
      </w:r>
      <w:r>
        <w:rPr>
          <w:rFonts w:ascii="Times New Roman" w:cs="Times New Roman" w:eastAsia="Times New Roman" w:hAnsi="Times New Roman"/>
          <w:sz w:val="21"/>
          <w:szCs w:val="21"/>
          <w:color w:val="auto"/>
        </w:rPr>
        <w:t xml:space="preserve"> in an aggregate principal amount at any one time outstanding not to exceed the amount set forth opposite such Lender’s name on </w:t>
      </w:r>
      <w:r>
        <w:rPr>
          <w:rFonts w:ascii="Times New Roman" w:cs="Times New Roman" w:eastAsia="Times New Roman" w:hAnsi="Times New Roman"/>
          <w:sz w:val="21"/>
          <w:szCs w:val="21"/>
          <w:u w:val="single" w:color="auto"/>
          <w:color w:val="auto"/>
        </w:rPr>
        <w:t>Schedule 2.01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FF0000"/>
          <w:strike w:val="1"/>
        </w:rPr>
        <w:t>under</w:t>
      </w:r>
      <w:r>
        <w:rPr>
          <w:rFonts w:ascii="Times New Roman" w:cs="Times New Roman" w:eastAsia="Times New Roman" w:hAnsi="Times New Roman"/>
          <w:sz w:val="21"/>
          <w:szCs w:val="21"/>
          <w:b w:val="1"/>
          <w:bCs w:val="1"/>
          <w:u w:val="single" w:color="auto"/>
          <w:color w:val="0000FF"/>
        </w:rPr>
        <w:t>to</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b w:val="1"/>
          <w:bCs w:val="1"/>
          <w:color w:val="FF0000"/>
          <w:strike w:val="1"/>
        </w:rPr>
        <w:t>caption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FF0000"/>
          <w:strike w:val="1"/>
        </w:rPr>
        <w:t>“Original Revolving</w:t>
      </w:r>
      <w:r>
        <w:rPr>
          <w:rFonts w:ascii="Times New Roman" w:cs="Times New Roman" w:eastAsia="Times New Roman" w:hAnsi="Times New Roman"/>
          <w:sz w:val="21"/>
          <w:szCs w:val="21"/>
          <w:b w:val="1"/>
          <w:bCs w:val="1"/>
          <w:u w:val="single" w:color="auto"/>
          <w:color w:val="0000FF"/>
        </w:rPr>
        <w:t>Existing</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color w:val="000000"/>
        </w:rPr>
        <w:t>Credit</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b w:val="1"/>
          <w:bCs w:val="1"/>
          <w:color w:val="FF0000"/>
          <w:strike w:val="1"/>
        </w:rPr>
        <w:t>Commitment” or opposite such caption</w:t>
      </w:r>
      <w:r>
        <w:rPr>
          <w:rFonts w:ascii="Times New Roman" w:cs="Times New Roman" w:eastAsia="Times New Roman" w:hAnsi="Times New Roman"/>
          <w:sz w:val="21"/>
          <w:szCs w:val="21"/>
          <w:b w:val="1"/>
          <w:bCs w:val="1"/>
          <w:u w:val="single" w:color="auto"/>
          <w:color w:val="0000FF"/>
        </w:rPr>
        <w:t>Agreement as of the Closing Date or</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color w:val="000000"/>
        </w:rPr>
        <w:t>in the</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color w:val="000000"/>
        </w:rPr>
        <w:t xml:space="preserve">Assignment and Assumption pursuant to which such Lender becomes a party hereto, as applicable, as such amount may be adjusted from time to time in accordance with this Agreement. As of the Closing Date, the aggregate amount of the Original Revolving Credit Commitments of all Revolving Credit Lenders </w:t>
      </w:r>
      <w:r>
        <w:rPr>
          <w:rFonts w:ascii="Times New Roman" w:cs="Times New Roman" w:eastAsia="Times New Roman" w:hAnsi="Times New Roman"/>
          <w:sz w:val="21"/>
          <w:szCs w:val="21"/>
          <w:b w:val="1"/>
          <w:bCs w:val="1"/>
          <w:color w:val="FF0000"/>
          <w:strike w:val="1"/>
        </w:rPr>
        <w:t>is</w:t>
      </w:r>
      <w:r>
        <w:rPr>
          <w:rFonts w:ascii="Times New Roman" w:cs="Times New Roman" w:eastAsia="Times New Roman" w:hAnsi="Times New Roman"/>
          <w:sz w:val="21"/>
          <w:szCs w:val="21"/>
          <w:b w:val="1"/>
          <w:bCs w:val="1"/>
          <w:u w:val="single" w:color="auto"/>
          <w:color w:val="0000FF"/>
        </w:rPr>
        <w:t>was</w:t>
      </w:r>
      <w:r>
        <w:rPr>
          <w:rFonts w:ascii="Times New Roman" w:cs="Times New Roman" w:eastAsia="Times New Roman" w:hAnsi="Times New Roman"/>
          <w:sz w:val="21"/>
          <w:szCs w:val="21"/>
          <w:color w:val="000000"/>
        </w:rPr>
        <w:t xml:space="preserve"> $250,000,000. </w:t>
      </w:r>
      <w:r>
        <w:rPr>
          <w:rFonts w:ascii="Times New Roman" w:cs="Times New Roman" w:eastAsia="Times New Roman" w:hAnsi="Times New Roman"/>
          <w:sz w:val="21"/>
          <w:szCs w:val="21"/>
          <w:b w:val="1"/>
          <w:bCs w:val="1"/>
          <w:color w:val="0000FF"/>
        </w:rPr>
        <w:t>On the First Amendment Effective Date, the Original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4030980</wp:posOffset>
            </wp:positionH>
            <wp:positionV relativeFrom="paragraph">
              <wp:posOffset>-30480</wp:posOffset>
            </wp:positionV>
            <wp:extent cx="310007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8">
                      <a:extLst>
                        <a:ext uri="{28A0092B-C50C-407E-A947-70E740481C1C}"/>
                      </a:extLst>
                    </a:blip>
                    <a:srcRect/>
                    <a:stretch>
                      <a:fillRect/>
                    </a:stretch>
                  </pic:blipFill>
                  <pic:spPr bwMode="auto">
                    <a:xfrm>
                      <a:off x="0" y="0"/>
                      <a:ext cx="310007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1"/>
          <w:szCs w:val="21"/>
          <w:b w:val="1"/>
          <w:bCs w:val="1"/>
          <w:u w:val="single" w:color="auto"/>
          <w:color w:val="0000FF"/>
        </w:rPr>
        <w:t>Revolving Credit Commitments were refinanced in full by the 2025 Refinancing Revolving Credit Commitments.</w:t>
      </w:r>
    </w:p>
    <w:p>
      <w:pPr>
        <w:spacing w:after="0" w:line="194" w:lineRule="exact"/>
        <w:rPr>
          <w:sz w:val="20"/>
          <w:szCs w:val="20"/>
          <w:color w:val="auto"/>
        </w:rPr>
      </w:pPr>
    </w:p>
    <w:p>
      <w:pPr>
        <w:jc w:val="both"/>
        <w:ind w:firstLine="636"/>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Original Revolving Credit Facility</w:t>
      </w:r>
      <w:r>
        <w:rPr>
          <w:rFonts w:ascii="Times New Roman" w:cs="Times New Roman" w:eastAsia="Times New Roman" w:hAnsi="Times New Roman"/>
          <w:sz w:val="21"/>
          <w:szCs w:val="21"/>
          <w:color w:val="auto"/>
        </w:rPr>
        <w:t xml:space="preserve">” means, at any time, the aggregate amount of the Revolving Credit Lenders’ Original Revolving Credit Commitments at such time and the Credit Extensions made thereunder. </w:t>
      </w:r>
      <w:r>
        <w:rPr>
          <w:rFonts w:ascii="Times New Roman" w:cs="Times New Roman" w:eastAsia="Times New Roman" w:hAnsi="Times New Roman"/>
          <w:sz w:val="21"/>
          <w:szCs w:val="21"/>
          <w:b w:val="1"/>
          <w:bCs w:val="1"/>
          <w:color w:val="0000FF"/>
        </w:rPr>
        <w:t>On the First Amendment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5015865</wp:posOffset>
            </wp:positionH>
            <wp:positionV relativeFrom="paragraph">
              <wp:posOffset>-30480</wp:posOffset>
            </wp:positionV>
            <wp:extent cx="211518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9">
                      <a:extLst>
                        <a:ext uri="{28A0092B-C50C-407E-A947-70E740481C1C}"/>
                      </a:extLst>
                    </a:blip>
                    <a:srcRect/>
                    <a:stretch>
                      <a:fillRect/>
                    </a:stretch>
                  </pic:blipFill>
                  <pic:spPr bwMode="auto">
                    <a:xfrm>
                      <a:off x="0" y="0"/>
                      <a:ext cx="211518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1"/>
          <w:szCs w:val="21"/>
          <w:b w:val="1"/>
          <w:bCs w:val="1"/>
          <w:u w:val="single" w:color="auto"/>
          <w:color w:val="0000FF"/>
        </w:rPr>
        <w:t>Date, the Original Revolving Credit Facility was refinanced in full by the 2025 Revolving Credit Facility.</w:t>
      </w:r>
    </w:p>
    <w:p>
      <w:pPr>
        <w:spacing w:after="0" w:line="208"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Original Revolving Credit Loan</w:t>
      </w:r>
      <w:r>
        <w:rPr>
          <w:rFonts w:ascii="Times New Roman" w:cs="Times New Roman" w:eastAsia="Times New Roman" w:hAnsi="Times New Roman"/>
          <w:sz w:val="21"/>
          <w:szCs w:val="21"/>
          <w:color w:val="auto"/>
        </w:rPr>
        <w:t xml:space="preserve">” means the Revolving Credit Loans made by the Revolving Credit Lenders to the Borrower under the Original Revolving Credit Commitments pursuant to </w:t>
      </w:r>
      <w:r>
        <w:rPr>
          <w:rFonts w:ascii="Times New Roman" w:cs="Times New Roman" w:eastAsia="Times New Roman" w:hAnsi="Times New Roman"/>
          <w:sz w:val="21"/>
          <w:szCs w:val="21"/>
          <w:u w:val="single" w:color="auto"/>
          <w:color w:val="auto"/>
        </w:rPr>
        <w:t>Section 2.01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0000FF"/>
        </w:rPr>
        <w:t>On the First Amendment Effective Date,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0000FF"/>
        </w:rPr>
        <w:t>the Original Revolving Credit Loans were repaid in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4727575</wp:posOffset>
            </wp:positionH>
            <wp:positionV relativeFrom="paragraph">
              <wp:posOffset>-208915</wp:posOffset>
            </wp:positionV>
            <wp:extent cx="240919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0">
                      <a:extLst>
                        <a:ext uri="{28A0092B-C50C-407E-A947-70E740481C1C}"/>
                      </a:extLst>
                    </a:blip>
                    <a:srcRect/>
                    <a:stretch>
                      <a:fillRect/>
                    </a:stretch>
                  </pic:blipFill>
                  <pic:spPr bwMode="auto">
                    <a:xfrm>
                      <a:off x="0" y="0"/>
                      <a:ext cx="2409190" cy="8255"/>
                    </a:xfrm>
                    <a:prstGeom prst="rect">
                      <a:avLst/>
                    </a:prstGeom>
                    <a:noFill/>
                  </pic:spPr>
                </pic:pic>
              </a:graphicData>
            </a:graphic>
          </wp:anchor>
        </w:drawing>
      </w:r>
    </w:p>
    <w:p>
      <w:pPr>
        <w:spacing w:after="0" w:line="135" w:lineRule="exact"/>
        <w:rPr>
          <w:sz w:val="20"/>
          <w:szCs w:val="20"/>
          <w:color w:val="auto"/>
        </w:rPr>
      </w:pPr>
    </w:p>
    <w:p>
      <w:pPr>
        <w:jc w:val="both"/>
        <w:ind w:firstLine="636"/>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Other Connection Taxes</w:t>
      </w:r>
      <w:r>
        <w:rPr>
          <w:rFonts w:ascii="Times New Roman" w:cs="Times New Roman" w:eastAsia="Times New Roman" w:hAnsi="Times New Roman"/>
          <w:sz w:val="21"/>
          <w:szCs w:val="21"/>
          <w:color w:val="auto"/>
        </w:rPr>
        <w:t>” means, with respect to any Recipient, Taxes imposed as a result of a present or former connection between such Recipient and the jurisdiction imposing such Tax (other than connections arising solely from one or more of the following: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Letter of Credit or Loan Document).</w:t>
      </w:r>
    </w:p>
    <w:p>
      <w:pPr>
        <w:spacing w:after="0" w:line="161" w:lineRule="exact"/>
        <w:rPr>
          <w:sz w:val="20"/>
          <w:szCs w:val="20"/>
          <w:color w:val="auto"/>
        </w:rPr>
      </w:pPr>
    </w:p>
    <w:p>
      <w:pPr>
        <w:jc w:val="both"/>
        <w:ind w:right="20" w:firstLine="636"/>
        <w:spacing w:after="0" w:line="28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Other Revolving Commitments</w:t>
      </w:r>
      <w:r>
        <w:rPr>
          <w:rFonts w:ascii="Times New Roman" w:cs="Times New Roman" w:eastAsia="Times New Roman" w:hAnsi="Times New Roman"/>
          <w:sz w:val="21"/>
          <w:szCs w:val="21"/>
          <w:color w:val="auto"/>
        </w:rPr>
        <w:t>” means one or more Classes of revolving commitments hereunder that result from a Refinancing Amendment.</w:t>
      </w:r>
    </w:p>
    <w:p>
      <w:pPr>
        <w:spacing w:after="0" w:line="147" w:lineRule="exact"/>
        <w:rPr>
          <w:sz w:val="20"/>
          <w:szCs w:val="20"/>
          <w:color w:val="auto"/>
        </w:rPr>
      </w:pPr>
    </w:p>
    <w:p>
      <w:pPr>
        <w:jc w:val="both"/>
        <w:ind w:firstLine="636"/>
        <w:spacing w:after="0" w:line="28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Other Revolving Loans</w:t>
      </w:r>
      <w:r>
        <w:rPr>
          <w:rFonts w:ascii="Times New Roman" w:cs="Times New Roman" w:eastAsia="Times New Roman" w:hAnsi="Times New Roman"/>
          <w:sz w:val="21"/>
          <w:szCs w:val="21"/>
          <w:color w:val="auto"/>
        </w:rPr>
        <w:t>” means one or more Classes of revolving credit loans made pursuant to Other Revolving Commitments that result from a Refinancing Amendment.</w:t>
      </w:r>
    </w:p>
    <w:p>
      <w:pPr>
        <w:spacing w:after="0" w:line="134"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Other Taxes</w:t>
      </w:r>
      <w:r>
        <w:rPr>
          <w:rFonts w:ascii="Times New Roman" w:cs="Times New Roman" w:eastAsia="Times New Roman" w:hAnsi="Times New Roman"/>
          <w:sz w:val="21"/>
          <w:szCs w:val="21"/>
          <w:color w:val="auto"/>
        </w:rPr>
        <w:t>” means all present or future stamp, court or documentary, intangible, recording, filing, mortgage or mortgage recording Taxes, any other excise or property Taxes, or similar Taxes arising from any payment made hereunder or under any other Loan Document or from the execution, delivery, performance, or enforcement or registration of, from the receipt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49</w:t>
      </w:r>
    </w:p>
    <w:p>
      <w:pPr>
        <w:sectPr>
          <w:pgSz w:w="11900" w:h="16838" w:orient="portrait"/>
          <w:cols w:equalWidth="0" w:num="1">
            <w:col w:w="11240"/>
          </w:cols>
          <w:pgMar w:left="320" w:top="1398"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21"/>
          <w:szCs w:val="21"/>
          <w:color w:val="auto"/>
        </w:rPr>
        <w:t>perfection of a security interest under, or otherwise with respect to, this Agreement or any other Loan Document.</w:t>
      </w:r>
    </w:p>
    <w:p>
      <w:pPr>
        <w:spacing w:after="0" w:line="218"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Outstanding Amount</w:t>
      </w:r>
      <w:r>
        <w:rPr>
          <w:rFonts w:ascii="Times New Roman" w:cs="Times New Roman" w:eastAsia="Times New Roman" w:hAnsi="Times New Roman"/>
          <w:sz w:val="21"/>
          <w:szCs w:val="21"/>
          <w:color w:val="auto"/>
        </w:rPr>
        <w:t>” means (a) with respect to Term Loans and Revolving Credit Loans on any date, the aggregate outstanding principal amount thereof after giving effect to any borrowings and prepayments or repayments of Term Loans and Revolving Credit Loans, as the case may be, occurring on such date and (b) with respect to any L/C Obligations on any date, the amount of such L/C Obligations on such date after giving effect to any L/C Credit Extension occurring on such date and any other changes in the aggregate amount of the L/C Obligations as of such date, including as a result of any reimbursements by the Borrower of Unreimbursed Amounts, in each case, using the U.S. Dollar Equivalent of obligations denominated in an Alternative Currency.</w:t>
      </w:r>
    </w:p>
    <w:p>
      <w:pPr>
        <w:spacing w:after="0" w:line="200" w:lineRule="exact"/>
        <w:rPr>
          <w:sz w:val="20"/>
          <w:szCs w:val="20"/>
          <w:color w:val="auto"/>
        </w:rPr>
      </w:pPr>
    </w:p>
    <w:p>
      <w:pPr>
        <w:spacing w:after="0" w:line="237" w:lineRule="exact"/>
        <w:rPr>
          <w:sz w:val="20"/>
          <w:szCs w:val="20"/>
          <w:color w:val="auto"/>
        </w:rPr>
      </w:pPr>
    </w:p>
    <w:p>
      <w:pPr>
        <w:jc w:val="both"/>
        <w:ind w:firstLine="636"/>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Overnight Bank Funding Rate</w:t>
      </w:r>
      <w:r>
        <w:rPr>
          <w:rFonts w:ascii="Times New Roman" w:cs="Times New Roman" w:eastAsia="Times New Roman" w:hAnsi="Times New Roman"/>
          <w:sz w:val="21"/>
          <w:szCs w:val="21"/>
          <w:color w:val="auto"/>
        </w:rPr>
        <w:t>” means, for any day, the rate comprised of both overnight federal funds and overnight eurodollar transactions denominated in U.S. Dollars by U.S.-managed banking offices of depository institutions, as such composite rate shall be determined by the NYFRB as set forth on the NYFRB’s Website from time to time, and published on the next succeeding Business Day by the NYFRB as an overnight bank funding rate.</w:t>
      </w:r>
    </w:p>
    <w:p>
      <w:pPr>
        <w:spacing w:after="0" w:line="16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Parent Company</w:t>
      </w:r>
      <w:r>
        <w:rPr>
          <w:rFonts w:ascii="Times New Roman" w:cs="Times New Roman" w:eastAsia="Times New Roman" w:hAnsi="Times New Roman"/>
          <w:sz w:val="21"/>
          <w:szCs w:val="21"/>
          <w:color w:val="auto"/>
        </w:rPr>
        <w:t>” means any Person of which the Borrower is a direct or indirect wholly-owned Subsidiary.</w:t>
      </w:r>
    </w:p>
    <w:p>
      <w:pPr>
        <w:spacing w:after="0" w:line="222" w:lineRule="exact"/>
        <w:rPr>
          <w:sz w:val="20"/>
          <w:szCs w:val="20"/>
          <w:color w:val="auto"/>
        </w:rPr>
      </w:pPr>
    </w:p>
    <w:p>
      <w:pPr>
        <w:jc w:val="both"/>
        <w:ind w:firstLine="636"/>
        <w:spacing w:after="0" w:line="30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Pari Passu Intercreditor Agreement</w:t>
      </w:r>
      <w:r>
        <w:rPr>
          <w:rFonts w:ascii="Times New Roman" w:cs="Times New Roman" w:eastAsia="Times New Roman" w:hAnsi="Times New Roman"/>
          <w:sz w:val="21"/>
          <w:szCs w:val="21"/>
          <w:color w:val="auto"/>
        </w:rPr>
        <w:t xml:space="preserve">” means an intercreditor agreement among the Administrative Agent and the other parties from time to time party thereto, substantially in the form of </w:t>
      </w:r>
      <w:r>
        <w:rPr>
          <w:rFonts w:ascii="Times New Roman" w:cs="Times New Roman" w:eastAsia="Times New Roman" w:hAnsi="Times New Roman"/>
          <w:sz w:val="21"/>
          <w:szCs w:val="21"/>
          <w:u w:val="single" w:color="auto"/>
          <w:color w:val="auto"/>
        </w:rPr>
        <w:t>Exhibit I</w:t>
      </w:r>
      <w:r>
        <w:rPr>
          <w:rFonts w:ascii="Times New Roman" w:cs="Times New Roman" w:eastAsia="Times New Roman" w:hAnsi="Times New Roman"/>
          <w:sz w:val="21"/>
          <w:szCs w:val="21"/>
          <w:color w:val="auto"/>
        </w:rPr>
        <w:t>.</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Participant</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10.06(d)</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Participant Register</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10.06(d)</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jc w:val="both"/>
        <w:ind w:firstLine="636"/>
        <w:spacing w:after="0" w:line="28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Participating Member State</w:t>
      </w:r>
      <w:r>
        <w:rPr>
          <w:rFonts w:ascii="Times New Roman" w:cs="Times New Roman" w:eastAsia="Times New Roman" w:hAnsi="Times New Roman"/>
          <w:sz w:val="21"/>
          <w:szCs w:val="21"/>
          <w:color w:val="auto"/>
        </w:rPr>
        <w:t>” means any member state of the European Union that has the euro as its lawful currency in accordance with legislation of the European Union relating to Economic and Monetary Union.</w:t>
      </w:r>
    </w:p>
    <w:p>
      <w:pPr>
        <w:spacing w:after="0" w:line="1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Payment</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9.13(a)</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Payment Notice</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9.13(b)</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PBGC</w:t>
      </w:r>
      <w:r>
        <w:rPr>
          <w:rFonts w:ascii="Times New Roman" w:cs="Times New Roman" w:eastAsia="Times New Roman" w:hAnsi="Times New Roman"/>
          <w:sz w:val="21"/>
          <w:szCs w:val="21"/>
          <w:color w:val="auto"/>
        </w:rPr>
        <w:t>” means the Pension Benefit Guaranty Corporation.</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Pension Act</w:t>
      </w:r>
      <w:r>
        <w:rPr>
          <w:rFonts w:ascii="Times New Roman" w:cs="Times New Roman" w:eastAsia="Times New Roman" w:hAnsi="Times New Roman"/>
          <w:sz w:val="21"/>
          <w:szCs w:val="21"/>
          <w:color w:val="auto"/>
        </w:rPr>
        <w:t>” means the Pension Protection Act of 2006.</w:t>
      </w:r>
    </w:p>
    <w:p>
      <w:pPr>
        <w:spacing w:after="0" w:line="222" w:lineRule="exact"/>
        <w:rPr>
          <w:sz w:val="20"/>
          <w:szCs w:val="20"/>
          <w:color w:val="auto"/>
        </w:rPr>
      </w:pPr>
    </w:p>
    <w:p>
      <w:pPr>
        <w:jc w:val="both"/>
        <w:ind w:firstLine="636"/>
        <w:spacing w:after="0" w:line="27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Pension Funding Rules</w:t>
      </w:r>
      <w:r>
        <w:rPr>
          <w:rFonts w:ascii="Times New Roman" w:cs="Times New Roman" w:eastAsia="Times New Roman" w:hAnsi="Times New Roman"/>
          <w:sz w:val="21"/>
          <w:szCs w:val="21"/>
          <w:color w:val="auto"/>
        </w:rPr>
        <w:t>” means the rules of the Code and ERISA regarding minimum funding standards and required contributions (including any installment payment thereof) to Pension Plans and set forth in, with respect to plan years ending prior to the effective date of the Pension Act, Section 412 of the Code and Section 302 of ERISA, each as in effect prior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50</w:t>
      </w:r>
    </w:p>
    <w:p>
      <w:pPr>
        <w:sectPr>
          <w:pgSz w:w="11900" w:h="16838" w:orient="portrait"/>
          <w:cols w:equalWidth="0" w:num="1">
            <w:col w:w="11240"/>
          </w:cols>
          <w:pgMar w:left="320" w:top="1397"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21"/>
          <w:szCs w:val="21"/>
          <w:color w:val="auto"/>
        </w:rPr>
        <w:t>Pension Act and, thereafter, Sections 412, 430, 431, 432 and 436 of the Code and Sections 302, 303, 304 and 305 of ERISA.</w:t>
      </w:r>
    </w:p>
    <w:p>
      <w:pPr>
        <w:spacing w:after="0" w:line="218" w:lineRule="exact"/>
        <w:rPr>
          <w:sz w:val="20"/>
          <w:szCs w:val="20"/>
          <w:color w:val="auto"/>
        </w:rPr>
      </w:pPr>
    </w:p>
    <w:p>
      <w:pPr>
        <w:jc w:val="both"/>
        <w:ind w:firstLine="636"/>
        <w:spacing w:after="0" w:line="26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Pension Plan</w:t>
      </w:r>
      <w:r>
        <w:rPr>
          <w:rFonts w:ascii="Times New Roman" w:cs="Times New Roman" w:eastAsia="Times New Roman" w:hAnsi="Times New Roman"/>
          <w:sz w:val="21"/>
          <w:szCs w:val="21"/>
          <w:color w:val="auto"/>
        </w:rPr>
        <w:t>” means any employee pension benefit plan (including, but not limited to, Multiple Employer Plans, Multiemployer Plans, defined benefit plans or defined contribution plans) that is maintained or is contributed to, or during the preceding five plan years has been maintained or contributed to, by the Borrower and any ERISA Affiliate and is either covered by Title IV of ERISA or is subject to the Pension Funding Rules.</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Periodic Term SOFR Determination Day</w:t>
      </w:r>
      <w:r>
        <w:rPr>
          <w:rFonts w:ascii="Times New Roman" w:cs="Times New Roman" w:eastAsia="Times New Roman" w:hAnsi="Times New Roman"/>
          <w:sz w:val="21"/>
          <w:szCs w:val="21"/>
          <w:color w:val="auto"/>
        </w:rPr>
        <w:t>” has the meaning assigned to such term in the definition of “Term SOFR”.</w:t>
      </w:r>
    </w:p>
    <w:p>
      <w:pPr>
        <w:spacing w:after="0" w:line="222" w:lineRule="exact"/>
        <w:rPr>
          <w:sz w:val="20"/>
          <w:szCs w:val="20"/>
          <w:color w:val="auto"/>
        </w:rPr>
      </w:pPr>
    </w:p>
    <w:p>
      <w:pPr>
        <w:jc w:val="both"/>
        <w:ind w:firstLine="636"/>
        <w:spacing w:after="0" w:line="27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Permitted Acquisition</w:t>
      </w:r>
      <w:r>
        <w:rPr>
          <w:rFonts w:ascii="Times New Roman" w:cs="Times New Roman" w:eastAsia="Times New Roman" w:hAnsi="Times New Roman"/>
          <w:sz w:val="21"/>
          <w:szCs w:val="21"/>
          <w:color w:val="auto"/>
        </w:rPr>
        <w:t>” means any investment by the Borrower or any Restricted Subsidiary in the form of acquisitions of all or substantially all of the business or a line of business or a separate operation (whether by the acquisition of capital stock, assets or any combination thereof) of any other Person if:</w:t>
      </w:r>
    </w:p>
    <w:p>
      <w:pPr>
        <w:spacing w:after="0" w:line="151" w:lineRule="exact"/>
        <w:rPr>
          <w:sz w:val="20"/>
          <w:szCs w:val="20"/>
          <w:color w:val="auto"/>
        </w:rPr>
      </w:pPr>
    </w:p>
    <w:p>
      <w:pPr>
        <w:ind w:left="1900" w:hanging="622"/>
        <w:spacing w:after="0"/>
        <w:tabs>
          <w:tab w:leader="none" w:pos="1900"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acquired entity, assets or operations shall be in the Permitted Business;</w:t>
      </w:r>
    </w:p>
    <w:p>
      <w:pPr>
        <w:spacing w:after="0" w:line="222" w:lineRule="exact"/>
        <w:rPr>
          <w:rFonts w:ascii="Times New Roman" w:cs="Times New Roman" w:eastAsia="Times New Roman" w:hAnsi="Times New Roman"/>
          <w:sz w:val="21"/>
          <w:szCs w:val="21"/>
          <w:color w:val="auto"/>
        </w:rPr>
      </w:pPr>
    </w:p>
    <w:p>
      <w:pPr>
        <w:jc w:val="both"/>
        <w:ind w:left="640" w:firstLine="638"/>
        <w:spacing w:after="0" w:line="262" w:lineRule="auto"/>
        <w:tabs>
          <w:tab w:leader="none" w:pos="1900"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aggregate amount of acquisitions made by the Borrower and its Restricted Subsidiaries in Persons that do not become Loan Parties as a result of any such acquisition and all other Permitted Acquisitions closed on or after the Closing Date shall not exceed the greater of (i) $</w:t>
      </w:r>
      <w:r>
        <w:rPr>
          <w:rFonts w:ascii="Times New Roman" w:cs="Times New Roman" w:eastAsia="Times New Roman" w:hAnsi="Times New Roman"/>
          <w:sz w:val="21"/>
          <w:szCs w:val="21"/>
          <w:b w:val="1"/>
          <w:bCs w:val="1"/>
          <w:color w:val="FF0000"/>
          <w:strike w:val="1"/>
        </w:rPr>
        <w:t>100,000,000</w:t>
      </w:r>
      <w:r>
        <w:rPr>
          <w:rFonts w:ascii="Times New Roman" w:cs="Times New Roman" w:eastAsia="Times New Roman" w:hAnsi="Times New Roman"/>
          <w:sz w:val="21"/>
          <w:szCs w:val="21"/>
          <w:b w:val="1"/>
          <w:bCs w:val="1"/>
          <w:u w:val="single" w:color="auto"/>
          <w:color w:val="0000FF"/>
        </w:rPr>
        <w:t>200,000,000</w:t>
      </w:r>
      <w:r>
        <w:rPr>
          <w:rFonts w:ascii="Times New Roman" w:cs="Times New Roman" w:eastAsia="Times New Roman" w:hAnsi="Times New Roman"/>
          <w:sz w:val="21"/>
          <w:szCs w:val="21"/>
          <w:color w:val="auto"/>
        </w:rPr>
        <w:t xml:space="preserve"> and (ii) 40% of the Consolidated EBITDA based on the Most Recent Financial Statements after giving effect to all acquisitions whether closed prior to, on or after the Closing Date, but prior to giving effect to the proposed acquisition; and</w:t>
      </w:r>
    </w:p>
    <w:p>
      <w:pPr>
        <w:spacing w:after="0" w:line="165" w:lineRule="exact"/>
        <w:rPr>
          <w:rFonts w:ascii="Times New Roman" w:cs="Times New Roman" w:eastAsia="Times New Roman" w:hAnsi="Times New Roman"/>
          <w:sz w:val="21"/>
          <w:szCs w:val="21"/>
          <w:color w:val="auto"/>
        </w:rPr>
      </w:pPr>
    </w:p>
    <w:p>
      <w:pPr>
        <w:ind w:left="1900" w:hanging="622"/>
        <w:spacing w:after="0"/>
        <w:tabs>
          <w:tab w:leader="none" w:pos="1900"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 Event of Default under </w:t>
      </w:r>
      <w:r>
        <w:rPr>
          <w:rFonts w:ascii="Times New Roman" w:cs="Times New Roman" w:eastAsia="Times New Roman" w:hAnsi="Times New Roman"/>
          <w:sz w:val="21"/>
          <w:szCs w:val="21"/>
          <w:u w:val="single" w:color="auto"/>
          <w:color w:val="auto"/>
        </w:rPr>
        <w:t>Sections 8.01(a)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8.01(f)</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8.01(g)</w:t>
      </w:r>
      <w:r>
        <w:rPr>
          <w:rFonts w:ascii="Times New Roman" w:cs="Times New Roman" w:eastAsia="Times New Roman" w:hAnsi="Times New Roman"/>
          <w:sz w:val="21"/>
          <w:szCs w:val="21"/>
          <w:color w:val="auto"/>
        </w:rPr>
        <w:t xml:space="preserve"> shall have occurred and be continuing.</w:t>
      </w:r>
    </w:p>
    <w:p>
      <w:pPr>
        <w:spacing w:after="0" w:line="218"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Permitted Business</w:t>
      </w:r>
      <w:r>
        <w:rPr>
          <w:rFonts w:ascii="Times New Roman" w:cs="Times New Roman" w:eastAsia="Times New Roman" w:hAnsi="Times New Roman"/>
          <w:sz w:val="21"/>
          <w:szCs w:val="21"/>
          <w:color w:val="auto"/>
        </w:rPr>
        <w:t>” means the growing, packaging, manufacturing, processing, licensing, distribution and/or sale of any product that is ingestible by a natural person or the provision of any service with respect thereto or a line of business reasonably related, complementary, synergistic or ancillary thereto or reasonable extensions thereof.</w:t>
      </w:r>
    </w:p>
    <w:p>
      <w:pPr>
        <w:spacing w:after="0" w:line="1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Permitted Liens</w:t>
      </w:r>
      <w:r>
        <w:rPr>
          <w:rFonts w:ascii="Times New Roman" w:cs="Times New Roman" w:eastAsia="Times New Roman" w:hAnsi="Times New Roman"/>
          <w:sz w:val="21"/>
          <w:szCs w:val="21"/>
          <w:color w:val="auto"/>
        </w:rPr>
        <w:t xml:space="preserve">” means those Liens permitted pursuant to </w:t>
      </w:r>
      <w:r>
        <w:rPr>
          <w:rFonts w:ascii="Times New Roman" w:cs="Times New Roman" w:eastAsia="Times New Roman" w:hAnsi="Times New Roman"/>
          <w:sz w:val="21"/>
          <w:szCs w:val="21"/>
          <w:u w:val="single" w:color="auto"/>
          <w:color w:val="auto"/>
        </w:rPr>
        <w:t>Section 7.01</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Permitted Prior Liens</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5.18</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jc w:val="both"/>
        <w:ind w:firstLine="636"/>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Permitted Refinancing</w:t>
      </w:r>
      <w:r>
        <w:rPr>
          <w:rFonts w:ascii="Times New Roman" w:cs="Times New Roman" w:eastAsia="Times New Roman" w:hAnsi="Times New Roman"/>
          <w:sz w:val="21"/>
          <w:szCs w:val="21"/>
          <w:color w:val="auto"/>
        </w:rPr>
        <w:t xml:space="preserve">” means, with respect to any Person, any modification, refinancing, refunding, renewal or extension of any Indebtedness of such Person;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 the principal amount (or accreted value, if applicable) thereof does not exceed the principal amount (or accreted value, if applicable) of the Indebtedness so modified, refinanced, refunded, renewed or extended except by an amount equal to unpaid accrued interest and premium thereon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other reasonable amounts paid, and fees and expenses reasonably incurred, in connection with such modification, refinancing, refunding, renewal or extension and by an amount equal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51</w:t>
      </w:r>
    </w:p>
    <w:p>
      <w:pPr>
        <w:sectPr>
          <w:pgSz w:w="11900" w:h="16838" w:orient="portrait"/>
          <w:cols w:equalWidth="0" w:num="1">
            <w:col w:w="11240"/>
          </w:cols>
          <w:pgMar w:left="320" w:top="1398" w:right="339" w:bottom="1440" w:gutter="0" w:footer="0" w:header="0"/>
        </w:sectPr>
      </w:pPr>
    </w:p>
    <w:bookmarkStart w:id="157" w:name="page158"/>
    <w:bookmarkEnd w:id="157"/>
    <w:p>
      <w:pPr>
        <w:jc w:val="both"/>
        <w:spacing w:after="0" w:line="254" w:lineRule="auto"/>
        <w:rPr>
          <w:sz w:val="20"/>
          <w:szCs w:val="20"/>
          <w:color w:val="auto"/>
        </w:rPr>
      </w:pPr>
      <w:r>
        <w:rPr>
          <w:rFonts w:ascii="Times New Roman" w:cs="Times New Roman" w:eastAsia="Times New Roman" w:hAnsi="Times New Roman"/>
          <w:sz w:val="21"/>
          <w:szCs w:val="21"/>
          <w:color w:val="auto"/>
        </w:rPr>
        <w:t xml:space="preserve">any existing commitments unutilized thereunder (and, for the avoidance of doubt, if such principal amount (or accreted value, if applicable) is exceeded, such excess amount is otherwise permitted to be incurred hereunder), (b) such modification, refinancing, refunding, renewal or extension has a final maturity date equal to or later than the final maturity date of, and has a Weighted Average Life to Maturity equal to or greater than the remaining Weighted Average Life to Maturity of, the Indebtedness being modified, refinanced, refunded, renewed or extended, (c) at the time thereof, no Event of Default under </w:t>
      </w:r>
      <w:r>
        <w:rPr>
          <w:rFonts w:ascii="Times New Roman" w:cs="Times New Roman" w:eastAsia="Times New Roman" w:hAnsi="Times New Roman"/>
          <w:sz w:val="21"/>
          <w:szCs w:val="21"/>
          <w:u w:val="single" w:color="auto"/>
          <w:color w:val="auto"/>
        </w:rPr>
        <w:t>Sections 8.01(a)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8.01(f)</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8.01(g)</w:t>
      </w:r>
      <w:r>
        <w:rPr>
          <w:rFonts w:ascii="Times New Roman" w:cs="Times New Roman" w:eastAsia="Times New Roman" w:hAnsi="Times New Roman"/>
          <w:sz w:val="21"/>
          <w:szCs w:val="21"/>
          <w:color w:val="auto"/>
        </w:rPr>
        <w:t xml:space="preserve"> shall have occurred and be continuing, (d) if such Indebtedness being modified, refinanced, refunded, renewed or extended is subordinated in right of payment to the Obligations, such modification, refinancing, refunding, renewal or extension is subordinated in right of payment to the Obligations on terms at least as favorable to the Lenders as those contained in the documentation governing the Indebtedness being modified, refinanced, refunded, renewed or extended, (e) if such Indebtedness being modified, refinanced, refunded, renewed or extended is secured, the terms and conditions relating to collateral of any such modified, refinanced, refunded, renewed or extended indebtedness, taken as a whole, are not materially less favorable to the Loan Parties or the Lenders than the terms and conditions with respect to the collateral for the Indebtedness being modified, refinanced, refunded, renewed or extended, taken as a whole, and the Liens on any Collateral securing any such modified, refinanced, refunded, renewed or extended Indebtedness shall have the same (or lesser) priority relative to the Liens on the Collateral securing the Obligations and, if secured by the Collateral, the holders of such Indebtedness or a representative thereof shall be or become a party to a Pari Passu Intercreditor Agreement and the Junior Lien Intercreditor Agreement (if such Indebtedness is secured by any or all of the Collateral on a pari passu basis (without regard to control of remedies) with the Obligations) or to the Junior Lien Intercreditor Agreement (if such Indebtedness is secured by any or all of the Collateral on a junior basis (without regard to the control of remedies) with the Obligations), (f) the terms and conditions (excluding as to collateral, subordination, interest rate and redemption premium) of any such modified, refinanced, refunded, renewed or extended Indebtedness, taken as a whole, shall not be materially less favorable to the Loan Parties than the Indebtedness being modified, refinanced, refunded, renewed or extended, taken as a whole, (g) if such Indebtedness being modified, refinanced, refunded, renewed or extended was unsecured, such modification, refinancing, refunding, renewal or extension shall also be unsecured and (h) such modification, refinancing, refunding, renewal or extension is incurred by one or more Persons who is an obligor of the Indebtedness being modified, refinanced, refunded, renewed or extended.</w:t>
      </w:r>
    </w:p>
    <w:p>
      <w:pPr>
        <w:spacing w:after="0" w:line="200" w:lineRule="exact"/>
        <w:rPr>
          <w:sz w:val="20"/>
          <w:szCs w:val="20"/>
          <w:color w:val="auto"/>
        </w:rPr>
      </w:pPr>
    </w:p>
    <w:p>
      <w:pPr>
        <w:spacing w:after="0" w:line="234" w:lineRule="exact"/>
        <w:rPr>
          <w:sz w:val="20"/>
          <w:szCs w:val="20"/>
          <w:color w:val="auto"/>
        </w:rPr>
      </w:pPr>
    </w:p>
    <w:p>
      <w:pPr>
        <w:jc w:val="both"/>
        <w:ind w:firstLine="636"/>
        <w:spacing w:after="0" w:line="28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Person</w:t>
      </w:r>
      <w:r>
        <w:rPr>
          <w:rFonts w:ascii="Times New Roman" w:cs="Times New Roman" w:eastAsia="Times New Roman" w:hAnsi="Times New Roman"/>
          <w:sz w:val="21"/>
          <w:szCs w:val="21"/>
          <w:color w:val="auto"/>
        </w:rPr>
        <w:t>” means any natural person, corporation, limited liability company, trust, joint venture, association, company, partnership, Governmental Authority or other entity.</w:t>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Platform</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6.02</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Post</w:t>
      </w:r>
      <w:r>
        <w:rPr>
          <w:rFonts w:ascii="Times New Roman" w:cs="Times New Roman" w:eastAsia="Times New Roman" w:hAnsi="Times New Roman"/>
          <w:sz w:val="21"/>
          <w:szCs w:val="21"/>
          <w:color w:val="auto"/>
        </w:rPr>
        <w:t>” means Post Holdings, Inc., a Missouri corporation, and its successors and assigns.</w:t>
      </w:r>
    </w:p>
    <w:p>
      <w:pPr>
        <w:spacing w:after="0" w:line="222" w:lineRule="exact"/>
        <w:rPr>
          <w:sz w:val="20"/>
          <w:szCs w:val="20"/>
          <w:color w:val="auto"/>
        </w:rPr>
      </w:pPr>
    </w:p>
    <w:p>
      <w:pPr>
        <w:jc w:val="both"/>
        <w:ind w:firstLine="636"/>
        <w:spacing w:after="0" w:line="30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Prepayment Notice</w:t>
      </w:r>
      <w:r>
        <w:rPr>
          <w:rFonts w:ascii="Times New Roman" w:cs="Times New Roman" w:eastAsia="Times New Roman" w:hAnsi="Times New Roman"/>
          <w:sz w:val="21"/>
          <w:szCs w:val="21"/>
          <w:color w:val="auto"/>
        </w:rPr>
        <w:t xml:space="preserve">” means a notice of the optional prepayment of Revolving Credit Loans or Term Loans pursuant to </w:t>
      </w:r>
      <w:r>
        <w:rPr>
          <w:rFonts w:ascii="Times New Roman" w:cs="Times New Roman" w:eastAsia="Times New Roman" w:hAnsi="Times New Roman"/>
          <w:sz w:val="21"/>
          <w:szCs w:val="21"/>
          <w:u w:val="single" w:color="auto"/>
          <w:color w:val="auto"/>
        </w:rPr>
        <w:t>Section 2.05(a)</w:t>
      </w:r>
      <w:r>
        <w:rPr>
          <w:rFonts w:ascii="Times New Roman" w:cs="Times New Roman" w:eastAsia="Times New Roman" w:hAnsi="Times New Roman"/>
          <w:sz w:val="21"/>
          <w:szCs w:val="21"/>
          <w:color w:val="auto"/>
        </w:rPr>
        <w:t xml:space="preserve">, which shall be substantially in the form of </w:t>
      </w:r>
      <w:r>
        <w:rPr>
          <w:rFonts w:ascii="Times New Roman" w:cs="Times New Roman" w:eastAsia="Times New Roman" w:hAnsi="Times New Roman"/>
          <w:sz w:val="21"/>
          <w:szCs w:val="21"/>
          <w:u w:val="single" w:color="auto"/>
          <w:color w:val="auto"/>
        </w:rPr>
        <w:t>Exhibit A-3</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52</w:t>
      </w:r>
    </w:p>
    <w:p>
      <w:pPr>
        <w:sectPr>
          <w:pgSz w:w="11900" w:h="16838" w:orient="portrait"/>
          <w:cols w:equalWidth="0" w:num="1">
            <w:col w:w="11240"/>
          </w:cols>
          <w:pgMar w:left="320" w:top="1397" w:right="339" w:bottom="1440" w:gutter="0" w:footer="0" w:header="0"/>
        </w:sectPr>
      </w:pPr>
    </w:p>
    <w:bookmarkStart w:id="158" w:name="page159"/>
    <w:bookmarkEnd w:id="158"/>
    <w:p>
      <w:pPr>
        <w:jc w:val="both"/>
        <w:ind w:firstLine="636"/>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Prime Rate</w:t>
      </w:r>
      <w:r>
        <w:rPr>
          <w:rFonts w:ascii="Times New Roman" w:cs="Times New Roman" w:eastAsia="Times New Roman" w:hAnsi="Times New Roman"/>
          <w:sz w:val="21"/>
          <w:szCs w:val="21"/>
          <w:color w:val="auto"/>
        </w:rPr>
        <w:t xml:space="preserve">” means the rate last quoted by </w:t>
      </w:r>
      <w:r>
        <w:rPr>
          <w:rFonts w:ascii="Times New Roman" w:cs="Times New Roman" w:eastAsia="Times New Roman" w:hAnsi="Times New Roman"/>
          <w:sz w:val="21"/>
          <w:szCs w:val="21"/>
          <w:u w:val="single" w:color="auto"/>
          <w:color w:val="auto"/>
        </w:rPr>
        <w:t>The Wall Street Journal</w:t>
      </w:r>
      <w:r>
        <w:rPr>
          <w:rFonts w:ascii="Times New Roman" w:cs="Times New Roman" w:eastAsia="Times New Roman" w:hAnsi="Times New Roman"/>
          <w:sz w:val="21"/>
          <w:szCs w:val="21"/>
          <w:color w:val="auto"/>
        </w:rPr>
        <w:t xml:space="preserve"> as the “Prime Rate” in the United States or, if </w:t>
      </w:r>
      <w:r>
        <w:rPr>
          <w:rFonts w:ascii="Times New Roman" w:cs="Times New Roman" w:eastAsia="Times New Roman" w:hAnsi="Times New Roman"/>
          <w:sz w:val="21"/>
          <w:szCs w:val="21"/>
          <w:u w:val="single" w:color="auto"/>
          <w:color w:val="auto"/>
        </w:rPr>
        <w:t>The Wall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Street Journal</w:t>
      </w:r>
      <w:r>
        <w:rPr>
          <w:rFonts w:ascii="Times New Roman" w:cs="Times New Roman" w:eastAsia="Times New Roman" w:hAnsi="Times New Roman"/>
          <w:sz w:val="21"/>
          <w:szCs w:val="21"/>
          <w:color w:val="auto"/>
        </w:rPr>
        <w:t xml:space="preserve">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reasonably determined by the Administrative Agent) or any similar release by the Federal Reserve Board (as reasonably determined by the Administrative Agent).</w:t>
      </w:r>
    </w:p>
    <w:p>
      <w:pPr>
        <w:spacing w:after="0" w:line="16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Pro Rata Obligations</w:t>
      </w:r>
      <w:r>
        <w:rPr>
          <w:rFonts w:ascii="Times New Roman" w:cs="Times New Roman" w:eastAsia="Times New Roman" w:hAnsi="Times New Roman"/>
          <w:sz w:val="21"/>
          <w:szCs w:val="21"/>
          <w:color w:val="auto"/>
        </w:rPr>
        <w:t>” means the Loans and the Letters of Credit.</w:t>
      </w:r>
    </w:p>
    <w:p>
      <w:pPr>
        <w:spacing w:after="0" w:line="222" w:lineRule="exact"/>
        <w:rPr>
          <w:sz w:val="20"/>
          <w:szCs w:val="20"/>
          <w:color w:val="auto"/>
        </w:rPr>
      </w:pPr>
    </w:p>
    <w:p>
      <w:pPr>
        <w:jc w:val="both"/>
        <w:ind w:firstLine="636"/>
        <w:spacing w:after="0" w:line="28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PTE</w:t>
      </w:r>
      <w:r>
        <w:rPr>
          <w:rFonts w:ascii="Times New Roman" w:cs="Times New Roman" w:eastAsia="Times New Roman" w:hAnsi="Times New Roman"/>
          <w:sz w:val="21"/>
          <w:szCs w:val="21"/>
          <w:color w:val="auto"/>
        </w:rPr>
        <w:t>” means a prohibited transaction class exemption issued by the U.S. Department of Labor, as any such exemption may be amended from time to time.</w:t>
      </w:r>
    </w:p>
    <w:p>
      <w:pPr>
        <w:spacing w:after="0" w:line="1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Public Lender</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6.02</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Qualified Equity Interests</w:t>
      </w:r>
      <w:r>
        <w:rPr>
          <w:rFonts w:ascii="Times New Roman" w:cs="Times New Roman" w:eastAsia="Times New Roman" w:hAnsi="Times New Roman"/>
          <w:sz w:val="21"/>
          <w:szCs w:val="21"/>
          <w:color w:val="auto"/>
        </w:rPr>
        <w:t>” means any Equity Interests that are not Disqualified Equity Interests.</w:t>
      </w:r>
    </w:p>
    <w:p>
      <w:pPr>
        <w:spacing w:after="0" w:line="222" w:lineRule="exact"/>
        <w:rPr>
          <w:sz w:val="20"/>
          <w:szCs w:val="20"/>
          <w:color w:val="auto"/>
        </w:rPr>
      </w:pPr>
    </w:p>
    <w:p>
      <w:pPr>
        <w:jc w:val="both"/>
        <w:ind w:firstLine="636"/>
        <w:spacing w:after="0" w:line="289" w:lineRule="auto"/>
        <w:rPr>
          <w:sz w:val="20"/>
          <w:szCs w:val="20"/>
          <w:color w:val="auto"/>
        </w:rPr>
      </w:pPr>
      <w:r>
        <w:rPr>
          <w:rFonts w:ascii="Times New Roman" w:cs="Times New Roman" w:eastAsia="Times New Roman" w:hAnsi="Times New Roman"/>
          <w:sz w:val="21"/>
          <w:szCs w:val="21"/>
          <w:b w:val="1"/>
          <w:bCs w:val="1"/>
          <w:color w:val="auto"/>
        </w:rPr>
        <w:t xml:space="preserve">“Qualified Proceeds” </w:t>
      </w:r>
      <w:r>
        <w:rPr>
          <w:rFonts w:ascii="Times New Roman" w:cs="Times New Roman" w:eastAsia="Times New Roman" w:hAnsi="Times New Roman"/>
          <w:sz w:val="21"/>
          <w:szCs w:val="21"/>
          <w:color w:val="auto"/>
        </w:rPr>
        <w:t>means assets that are used or useful in, or Equity Interests of any Person engaged in, a Permitted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Business.</w:t>
      </w:r>
    </w:p>
    <w:p>
      <w:pPr>
        <w:spacing w:after="0" w:line="134" w:lineRule="exact"/>
        <w:rPr>
          <w:sz w:val="20"/>
          <w:szCs w:val="20"/>
          <w:color w:val="auto"/>
        </w:rPr>
      </w:pPr>
    </w:p>
    <w:p>
      <w:pPr>
        <w:jc w:val="both"/>
        <w:ind w:firstLine="636"/>
        <w:spacing w:after="0" w:line="25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Qualified Receivables Transaction</w:t>
      </w:r>
      <w:r>
        <w:rPr>
          <w:rFonts w:ascii="Times New Roman" w:cs="Times New Roman" w:eastAsia="Times New Roman" w:hAnsi="Times New Roman"/>
          <w:sz w:val="21"/>
          <w:szCs w:val="21"/>
          <w:color w:val="auto"/>
        </w:rPr>
        <w:t xml:space="preserve">” means any transaction or series of transactions that may be entered into by the Borrower or any Restricted Subsidiary pursuant to which the Borrower or any such Restricted Subsidiary may sell, convey or otherwise transfer to a Receivables Subsidiary (in the case of a transfer by the Borrower or any Restricted Subsidiary) or to any Special Purpose Vehicle (in the case of a transfer by a Receivables Subsidiary), or may grant a security interest in, any Receivables Program Assets (whether existing on the Closing Date or arising thereafter);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(1) no portion of the Indebtedness or any other obligations (contingent or otherwise) of a Receivables Subsidiary or Special Purpose Vehicle (a) is Guaranteed by the Borrower or any Restricted Subsidiary (other than a Receivables Subsidiary), excluding Guarantees of obligations pursuant to Standard Securitization Undertakings, (b) is recourse to or obligates the Borrower or any Restricted Subsidiary (other than a Receivables Subsidiary) in any way other than pursuant to Standard Securitization Undertakings, or (c) subjects any property or asset of the Borrower or any Restricted Subsidiary (other than a Receivables Subsidiary), directly or indirectly, contingently or otherwise, to the satisfaction of obligations incurred in such transactions, other than pursuant to Standard Securitization Undertakings; (2) neither the Borrower nor any Restricted Subsidiary (other than a Receivables Subsidiary) has any material contract, agreement, arrangement or understanding with a Receivables Subsidiary or a Special Purpose Vehicle other than on terms no less favorable to the Borrower or such Restricted Subsidiary than those that might be obtained at the time from Persons that are not Affiliates of the Borrower, other than fees payable in the ordinary course of business in connection with servicing accounts receivable and Standard Securitization Undertakings; and (3) the Borrower and its Restricted Subsidiaries (other than a Receivables Subsidiary) do not have any obligation to maintain or preserve the financial condition of a Receivables Subsidiary or a Special Purpose Vehicle or cause such entity to achieve certain levels of operating results other than Standard Securitization Undertakings.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53</w:t>
      </w:r>
    </w:p>
    <w:p>
      <w:pPr>
        <w:sectPr>
          <w:pgSz w:w="11900" w:h="16838" w:orient="portrait"/>
          <w:cols w:equalWidth="0" w:num="1">
            <w:col w:w="11240"/>
          </w:cols>
          <w:pgMar w:left="320" w:top="1394" w:right="339" w:bottom="1440" w:gutter="0" w:footer="0" w:header="0"/>
        </w:sectPr>
      </w:pPr>
    </w:p>
    <w:bookmarkStart w:id="159" w:name="page160"/>
    <w:bookmarkEnd w:id="159"/>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Quarterly Financial Statements</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6.01(b)</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Ratio Calculation Date</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1.09(b)(i)</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jc w:val="both"/>
        <w:ind w:firstLine="636"/>
        <w:spacing w:after="0" w:line="26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Receivables</w:t>
      </w:r>
      <w:r>
        <w:rPr>
          <w:rFonts w:ascii="Times New Roman" w:cs="Times New Roman" w:eastAsia="Times New Roman" w:hAnsi="Times New Roman"/>
          <w:sz w:val="21"/>
          <w:szCs w:val="21"/>
          <w:color w:val="auto"/>
        </w:rPr>
        <w:t>” means all rights of the Borrower or any of its Restricted Subsidiaries (other than a Receivables Subsidiary) to payments (whether constituting accounts, chattel paper, instruments, general intangibles or otherwise, and including the right to payment of any interest or finance charges), which rights are identified in the accounting records of the Borrower or such Restricted Subsidiary as accounts receivable.</w:t>
      </w:r>
    </w:p>
    <w:p>
      <w:pPr>
        <w:spacing w:after="0" w:line="158" w:lineRule="exact"/>
        <w:rPr>
          <w:sz w:val="20"/>
          <w:szCs w:val="20"/>
          <w:color w:val="auto"/>
        </w:rPr>
      </w:pPr>
    </w:p>
    <w:p>
      <w:pPr>
        <w:jc w:val="both"/>
        <w:ind w:firstLine="636"/>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Receivables Documents</w:t>
      </w:r>
      <w:r>
        <w:rPr>
          <w:rFonts w:ascii="Times New Roman" w:cs="Times New Roman" w:eastAsia="Times New Roman" w:hAnsi="Times New Roman"/>
          <w:sz w:val="21"/>
          <w:szCs w:val="21"/>
          <w:color w:val="auto"/>
        </w:rPr>
        <w:t xml:space="preserve">” means: (1) one or more receivables purchase agreements, pooling and servicing agreements, credit agreements, agreements to acquire undivided interests or other agreements to transfer or obtain loans or advances against, or create a security interest in, Receivables Program Assets, in each case as amended, modified, supplemented, restated or replaced from time to time and entered into by the Borrower, a Restricted Subsidiary and/or a Receivables Subsidiary, and (2) each other instrument, agreement and other document entered into by the Borrower, a Restricted Subsidiary or a Receivables Subsidiary relating to the transactions contemplated by the agreements referred to in </w:t>
      </w:r>
      <w:r>
        <w:rPr>
          <w:rFonts w:ascii="Times New Roman" w:cs="Times New Roman" w:eastAsia="Times New Roman" w:hAnsi="Times New Roman"/>
          <w:sz w:val="21"/>
          <w:szCs w:val="21"/>
          <w:u w:val="single" w:color="auto"/>
          <w:color w:val="auto"/>
        </w:rPr>
        <w:t>clause (1)</w:t>
      </w:r>
      <w:r>
        <w:rPr>
          <w:rFonts w:ascii="Times New Roman" w:cs="Times New Roman" w:eastAsia="Times New Roman" w:hAnsi="Times New Roman"/>
          <w:sz w:val="21"/>
          <w:szCs w:val="21"/>
          <w:color w:val="auto"/>
        </w:rPr>
        <w:t xml:space="preserve"> above.</w:t>
      </w:r>
    </w:p>
    <w:p>
      <w:pPr>
        <w:spacing w:after="0" w:line="166" w:lineRule="exact"/>
        <w:rPr>
          <w:sz w:val="20"/>
          <w:szCs w:val="20"/>
          <w:color w:val="auto"/>
        </w:rPr>
      </w:pPr>
    </w:p>
    <w:p>
      <w:pPr>
        <w:jc w:val="both"/>
        <w:ind w:firstLine="636"/>
        <w:spacing w:after="0" w:line="27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Receivables Fees</w:t>
      </w:r>
      <w:r>
        <w:rPr>
          <w:rFonts w:ascii="Times New Roman" w:cs="Times New Roman" w:eastAsia="Times New Roman" w:hAnsi="Times New Roman"/>
          <w:sz w:val="21"/>
          <w:szCs w:val="21"/>
          <w:color w:val="auto"/>
        </w:rPr>
        <w:t>” means distributions or payments made directly or by means of discounts with respect to any accounts receivable or participation interest therein issued or sold in connection with, and other fees paid to a Person that is not a Restricted Subsidiary in connection with, any Qualified Receivables Transaction.</w:t>
      </w:r>
    </w:p>
    <w:p>
      <w:pPr>
        <w:spacing w:after="0" w:line="147" w:lineRule="exact"/>
        <w:rPr>
          <w:sz w:val="20"/>
          <w:szCs w:val="20"/>
          <w:color w:val="auto"/>
        </w:rPr>
      </w:pPr>
    </w:p>
    <w:p>
      <w:pPr>
        <w:jc w:val="both"/>
        <w:ind w:firstLine="636"/>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Receivables Program Assets</w:t>
      </w:r>
      <w:r>
        <w:rPr>
          <w:rFonts w:ascii="Times New Roman" w:cs="Times New Roman" w:eastAsia="Times New Roman" w:hAnsi="Times New Roman"/>
          <w:sz w:val="21"/>
          <w:szCs w:val="21"/>
          <w:color w:val="auto"/>
        </w:rPr>
        <w:t xml:space="preserve">” means: (1) all Receivables which are described as being transferred by the Borrower, a Restricted Subsidiary or a Receivables Subsidiary pursuant to the Receivables Documents; (2) all Receivables Related Assets in respect of Receivables described in </w:t>
      </w:r>
      <w:r>
        <w:rPr>
          <w:rFonts w:ascii="Times New Roman" w:cs="Times New Roman" w:eastAsia="Times New Roman" w:hAnsi="Times New Roman"/>
          <w:sz w:val="21"/>
          <w:szCs w:val="21"/>
          <w:u w:val="single" w:color="auto"/>
          <w:color w:val="auto"/>
        </w:rPr>
        <w:t>clause (1)</w:t>
      </w:r>
      <w:r>
        <w:rPr>
          <w:rFonts w:ascii="Times New Roman" w:cs="Times New Roman" w:eastAsia="Times New Roman" w:hAnsi="Times New Roman"/>
          <w:sz w:val="21"/>
          <w:szCs w:val="21"/>
          <w:color w:val="auto"/>
        </w:rPr>
        <w:t>; and (3) all collections (including recoveries) and other proceeds of the assets described in the foregoing clauses.</w:t>
      </w:r>
    </w:p>
    <w:p>
      <w:pPr>
        <w:spacing w:after="0" w:line="174" w:lineRule="exact"/>
        <w:rPr>
          <w:sz w:val="20"/>
          <w:szCs w:val="20"/>
          <w:color w:val="auto"/>
        </w:rPr>
      </w:pPr>
    </w:p>
    <w:p>
      <w:pPr>
        <w:jc w:val="both"/>
        <w:ind w:firstLine="636"/>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Receivables Program Obligations</w:t>
      </w:r>
      <w:r>
        <w:rPr>
          <w:rFonts w:ascii="Times New Roman" w:cs="Times New Roman" w:eastAsia="Times New Roman" w:hAnsi="Times New Roman"/>
          <w:sz w:val="21"/>
          <w:szCs w:val="21"/>
          <w:color w:val="auto"/>
        </w:rPr>
        <w:t>” means Indebtedness and other obligations owing in respect of notes, trust certificates, undivided interests, partnership interests or other interests sold, issued and/or pledged, or otherwise incurred, in connection with a Qualified Receivables Transaction, and related obligations of the Borrower, a Restricted Subsidiary or a Special Purpose Vehicle (including, without limitation, Standard Securitization Undertakings).</w:t>
      </w:r>
    </w:p>
    <w:p>
      <w:pPr>
        <w:spacing w:after="0" w:line="161" w:lineRule="exact"/>
        <w:rPr>
          <w:sz w:val="20"/>
          <w:szCs w:val="20"/>
          <w:color w:val="auto"/>
        </w:rPr>
      </w:pPr>
    </w:p>
    <w:p>
      <w:pPr>
        <w:jc w:val="both"/>
        <w:ind w:firstLine="636"/>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Receivables Related Assets</w:t>
      </w:r>
      <w:r>
        <w:rPr>
          <w:rFonts w:ascii="Times New Roman" w:cs="Times New Roman" w:eastAsia="Times New Roman" w:hAnsi="Times New Roman"/>
          <w:sz w:val="21"/>
          <w:szCs w:val="21"/>
          <w:color w:val="auto"/>
        </w:rPr>
        <w:t>” means: (1) any rights arising under the documentation governing or relating to Receivables (including rights in respect of Liens securing such Receivables and other credit support in respect of such Receivables); (2) any proceeds of such Receivables and any lockboxes or accounts in which such proceeds are deposited; (3) spread accounts and other similar accounts (and any amounts on deposit therein) established in connection with a Qualified Receivables Transaction; (4) any warranty, indemnity, dilution and other intercompany claim arising out of Receivables Documents; and (5) other assets which are customarily transferred or in respect of which security interests are customarily granted in connection with asset securitization transactions involving accounts receivable.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54</w:t>
      </w:r>
    </w:p>
    <w:p>
      <w:pPr>
        <w:sectPr>
          <w:pgSz w:w="11900" w:h="16838" w:orient="portrait"/>
          <w:cols w:equalWidth="0" w:num="1">
            <w:col w:w="11240"/>
          </w:cols>
          <w:pgMar w:left="320" w:top="1393" w:right="339" w:bottom="1440" w:gutter="0" w:footer="0" w:header="0"/>
        </w:sectPr>
      </w:pPr>
    </w:p>
    <w:bookmarkStart w:id="160" w:name="page161"/>
    <w:bookmarkEnd w:id="160"/>
    <w:p>
      <w:pPr>
        <w:jc w:val="both"/>
        <w:ind w:firstLine="636"/>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Receivables Repurchase Obligation</w:t>
      </w:r>
      <w:r>
        <w:rPr>
          <w:rFonts w:ascii="Times New Roman" w:cs="Times New Roman" w:eastAsia="Times New Roman" w:hAnsi="Times New Roman"/>
          <w:sz w:val="21"/>
          <w:szCs w:val="21"/>
          <w:color w:val="auto"/>
        </w:rPr>
        <w:t>” means any obligation of the Borrower or a Restricted Subsidiary (other than a Receivables Subsidiary) in a Qualified Receivables Transaction to repurchase receivables arising as a result of a breach of a representation, warranty or covenant or otherwise, including as a result of a Receivable or portion thereof becoming subject to any asserted defense, dispute, off-set or counterclaim of any kind as a result of any action taken by, any failure to take action by or any other event relating to the Borrower or a Restricted Subsidiary (other than a Receivables Subsidiary).</w:t>
      </w:r>
    </w:p>
    <w:p>
      <w:pPr>
        <w:spacing w:after="0" w:line="161" w:lineRule="exact"/>
        <w:rPr>
          <w:sz w:val="20"/>
          <w:szCs w:val="20"/>
          <w:color w:val="auto"/>
        </w:rPr>
      </w:pPr>
    </w:p>
    <w:p>
      <w:pPr>
        <w:jc w:val="both"/>
        <w:ind w:firstLine="636"/>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Receivables Subsidiary</w:t>
      </w:r>
      <w:r>
        <w:rPr>
          <w:rFonts w:ascii="Times New Roman" w:cs="Times New Roman" w:eastAsia="Times New Roman" w:hAnsi="Times New Roman"/>
          <w:sz w:val="21"/>
          <w:szCs w:val="21"/>
          <w:color w:val="auto"/>
        </w:rPr>
        <w:t>” means a special purpose wholly-owned Subsidiary created by the Borrower or any Restricted Subsidiary in connection with the transactions contemplated by a Qualified Receivables Transaction, which Subsidiary engages in no activities other than those incidental to such Qualified Receivables Transaction and which is designated as a Receivables Subsidiary by the Borrower’s Board of Directors. Any such designation by the Board of Directors shall be evidenced by filing with the Administrative Agent of a board resolution of the Borrower giving effect to such designation and an officers’ certificate certifying, to the best of such officers’ knowledge and belief after consulting with counsel, that such designation, and the transactions in which the Receivables Subsidiary will engage, comply with the requirements of the definition of Qualified Receivables Transaction.</w:t>
      </w:r>
    </w:p>
    <w:p>
      <w:pPr>
        <w:spacing w:after="0" w:line="200" w:lineRule="exact"/>
        <w:rPr>
          <w:sz w:val="20"/>
          <w:szCs w:val="20"/>
          <w:color w:val="auto"/>
        </w:rPr>
      </w:pP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Recipient</w:t>
      </w:r>
      <w:r>
        <w:rPr>
          <w:rFonts w:ascii="Times New Roman" w:cs="Times New Roman" w:eastAsia="Times New Roman" w:hAnsi="Times New Roman"/>
          <w:sz w:val="21"/>
          <w:szCs w:val="21"/>
          <w:color w:val="auto"/>
        </w:rPr>
        <w:t>” means the Administrative Agent, any Lender or any L/C Issuer, as applicable.</w:t>
      </w:r>
    </w:p>
    <w:p>
      <w:pPr>
        <w:spacing w:after="0" w:line="236"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Reference Time</w:t>
      </w:r>
      <w:r>
        <w:rPr>
          <w:rFonts w:ascii="Times New Roman" w:cs="Times New Roman" w:eastAsia="Times New Roman" w:hAnsi="Times New Roman"/>
          <w:sz w:val="21"/>
          <w:szCs w:val="21"/>
          <w:color w:val="auto"/>
        </w:rPr>
        <w:t>” with respect to any setting of the then-current Benchmark means (a) if the RFR for such Benchmark is SONIA, then 5.00 p.m. (London, England time) on a day that is four (4) Business Days prior to such setting, (b) if the Benchmark is determined by reference to Daily Simple SOFR, then 5.00 p.m. on a day that is four (4) Business Days prior to such setting or (c) if such Benchmark is neither Daily Simple SOFR nor SONIA, the time determined by the Administrative Agent in its reasonable discretion.</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Refinanced Debt</w:t>
      </w:r>
      <w:r>
        <w:rPr>
          <w:rFonts w:ascii="Times New Roman" w:cs="Times New Roman" w:eastAsia="Times New Roman" w:hAnsi="Times New Roman"/>
          <w:sz w:val="21"/>
          <w:szCs w:val="21"/>
          <w:color w:val="auto"/>
        </w:rPr>
        <w:t>” has the meaning specified in the definition of “Credit Agreement Refinancing Indebtedness”.</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Refinancing</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4.01(c)</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jc w:val="both"/>
        <w:ind w:firstLine="636"/>
        <w:spacing w:after="0" w:line="26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Refinancing Amendment</w:t>
      </w:r>
      <w:r>
        <w:rPr>
          <w:rFonts w:ascii="Times New Roman" w:cs="Times New Roman" w:eastAsia="Times New Roman" w:hAnsi="Times New Roman"/>
          <w:sz w:val="21"/>
          <w:szCs w:val="21"/>
          <w:color w:val="auto"/>
        </w:rPr>
        <w:t xml:space="preserve">” means an amendment, supplement, or joinder to this Agreement executed by the Borrower, the Administrative Agent, each Additional Refinancing Lender and each Lender that agrees to provide any portion of Refinancing Term Commitments, Refinancing Term Loans, Other Revolving Commitments or Other Revolving Loans, in each case in accordance with </w:t>
      </w:r>
      <w:r>
        <w:rPr>
          <w:rFonts w:ascii="Times New Roman" w:cs="Times New Roman" w:eastAsia="Times New Roman" w:hAnsi="Times New Roman"/>
          <w:sz w:val="21"/>
          <w:szCs w:val="21"/>
          <w:u w:val="single" w:color="auto"/>
          <w:color w:val="auto"/>
        </w:rPr>
        <w:t>Section 2.17</w:t>
      </w:r>
      <w:r>
        <w:rPr>
          <w:rFonts w:ascii="Times New Roman" w:cs="Times New Roman" w:eastAsia="Times New Roman" w:hAnsi="Times New Roman"/>
          <w:sz w:val="21"/>
          <w:szCs w:val="21"/>
          <w:color w:val="auto"/>
        </w:rPr>
        <w:t>.</w:t>
      </w:r>
    </w:p>
    <w:p>
      <w:pPr>
        <w:spacing w:after="0" w:line="158"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Refinancing Facility</w:t>
      </w:r>
      <w:r>
        <w:rPr>
          <w:rFonts w:ascii="Times New Roman" w:cs="Times New Roman" w:eastAsia="Times New Roman" w:hAnsi="Times New Roman"/>
          <w:sz w:val="21"/>
          <w:szCs w:val="21"/>
          <w:color w:val="auto"/>
        </w:rPr>
        <w:t>” means, at any time, as the context may require, the aggregate amount of Refinancing Term Commitments and/or Other Revolving Commitments of a given Refinancing Series at such time and, in each case, but without duplication, the Credit Extensions made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55</w:t>
      </w:r>
    </w:p>
    <w:p>
      <w:pPr>
        <w:sectPr>
          <w:pgSz w:w="11900" w:h="16838" w:orient="portrait"/>
          <w:cols w:equalWidth="0" w:num="1">
            <w:col w:w="11240"/>
          </w:cols>
          <w:pgMar w:left="320" w:top="1394" w:right="339" w:bottom="1440" w:gutter="0" w:footer="0" w:header="0"/>
        </w:sectPr>
      </w:pPr>
    </w:p>
    <w:bookmarkStart w:id="161" w:name="page162"/>
    <w:bookmarkEnd w:id="161"/>
    <w:p>
      <w:pPr>
        <w:jc w:val="both"/>
        <w:ind w:firstLine="636"/>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Refinancing Series</w:t>
      </w:r>
      <w:r>
        <w:rPr>
          <w:rFonts w:ascii="Times New Roman" w:cs="Times New Roman" w:eastAsia="Times New Roman" w:hAnsi="Times New Roman"/>
          <w:sz w:val="21"/>
          <w:szCs w:val="21"/>
          <w:color w:val="auto"/>
        </w:rPr>
        <w:t>” means all Refinancing Term Loans, Refinancing Term Commitments, Other Revolving Commitments or Other Revolving Loans that are established pursuant to the same Refinancing Amendment (or any subsequent Refinancing Amendment to the extent such Refinancing Amendment expressly provides that the Refinancing Term Loans, Refinancing Term Commitments, Other Revolving Commitments or Other Revolving Credit Loans provided for therein are intended to be a part of any previously established Refinancing Series) and that provide for the same Effective Yield and, in the case of Refinancing Term Loans or Refinancing Term Commitments, amortization schedule.</w:t>
      </w:r>
    </w:p>
    <w:p>
      <w:pPr>
        <w:spacing w:after="0" w:line="166" w:lineRule="exact"/>
        <w:rPr>
          <w:sz w:val="20"/>
          <w:szCs w:val="20"/>
          <w:color w:val="auto"/>
        </w:rPr>
      </w:pPr>
    </w:p>
    <w:p>
      <w:pPr>
        <w:jc w:val="both"/>
        <w:ind w:firstLine="636"/>
        <w:spacing w:after="0" w:line="28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Refinancing Term Commitments</w:t>
      </w:r>
      <w:r>
        <w:rPr>
          <w:rFonts w:ascii="Times New Roman" w:cs="Times New Roman" w:eastAsia="Times New Roman" w:hAnsi="Times New Roman"/>
          <w:sz w:val="21"/>
          <w:szCs w:val="21"/>
          <w:color w:val="auto"/>
        </w:rPr>
        <w:t>” means one or more Classes of Term Commitments that are established to fund Refinancing Term Loans hereunder pursuant to a Refinancing Amendment.</w:t>
      </w:r>
    </w:p>
    <w:p>
      <w:pPr>
        <w:spacing w:after="0" w:line="147"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Refinancing Term Loan Borrowing</w:t>
      </w:r>
      <w:r>
        <w:rPr>
          <w:rFonts w:ascii="Times New Roman" w:cs="Times New Roman" w:eastAsia="Times New Roman" w:hAnsi="Times New Roman"/>
          <w:sz w:val="21"/>
          <w:szCs w:val="21"/>
          <w:color w:val="auto"/>
        </w:rPr>
        <w:t xml:space="preserve">” means a borrowing consisting of one or more simultaneous Refinancing Term Loans of the same Type under a Refinancing Facility and, in the case of Eurodollar Rate Loans or Term SOFR Loans, having the same Interest Period made pursuant to </w:t>
      </w:r>
      <w:r>
        <w:rPr>
          <w:rFonts w:ascii="Times New Roman" w:cs="Times New Roman" w:eastAsia="Times New Roman" w:hAnsi="Times New Roman"/>
          <w:sz w:val="21"/>
          <w:szCs w:val="21"/>
          <w:u w:val="single" w:color="auto"/>
          <w:color w:val="auto"/>
        </w:rPr>
        <w:t>Section 2.17</w:t>
      </w:r>
      <w:r>
        <w:rPr>
          <w:rFonts w:ascii="Times New Roman" w:cs="Times New Roman" w:eastAsia="Times New Roman" w:hAnsi="Times New Roman"/>
          <w:sz w:val="21"/>
          <w:szCs w:val="21"/>
          <w:color w:val="auto"/>
        </w:rPr>
        <w:t>.</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Refinancing Term Loans</w:t>
      </w:r>
      <w:r>
        <w:rPr>
          <w:rFonts w:ascii="Times New Roman" w:cs="Times New Roman" w:eastAsia="Times New Roman" w:hAnsi="Times New Roman"/>
          <w:sz w:val="21"/>
          <w:szCs w:val="21"/>
          <w:color w:val="auto"/>
        </w:rPr>
        <w:t>” means one or more Classes of Term Loans that result from a Refinancing Amendment.</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Register</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10.06(c)</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jc w:val="both"/>
        <w:ind w:firstLine="636"/>
        <w:spacing w:after="0" w:line="30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Registration Rights Agreement</w:t>
      </w:r>
      <w:r>
        <w:rPr>
          <w:rFonts w:ascii="Times New Roman" w:cs="Times New Roman" w:eastAsia="Times New Roman" w:hAnsi="Times New Roman"/>
          <w:sz w:val="21"/>
          <w:szCs w:val="21"/>
          <w:color w:val="auto"/>
        </w:rPr>
        <w:t>” means that certain Registration Rights Agreement by and between Post and the Borrower, dated as of March 10, 2022, as amended, modified, supplemented, restated or replaced from time to time.</w:t>
      </w:r>
    </w:p>
    <w:p>
      <w:pPr>
        <w:spacing w:after="0" w:line="121" w:lineRule="exact"/>
        <w:rPr>
          <w:sz w:val="20"/>
          <w:szCs w:val="20"/>
          <w:color w:val="auto"/>
        </w:rPr>
      </w:pPr>
    </w:p>
    <w:p>
      <w:pPr>
        <w:jc w:val="both"/>
        <w:ind w:firstLine="636"/>
        <w:spacing w:after="0" w:line="28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Related Parties</w:t>
      </w:r>
      <w:r>
        <w:rPr>
          <w:rFonts w:ascii="Times New Roman" w:cs="Times New Roman" w:eastAsia="Times New Roman" w:hAnsi="Times New Roman"/>
          <w:sz w:val="21"/>
          <w:szCs w:val="21"/>
          <w:color w:val="auto"/>
        </w:rPr>
        <w:t>” means, with respect to any Person, such Person’s Affiliates and the partners, directors, officers, employees, agents, trustees and advisors of such Person and of such Person’s Affiliates.</w:t>
      </w:r>
    </w:p>
    <w:p>
      <w:pPr>
        <w:spacing w:after="0" w:line="134" w:lineRule="exact"/>
        <w:rPr>
          <w:sz w:val="20"/>
          <w:szCs w:val="20"/>
          <w:color w:val="auto"/>
        </w:rPr>
      </w:pPr>
    </w:p>
    <w:p>
      <w:pPr>
        <w:jc w:val="both"/>
        <w:ind w:firstLine="636"/>
        <w:spacing w:after="0" w:line="276" w:lineRule="auto"/>
        <w:rPr>
          <w:sz w:val="20"/>
          <w:szCs w:val="20"/>
          <w:color w:val="auto"/>
        </w:rPr>
      </w:pPr>
      <w:r>
        <w:rPr>
          <w:rFonts w:ascii="Times New Roman" w:cs="Times New Roman" w:eastAsia="Times New Roman" w:hAnsi="Times New Roman"/>
          <w:sz w:val="21"/>
          <w:szCs w:val="21"/>
          <w:u w:val="single" w:color="auto"/>
          <w:color w:val="00C000"/>
        </w:rPr>
        <w:t>“</w:t>
      </w:r>
      <w:r>
        <w:rPr>
          <w:rFonts w:ascii="Times New Roman" w:cs="Times New Roman" w:eastAsia="Times New Roman" w:hAnsi="Times New Roman"/>
          <w:sz w:val="21"/>
          <w:szCs w:val="21"/>
          <w:b w:val="1"/>
          <w:bCs w:val="1"/>
          <w:u w:val="single" w:color="auto"/>
          <w:color w:val="00C000"/>
        </w:rPr>
        <w:t>Release</w:t>
      </w:r>
      <w:r>
        <w:rPr>
          <w:rFonts w:ascii="Times New Roman" w:cs="Times New Roman" w:eastAsia="Times New Roman" w:hAnsi="Times New Roman"/>
          <w:sz w:val="21"/>
          <w:szCs w:val="21"/>
          <w:u w:val="single" w:color="auto"/>
          <w:color w:val="00C000"/>
        </w:rPr>
        <w:t>” means any release, spill, emission, leaking, pumping, pouring, injection, escaping, deposit, disposal, discharge, dispersal, dumping or leaching of any Hazardous Material into the environment (including the abandonment or disposal of any barrels, containers or other closed receptacles containing any Hazardous Material).</w:t>
      </w:r>
    </w:p>
    <w:p>
      <w:pPr>
        <w:spacing w:after="0" w:line="147" w:lineRule="exact"/>
        <w:rPr>
          <w:sz w:val="20"/>
          <w:szCs w:val="20"/>
          <w:color w:val="auto"/>
        </w:rPr>
      </w:pPr>
    </w:p>
    <w:p>
      <w:pPr>
        <w:jc w:val="both"/>
        <w:ind w:firstLine="636"/>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Relevant Governmental Body</w:t>
      </w:r>
      <w:r>
        <w:rPr>
          <w:rFonts w:ascii="Times New Roman" w:cs="Times New Roman" w:eastAsia="Times New Roman" w:hAnsi="Times New Roman"/>
          <w:sz w:val="21"/>
          <w:szCs w:val="21"/>
          <w:color w:val="auto"/>
        </w:rPr>
        <w:t>” means (a) with respect to a Benchmark Replacement in respect of Loans denominated in U.S. Dollars, the Federal Reserve Board, the NYFRB and/or the CME Term SOFR Administrator, as applicable, or a committee officially endorsed or convened by the Federal Reserve Board, the NYFRB or the CME Term SOFR Administrator or, in each case, any successor thereto, (b) with respect to a Benchmark Replacement in respect of Loans denominated in Sterling, the Bank of England, or a committee officially endorsed or convened by the Bank of England or, in each case, any successor thereto and (c) with respect to a Benchmark Replacement in respect of Loans denominated in Euros, the European Central Bank, or a committee officially endorsed or convened by the European Central Bank or, in each case, any successor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56</w:t>
      </w:r>
    </w:p>
    <w:p>
      <w:pPr>
        <w:sectPr>
          <w:pgSz w:w="11900" w:h="16838" w:orient="portrait"/>
          <w:cols w:equalWidth="0" w:num="1">
            <w:col w:w="11240"/>
          </w:cols>
          <w:pgMar w:left="320" w:top="1393" w:right="339" w:bottom="1440" w:gutter="0" w:footer="0" w:header="0"/>
        </w:sectPr>
      </w:pPr>
    </w:p>
    <w:bookmarkStart w:id="162" w:name="page163"/>
    <w:bookmarkEnd w:id="162"/>
    <w:p>
      <w:pPr>
        <w:jc w:val="both"/>
        <w:ind w:firstLine="636"/>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Relevant Rate</w:t>
      </w:r>
      <w:r>
        <w:rPr>
          <w:rFonts w:ascii="Times New Roman" w:cs="Times New Roman" w:eastAsia="Times New Roman" w:hAnsi="Times New Roman"/>
          <w:sz w:val="21"/>
          <w:szCs w:val="21"/>
          <w:color w:val="auto"/>
        </w:rPr>
        <w:t xml:space="preserve">” means (a) with respect to any Term SOFR Borrowing denominated in U.S. Dollars, </w:t>
      </w:r>
      <w:r>
        <w:rPr>
          <w:rFonts w:ascii="Times New Roman" w:cs="Times New Roman" w:eastAsia="Times New Roman" w:hAnsi="Times New Roman"/>
          <w:sz w:val="21"/>
          <w:szCs w:val="21"/>
          <w:b w:val="1"/>
          <w:bCs w:val="1"/>
          <w:color w:val="FF0000"/>
          <w:strike w:val="1"/>
        </w:rPr>
        <w:t>the Adjusted</w:t>
      </w:r>
      <w:r>
        <w:rPr>
          <w:rFonts w:ascii="Times New Roman" w:cs="Times New Roman" w:eastAsia="Times New Roman" w:hAnsi="Times New Roman"/>
          <w:sz w:val="21"/>
          <w:szCs w:val="21"/>
          <w:color w:val="auto"/>
        </w:rPr>
        <w:t xml:space="preserve"> Term SOFR </w:t>
      </w:r>
      <w:r>
        <w:rPr>
          <w:rFonts w:ascii="Times New Roman" w:cs="Times New Roman" w:eastAsia="Times New Roman" w:hAnsi="Times New Roman"/>
          <w:sz w:val="21"/>
          <w:szCs w:val="21"/>
          <w:b w:val="1"/>
          <w:bCs w:val="1"/>
          <w:color w:val="FF0000"/>
          <w:strike w:val="1"/>
        </w:rPr>
        <w:t>Rate</w:t>
      </w:r>
      <w:r>
        <w:rPr>
          <w:rFonts w:ascii="Times New Roman" w:cs="Times New Roman" w:eastAsia="Times New Roman" w:hAnsi="Times New Roman"/>
          <w:sz w:val="21"/>
          <w:szCs w:val="21"/>
          <w:color w:val="auto"/>
        </w:rPr>
        <w:t xml:space="preserve">, (b) with respect to any Term Benchmark Borrowing denominated in Euros, the Adjusted Eurodollar Rate, or (c) with respect to any Borrowing denominated in Sterling, the applicable </w:t>
      </w:r>
      <w:r>
        <w:rPr>
          <w:rFonts w:ascii="Times New Roman" w:cs="Times New Roman" w:eastAsia="Times New Roman" w:hAnsi="Times New Roman"/>
          <w:sz w:val="21"/>
          <w:szCs w:val="21"/>
          <w:b w:val="1"/>
          <w:bCs w:val="1"/>
          <w:color w:val="FF0000"/>
          <w:strike w:val="1"/>
        </w:rPr>
        <w:t>Adjusted</w:t>
      </w:r>
      <w:r>
        <w:rPr>
          <w:rFonts w:ascii="Times New Roman" w:cs="Times New Roman" w:eastAsia="Times New Roman" w:hAnsi="Times New Roman"/>
          <w:sz w:val="21"/>
          <w:szCs w:val="21"/>
          <w:color w:val="auto"/>
        </w:rPr>
        <w:t xml:space="preserve"> Daily Simple RFR.</w:t>
      </w:r>
    </w:p>
    <w:p>
      <w:pPr>
        <w:spacing w:after="0" w:line="169"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21"/>
          <w:szCs w:val="21"/>
          <w:color w:val="00C000"/>
          <w:strike w:val="1"/>
        </w:rPr>
        <w:t>“</w:t>
      </w:r>
      <w:r>
        <w:rPr>
          <w:rFonts w:ascii="Times New Roman" w:cs="Times New Roman" w:eastAsia="Times New Roman" w:hAnsi="Times New Roman"/>
          <w:sz w:val="21"/>
          <w:szCs w:val="21"/>
          <w:b w:val="1"/>
          <w:bCs w:val="1"/>
          <w:color w:val="00C000"/>
          <w:strike w:val="1"/>
        </w:rPr>
        <w:t>Release</w:t>
      </w:r>
      <w:r>
        <w:rPr>
          <w:rFonts w:ascii="Times New Roman" w:cs="Times New Roman" w:eastAsia="Times New Roman" w:hAnsi="Times New Roman"/>
          <w:sz w:val="21"/>
          <w:szCs w:val="21"/>
          <w:color w:val="00C000"/>
          <w:strike w:val="1"/>
        </w:rPr>
        <w:t>” means any release, spill, emission, leaking, pumping, pouring, injection, escaping, deposit, disposal, discharge, dispersal, dumping or leaching of any Hazardous Material into the environment (including the abandonment or disposal of any barrels, containers or other closed receptacles containing any Hazardous Material).</w:t>
      </w:r>
    </w:p>
    <w:p>
      <w:pPr>
        <w:spacing w:after="0" w:line="155" w:lineRule="exact"/>
        <w:rPr>
          <w:sz w:val="20"/>
          <w:szCs w:val="20"/>
          <w:color w:val="auto"/>
        </w:rPr>
      </w:pPr>
    </w:p>
    <w:p>
      <w:pPr>
        <w:jc w:val="both"/>
        <w:ind w:firstLine="636"/>
        <w:spacing w:after="0" w:line="28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Reportable Event</w:t>
      </w:r>
      <w:r>
        <w:rPr>
          <w:rFonts w:ascii="Times New Roman" w:cs="Times New Roman" w:eastAsia="Times New Roman" w:hAnsi="Times New Roman"/>
          <w:sz w:val="21"/>
          <w:szCs w:val="21"/>
          <w:color w:val="auto"/>
        </w:rPr>
        <w:t>” means any of the events set forth in Section 4043(c) of ERISA, other than events for which the 30 day notice period has been waived.</w:t>
      </w:r>
    </w:p>
    <w:p>
      <w:pPr>
        <w:spacing w:after="0" w:line="147"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Request for Credit Extension</w:t>
      </w:r>
      <w:r>
        <w:rPr>
          <w:rFonts w:ascii="Times New Roman" w:cs="Times New Roman" w:eastAsia="Times New Roman" w:hAnsi="Times New Roman"/>
          <w:sz w:val="21"/>
          <w:szCs w:val="21"/>
          <w:color w:val="auto"/>
        </w:rPr>
        <w:t>” means (a) with respect to a Borrowing, conversion or continuation of Term Loans or Revolving Credit Loans, a Committed Loan Notice or Conversion/Continuation Notice, as applicable and (b) with respect to an L/C Credit Extension, a Letter of Credit Application.</w:t>
      </w:r>
    </w:p>
    <w:p>
      <w:pPr>
        <w:spacing w:after="0" w:line="155" w:lineRule="exact"/>
        <w:rPr>
          <w:sz w:val="20"/>
          <w:szCs w:val="20"/>
          <w:color w:val="auto"/>
        </w:rPr>
      </w:pPr>
    </w:p>
    <w:p>
      <w:pPr>
        <w:jc w:val="both"/>
        <w:ind w:firstLine="636"/>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Required Facility Lenders</w:t>
      </w:r>
      <w:r>
        <w:rPr>
          <w:rFonts w:ascii="Times New Roman" w:cs="Times New Roman" w:eastAsia="Times New Roman" w:hAnsi="Times New Roman"/>
          <w:sz w:val="21"/>
          <w:szCs w:val="21"/>
          <w:color w:val="auto"/>
        </w:rPr>
        <w:t xml:space="preserve">” means, as of any date of determination, with respect to any Facility, Lenders having more than 50% of the sum of (a) the Total Outstandings under such Facility (with the aggregate amount of each Lender’s risk participation and funded participation in L/C Obligations under such Facility being deemed “held” by such Lender for purposes of this definition) and (b) the aggregate unused Commitments under such Facility;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unused Commitments of, and the portion of the Total Outstandings under such Facility held or deemed held by, any Defaulting Lender shall be excluded for purposes of making a determination of the Required Facility Lenders.</w:t>
      </w:r>
    </w:p>
    <w:p>
      <w:pPr>
        <w:spacing w:after="0" w:line="166" w:lineRule="exact"/>
        <w:rPr>
          <w:sz w:val="20"/>
          <w:szCs w:val="20"/>
          <w:color w:val="auto"/>
        </w:rPr>
      </w:pPr>
    </w:p>
    <w:p>
      <w:pPr>
        <w:jc w:val="both"/>
        <w:ind w:firstLine="636"/>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Required Lenders</w:t>
      </w:r>
      <w:r>
        <w:rPr>
          <w:rFonts w:ascii="Times New Roman" w:cs="Times New Roman" w:eastAsia="Times New Roman" w:hAnsi="Times New Roman"/>
          <w:sz w:val="21"/>
          <w:szCs w:val="21"/>
          <w:color w:val="auto"/>
        </w:rPr>
        <w:t xml:space="preserve">” means, as of any date of determination, Lenders holding more than 50% of the sum of the (a) Total Outstandings (with the aggregate amount of each Revolving Credit Lender’s risk participation and funded participation in L/C Obligations being deemed “held” by such Revolving Credit Lender for purposes of this definition) and (b) aggregate unused Commitments;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unused Commitment of, and the portion of the Total Outstandings held or deemed held by, any Defaulting Lender shall be excluded for purposes of making a determination of Required Lenders.</w:t>
      </w:r>
    </w:p>
    <w:p>
      <w:pPr>
        <w:spacing w:after="0" w:line="161" w:lineRule="exact"/>
        <w:rPr>
          <w:sz w:val="20"/>
          <w:szCs w:val="20"/>
          <w:color w:val="auto"/>
        </w:rPr>
      </w:pPr>
    </w:p>
    <w:p>
      <w:pPr>
        <w:jc w:val="both"/>
        <w:ind w:firstLine="636"/>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Required Revolving Credit Lenders</w:t>
      </w:r>
      <w:r>
        <w:rPr>
          <w:rFonts w:ascii="Times New Roman" w:cs="Times New Roman" w:eastAsia="Times New Roman" w:hAnsi="Times New Roman"/>
          <w:sz w:val="21"/>
          <w:szCs w:val="21"/>
          <w:color w:val="auto"/>
        </w:rPr>
        <w:t xml:space="preserve">” means, as of any date of determination, Revolving Credit Lenders holding more than 50% of the sum of the (a) Total Revolving Credit Outstandings (with the aggregate amount of each Revolving Credit Lender’s risk participation and funded participation in L/C Obligations being deemed “held” by such Revolving Credit Lender for purposes of this definition) and (b) aggregate unused Revolving Credit Commitments;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unused Revolving Credit Commitment of, and the portion of the Total Revolving Credit Outstandings held or deemed held by, any Defaulting Lender shall be excluded for purposes of making a determination of Required Revolving Credit Lenders.</w:t>
      </w:r>
    </w:p>
    <w:p>
      <w:pPr>
        <w:spacing w:after="0" w:line="166" w:lineRule="exact"/>
        <w:rPr>
          <w:sz w:val="20"/>
          <w:szCs w:val="20"/>
          <w:color w:val="auto"/>
        </w:rPr>
      </w:pPr>
    </w:p>
    <w:p>
      <w:pPr>
        <w:jc w:val="both"/>
        <w:ind w:firstLine="636"/>
        <w:spacing w:after="0" w:line="28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Resolution Authority</w:t>
      </w:r>
      <w:r>
        <w:rPr>
          <w:rFonts w:ascii="Times New Roman" w:cs="Times New Roman" w:eastAsia="Times New Roman" w:hAnsi="Times New Roman"/>
          <w:sz w:val="21"/>
          <w:szCs w:val="21"/>
          <w:color w:val="auto"/>
        </w:rPr>
        <w:t>” means an EEA Resolution Authority or, with respect to any UK Financial Institution, a UK Resolution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57</w:t>
      </w:r>
    </w:p>
    <w:p>
      <w:pPr>
        <w:sectPr>
          <w:pgSz w:w="11900" w:h="16838" w:orient="portrait"/>
          <w:cols w:equalWidth="0" w:num="1">
            <w:col w:w="11240"/>
          </w:cols>
          <w:pgMar w:left="320" w:top="1394" w:right="339" w:bottom="1440" w:gutter="0" w:footer="0" w:header="0"/>
        </w:sectPr>
      </w:pPr>
    </w:p>
    <w:bookmarkStart w:id="163" w:name="page164"/>
    <w:bookmarkEnd w:id="163"/>
    <w:p>
      <w:pPr>
        <w:jc w:val="both"/>
        <w:ind w:firstLine="636"/>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Responsible Officer</w:t>
      </w:r>
      <w:r>
        <w:rPr>
          <w:rFonts w:ascii="Times New Roman" w:cs="Times New Roman" w:eastAsia="Times New Roman" w:hAnsi="Times New Roman"/>
          <w:sz w:val="21"/>
          <w:szCs w:val="21"/>
          <w:color w:val="auto"/>
        </w:rPr>
        <w:t xml:space="preserve">” means the chief executive officer, president, chief financial officer, executive vice president, senior vice president, chief accounting officer, director of corporate finance, treasurer, assistant treasurer or controller of a Loan Party, and including solely for purposes of </w:t>
      </w:r>
      <w:r>
        <w:rPr>
          <w:rFonts w:ascii="Times New Roman" w:cs="Times New Roman" w:eastAsia="Times New Roman" w:hAnsi="Times New Roman"/>
          <w:sz w:val="21"/>
          <w:szCs w:val="21"/>
          <w:u w:val="single" w:color="auto"/>
          <w:color w:val="auto"/>
        </w:rPr>
        <w:t>Section 4.01(a)</w:t>
      </w:r>
      <w:r>
        <w:rPr>
          <w:rFonts w:ascii="Times New Roman" w:cs="Times New Roman" w:eastAsia="Times New Roman" w:hAnsi="Times New Roman"/>
          <w:sz w:val="21"/>
          <w:szCs w:val="21"/>
          <w:color w:val="auto"/>
        </w:rPr>
        <w:t>, the secretary or assistant secretary of a Loan Party.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16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Restricted Indebtedness</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7.14</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jc w:val="both"/>
        <w:ind w:firstLine="636"/>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Restricted Payment</w:t>
      </w:r>
      <w:r>
        <w:rPr>
          <w:rFonts w:ascii="Times New Roman" w:cs="Times New Roman" w:eastAsia="Times New Roman" w:hAnsi="Times New Roman"/>
          <w:sz w:val="21"/>
          <w:szCs w:val="21"/>
          <w:color w:val="auto"/>
        </w:rPr>
        <w:t>” means any dividend, other distribution or other payment (whether in cash, securities or other property) with respect to any capital stock or other Equity Interest of any Person or any of its Subsidiaries, or any payment (whether in cash, securities or other property), including any sinking fund or similar deposit, on account of the purchase, redemption, retirement, defeasance, acquisition, cancellation or termination of any such capital stock or other Equity Interest, or on account of any return of capital to any Person’s shareholders, partners or members (or the equivalent of any thereof) or any option, warrant or other right to acquire any such dividend or other distribution or payment.</w:t>
      </w:r>
    </w:p>
    <w:p>
      <w:pPr>
        <w:spacing w:after="0" w:line="16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Restricted Subsidiary</w:t>
      </w:r>
      <w:r>
        <w:rPr>
          <w:rFonts w:ascii="Times New Roman" w:cs="Times New Roman" w:eastAsia="Times New Roman" w:hAnsi="Times New Roman"/>
          <w:sz w:val="21"/>
          <w:szCs w:val="21"/>
          <w:color w:val="auto"/>
        </w:rPr>
        <w:t>” means any Subsidiary other than an Unrestricted Subsidiary.</w:t>
      </w:r>
    </w:p>
    <w:p>
      <w:pPr>
        <w:spacing w:after="0" w:line="236"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Revolving Credit Borrowing</w:t>
      </w:r>
      <w:r>
        <w:rPr>
          <w:rFonts w:ascii="Times New Roman" w:cs="Times New Roman" w:eastAsia="Times New Roman" w:hAnsi="Times New Roman"/>
          <w:sz w:val="21"/>
          <w:szCs w:val="21"/>
          <w:color w:val="auto"/>
        </w:rPr>
        <w:t xml:space="preserve">” means a borrowing consisting of one or more simultaneous Revolving Credit Loans of the same Class and Type and, in the case of Eurodollar Rate Loans or Term SOFR Loans, having the same Interest Period made pursuant to </w:t>
      </w:r>
      <w:r>
        <w:rPr>
          <w:rFonts w:ascii="Times New Roman" w:cs="Times New Roman" w:eastAsia="Times New Roman" w:hAnsi="Times New Roman"/>
          <w:sz w:val="21"/>
          <w:szCs w:val="21"/>
          <w:u w:val="single" w:color="auto"/>
          <w:color w:val="auto"/>
        </w:rPr>
        <w:t>Section 2.01</w:t>
      </w:r>
      <w:r>
        <w:rPr>
          <w:rFonts w:ascii="Times New Roman" w:cs="Times New Roman" w:eastAsia="Times New Roman" w:hAnsi="Times New Roman"/>
          <w:sz w:val="21"/>
          <w:szCs w:val="21"/>
          <w:color w:val="auto"/>
        </w:rPr>
        <w:t>.</w:t>
      </w:r>
    </w:p>
    <w:p>
      <w:pPr>
        <w:spacing w:after="0" w:line="155" w:lineRule="exact"/>
        <w:rPr>
          <w:sz w:val="20"/>
          <w:szCs w:val="20"/>
          <w:color w:val="auto"/>
        </w:rPr>
      </w:pPr>
    </w:p>
    <w:p>
      <w:pPr>
        <w:jc w:val="both"/>
        <w:ind w:firstLine="636"/>
        <w:spacing w:after="0" w:line="27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Revolving Credit Commitment</w:t>
      </w:r>
      <w:r>
        <w:rPr>
          <w:rFonts w:ascii="Times New Roman" w:cs="Times New Roman" w:eastAsia="Times New Roman" w:hAnsi="Times New Roman"/>
          <w:sz w:val="21"/>
          <w:szCs w:val="21"/>
          <w:color w:val="auto"/>
        </w:rPr>
        <w:t xml:space="preserve">” means, as to each </w:t>
      </w:r>
      <w:r>
        <w:rPr>
          <w:rFonts w:ascii="Times New Roman" w:cs="Times New Roman" w:eastAsia="Times New Roman" w:hAnsi="Times New Roman"/>
          <w:sz w:val="21"/>
          <w:szCs w:val="21"/>
          <w:b w:val="1"/>
          <w:bCs w:val="1"/>
          <w:color w:val="0000FF"/>
        </w:rPr>
        <w:t>2025</w:t>
      </w:r>
      <w:r>
        <w:rPr>
          <w:rFonts w:ascii="Times New Roman" w:cs="Times New Roman" w:eastAsia="Times New Roman" w:hAnsi="Times New Roman"/>
          <w:sz w:val="21"/>
          <w:szCs w:val="21"/>
          <w:color w:val="auto"/>
        </w:rPr>
        <w:t xml:space="preserve"> Revolving Credit Lender, its </w:t>
      </w:r>
      <w:r>
        <w:rPr>
          <w:rFonts w:ascii="Times New Roman" w:cs="Times New Roman" w:eastAsia="Times New Roman" w:hAnsi="Times New Roman"/>
          <w:sz w:val="21"/>
          <w:szCs w:val="21"/>
          <w:b w:val="1"/>
          <w:bCs w:val="1"/>
          <w:color w:val="FF0000"/>
          <w:strike w:val="1"/>
        </w:rPr>
        <w:t>Original</w:t>
      </w:r>
      <w:r>
        <w:rPr>
          <w:rFonts w:ascii="Times New Roman" w:cs="Times New Roman" w:eastAsia="Times New Roman" w:hAnsi="Times New Roman"/>
          <w:sz w:val="21"/>
          <w:szCs w:val="21"/>
          <w:b w:val="1"/>
          <w:bCs w:val="1"/>
          <w:u w:val="single" w:color="auto"/>
          <w:color w:val="0000FF"/>
        </w:rPr>
        <w:t>2025</w:t>
      </w:r>
      <w:r>
        <w:rPr>
          <w:rFonts w:ascii="Times New Roman" w:cs="Times New Roman" w:eastAsia="Times New Roman" w:hAnsi="Times New Roman"/>
          <w:sz w:val="21"/>
          <w:szCs w:val="21"/>
          <w:color w:val="auto"/>
        </w:rPr>
        <w:t xml:space="preserve"> Revolving Credit Commitment and shall include, as the context may require, any </w:t>
      </w:r>
      <w:r>
        <w:rPr>
          <w:rFonts w:ascii="Times New Roman" w:cs="Times New Roman" w:eastAsia="Times New Roman" w:hAnsi="Times New Roman"/>
          <w:sz w:val="21"/>
          <w:szCs w:val="21"/>
          <w:b w:val="1"/>
          <w:bCs w:val="1"/>
          <w:u w:val="single" w:color="auto"/>
          <w:color w:val="0000FF"/>
        </w:rPr>
        <w:t>other</w:t>
      </w:r>
      <w:r>
        <w:rPr>
          <w:rFonts w:ascii="Times New Roman" w:cs="Times New Roman" w:eastAsia="Times New Roman" w:hAnsi="Times New Roman"/>
          <w:sz w:val="21"/>
          <w:szCs w:val="21"/>
          <w:color w:val="auto"/>
        </w:rPr>
        <w:t xml:space="preserve"> Incremental Revolving Credit Commitments and </w:t>
      </w:r>
      <w:r>
        <w:rPr>
          <w:rFonts w:ascii="Times New Roman" w:cs="Times New Roman" w:eastAsia="Times New Roman" w:hAnsi="Times New Roman"/>
          <w:sz w:val="21"/>
          <w:szCs w:val="21"/>
          <w:b w:val="1"/>
          <w:bCs w:val="1"/>
          <w:u w:val="single" w:color="auto"/>
          <w:color w:val="0000FF"/>
        </w:rPr>
        <w:t>any other</w:t>
      </w:r>
      <w:r>
        <w:rPr>
          <w:rFonts w:ascii="Times New Roman" w:cs="Times New Roman" w:eastAsia="Times New Roman" w:hAnsi="Times New Roman"/>
          <w:sz w:val="21"/>
          <w:szCs w:val="21"/>
          <w:color w:val="auto"/>
        </w:rPr>
        <w:t xml:space="preserve"> Other Revolving Commitments of such Revolving Credit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3372485</wp:posOffset>
            </wp:positionH>
            <wp:positionV relativeFrom="paragraph">
              <wp:posOffset>-382270</wp:posOffset>
            </wp:positionV>
            <wp:extent cx="31940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1">
                      <a:extLst>
                        <a:ext uri="{28A0092B-C50C-407E-A947-70E740481C1C}"/>
                      </a:extLst>
                    </a:blip>
                    <a:srcRect/>
                    <a:stretch>
                      <a:fillRect/>
                    </a:stretch>
                  </pic:blipFill>
                  <pic:spPr bwMode="auto">
                    <a:xfrm>
                      <a:off x="0" y="0"/>
                      <a:ext cx="319405" cy="8255"/>
                    </a:xfrm>
                    <a:prstGeom prst="rect">
                      <a:avLst/>
                    </a:prstGeom>
                    <a:noFill/>
                  </pic:spPr>
                </pic:pic>
              </a:graphicData>
            </a:graphic>
          </wp:anchor>
        </w:drawing>
      </w:r>
    </w:p>
    <w:p>
      <w:pPr>
        <w:spacing w:after="0" w:line="127"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Revolving Credit Facility</w:t>
      </w:r>
      <w:r>
        <w:rPr>
          <w:rFonts w:ascii="Times New Roman" w:cs="Times New Roman" w:eastAsia="Times New Roman" w:hAnsi="Times New Roman"/>
          <w:sz w:val="21"/>
          <w:szCs w:val="21"/>
          <w:color w:val="auto"/>
        </w:rPr>
        <w:t xml:space="preserve">” means the collective reference to the </w:t>
      </w:r>
      <w:r>
        <w:rPr>
          <w:rFonts w:ascii="Times New Roman" w:cs="Times New Roman" w:eastAsia="Times New Roman" w:hAnsi="Times New Roman"/>
          <w:sz w:val="21"/>
          <w:szCs w:val="21"/>
          <w:b w:val="1"/>
          <w:bCs w:val="1"/>
          <w:color w:val="FF0000"/>
          <w:strike w:val="1"/>
        </w:rPr>
        <w:t>Original</w:t>
      </w:r>
      <w:r>
        <w:rPr>
          <w:rFonts w:ascii="Times New Roman" w:cs="Times New Roman" w:eastAsia="Times New Roman" w:hAnsi="Times New Roman"/>
          <w:sz w:val="21"/>
          <w:szCs w:val="21"/>
          <w:b w:val="1"/>
          <w:bCs w:val="1"/>
          <w:u w:val="single" w:color="auto"/>
          <w:color w:val="0000FF"/>
        </w:rPr>
        <w:t>2025</w:t>
      </w:r>
      <w:r>
        <w:rPr>
          <w:rFonts w:ascii="Times New Roman" w:cs="Times New Roman" w:eastAsia="Times New Roman" w:hAnsi="Times New Roman"/>
          <w:sz w:val="21"/>
          <w:szCs w:val="21"/>
          <w:color w:val="auto"/>
        </w:rPr>
        <w:t xml:space="preserve"> Revolving Credit Facility and any additional revolving credit facilities resulting from Incremental Revolving Credit Commitments and Other Revolving Commitments and the Credit Extensions made thereunder, or, as the context may require, to any of such revolving credit facilities individually.</w:t>
      </w:r>
    </w:p>
    <w:p>
      <w:pPr>
        <w:spacing w:after="0" w:line="155" w:lineRule="exact"/>
        <w:rPr>
          <w:sz w:val="20"/>
          <w:szCs w:val="20"/>
          <w:color w:val="auto"/>
        </w:rPr>
      </w:pPr>
    </w:p>
    <w:p>
      <w:pPr>
        <w:jc w:val="both"/>
        <w:ind w:right="20" w:firstLine="636"/>
        <w:spacing w:after="0" w:line="30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Revolving Credit Lender</w:t>
      </w:r>
      <w:r>
        <w:rPr>
          <w:rFonts w:ascii="Times New Roman" w:cs="Times New Roman" w:eastAsia="Times New Roman" w:hAnsi="Times New Roman"/>
          <w:sz w:val="21"/>
          <w:szCs w:val="21"/>
          <w:color w:val="auto"/>
        </w:rPr>
        <w:t>” means, at any time, any Lender that has a Revolving Credit Commitment at such time or that has Revolving Credit Loans or risk participations in L/C Obligations outstanding at such time.</w:t>
      </w:r>
    </w:p>
    <w:p>
      <w:pPr>
        <w:spacing w:after="0" w:line="121" w:lineRule="exact"/>
        <w:rPr>
          <w:sz w:val="20"/>
          <w:szCs w:val="20"/>
          <w:color w:val="auto"/>
        </w:rPr>
      </w:pPr>
    </w:p>
    <w:p>
      <w:pPr>
        <w:jc w:val="both"/>
        <w:ind w:firstLine="636"/>
        <w:spacing w:after="0" w:line="28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Revolving Credit Loan</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2.01</w:t>
      </w:r>
      <w:r>
        <w:rPr>
          <w:rFonts w:ascii="Times New Roman" w:cs="Times New Roman" w:eastAsia="Times New Roman" w:hAnsi="Times New Roman"/>
          <w:sz w:val="21"/>
          <w:szCs w:val="21"/>
          <w:color w:val="auto"/>
        </w:rPr>
        <w:t xml:space="preserve"> and shall include, as the context may require, any Incremental Revolving Loans or Other Revolving Loans.</w:t>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RFR</w:t>
      </w:r>
      <w:r>
        <w:rPr>
          <w:rFonts w:ascii="Times New Roman" w:cs="Times New Roman" w:eastAsia="Times New Roman" w:hAnsi="Times New Roman"/>
          <w:sz w:val="21"/>
          <w:szCs w:val="21"/>
          <w:color w:val="auto"/>
        </w:rPr>
        <w:t>” means, for any RFR Loan denominated in Sterling, SONIA.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58</w:t>
      </w:r>
    </w:p>
    <w:p>
      <w:pPr>
        <w:sectPr>
          <w:pgSz w:w="11900" w:h="16838" w:orient="portrait"/>
          <w:cols w:equalWidth="0" w:num="1">
            <w:col w:w="11240"/>
          </w:cols>
          <w:pgMar w:left="320" w:top="1393" w:right="339" w:bottom="1440" w:gutter="0" w:footer="0" w:header="0"/>
        </w:sectPr>
      </w:pPr>
    </w:p>
    <w:bookmarkStart w:id="164" w:name="page165"/>
    <w:bookmarkEnd w:id="164"/>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RFR Borrowing</w:t>
      </w:r>
      <w:r>
        <w:rPr>
          <w:rFonts w:ascii="Times New Roman" w:cs="Times New Roman" w:eastAsia="Times New Roman" w:hAnsi="Times New Roman"/>
          <w:sz w:val="21"/>
          <w:szCs w:val="21"/>
          <w:color w:val="auto"/>
        </w:rPr>
        <w:t>” means, as to any Borrowing, the RFR Loans comprising such Borrowing.</w:t>
      </w:r>
    </w:p>
    <w:p>
      <w:pPr>
        <w:spacing w:after="0" w:line="222" w:lineRule="exact"/>
        <w:rPr>
          <w:sz w:val="20"/>
          <w:szCs w:val="20"/>
          <w:color w:val="auto"/>
        </w:rPr>
      </w:pPr>
    </w:p>
    <w:p>
      <w:pPr>
        <w:jc w:val="both"/>
        <w:ind w:firstLine="636"/>
        <w:spacing w:after="0" w:line="28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RFR Business Day</w:t>
      </w:r>
      <w:r>
        <w:rPr>
          <w:rFonts w:ascii="Times New Roman" w:cs="Times New Roman" w:eastAsia="Times New Roman" w:hAnsi="Times New Roman"/>
          <w:sz w:val="21"/>
          <w:szCs w:val="21"/>
          <w:color w:val="auto"/>
        </w:rPr>
        <w:t>” means, for any Loan denominated in Sterling, any day except for (i) a Saturday, (ii) a Sunday or (iii) a day on which banks are closed for general business in London, England.</w:t>
      </w:r>
    </w:p>
    <w:p>
      <w:pPr>
        <w:spacing w:after="0" w:line="1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RFR Interest Day</w:t>
      </w:r>
      <w:r>
        <w:rPr>
          <w:rFonts w:ascii="Times New Roman" w:cs="Times New Roman" w:eastAsia="Times New Roman" w:hAnsi="Times New Roman"/>
          <w:sz w:val="21"/>
          <w:szCs w:val="21"/>
          <w:color w:val="auto"/>
        </w:rPr>
        <w:t>” has the meaning specified in the definition of “Daily Simple RFR”.</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RFR Loan</w:t>
      </w:r>
      <w:r>
        <w:rPr>
          <w:rFonts w:ascii="Times New Roman" w:cs="Times New Roman" w:eastAsia="Times New Roman" w:hAnsi="Times New Roman"/>
          <w:sz w:val="21"/>
          <w:szCs w:val="21"/>
          <w:color w:val="auto"/>
        </w:rPr>
        <w:t xml:space="preserve">” means a Loan that bears interest at a rate based on the </w:t>
      </w:r>
      <w:r>
        <w:rPr>
          <w:rFonts w:ascii="Times New Roman" w:cs="Times New Roman" w:eastAsia="Times New Roman" w:hAnsi="Times New Roman"/>
          <w:sz w:val="21"/>
          <w:szCs w:val="21"/>
          <w:b w:val="1"/>
          <w:bCs w:val="1"/>
          <w:color w:val="FF0000"/>
          <w:strike w:val="1"/>
        </w:rPr>
        <w:t>Adjusted</w:t>
      </w:r>
      <w:r>
        <w:rPr>
          <w:rFonts w:ascii="Times New Roman" w:cs="Times New Roman" w:eastAsia="Times New Roman" w:hAnsi="Times New Roman"/>
          <w:sz w:val="21"/>
          <w:szCs w:val="21"/>
          <w:color w:val="auto"/>
        </w:rPr>
        <w:t xml:space="preserve"> Daily Simple RFR.</w:t>
      </w:r>
    </w:p>
    <w:p>
      <w:pPr>
        <w:spacing w:after="0" w:line="222" w:lineRule="exact"/>
        <w:rPr>
          <w:sz w:val="20"/>
          <w:szCs w:val="20"/>
          <w:color w:val="auto"/>
        </w:rPr>
      </w:pPr>
    </w:p>
    <w:p>
      <w:pPr>
        <w:jc w:val="both"/>
        <w:ind w:firstLine="636"/>
        <w:spacing w:after="0" w:line="267" w:lineRule="auto"/>
        <w:rPr>
          <w:sz w:val="20"/>
          <w:szCs w:val="20"/>
          <w:color w:val="auto"/>
        </w:rPr>
      </w:pPr>
      <w:r>
        <w:rPr>
          <w:rFonts w:ascii="Times New Roman" w:cs="Times New Roman" w:eastAsia="Times New Roman" w:hAnsi="Times New Roman"/>
          <w:sz w:val="21"/>
          <w:szCs w:val="21"/>
          <w:color w:val="00C000"/>
          <w:strike w:val="1"/>
        </w:rPr>
        <w:t>“</w:t>
      </w:r>
      <w:r>
        <w:rPr>
          <w:rFonts w:ascii="Times New Roman" w:cs="Times New Roman" w:eastAsia="Times New Roman" w:hAnsi="Times New Roman"/>
          <w:sz w:val="21"/>
          <w:szCs w:val="21"/>
          <w:b w:val="1"/>
          <w:bCs w:val="1"/>
          <w:color w:val="00C000"/>
          <w:strike w:val="1"/>
        </w:rPr>
        <w:t>Sanctions</w:t>
      </w:r>
      <w:r>
        <w:rPr>
          <w:rFonts w:ascii="Times New Roman" w:cs="Times New Roman" w:eastAsia="Times New Roman" w:hAnsi="Times New Roman"/>
          <w:sz w:val="21"/>
          <w:szCs w:val="21"/>
          <w:color w:val="00C000"/>
          <w:strike w:val="1"/>
        </w:rPr>
        <w:t xml:space="preserve">” means all economic or financial sanctions or trade embargoes imposed, administered or enforced from time to time by the U.S. government, including those administered by the Office of Foreign Assets Control of the U.S. Department of the Treasury or the U.S. Department of State, the United Nations Security Council, the European Union, any European Union member state, or </w:t>
      </w:r>
      <w:r>
        <w:rPr>
          <w:rFonts w:ascii="Times New Roman" w:cs="Times New Roman" w:eastAsia="Times New Roman" w:hAnsi="Times New Roman"/>
          <w:sz w:val="21"/>
          <w:szCs w:val="21"/>
          <w:b w:val="1"/>
          <w:bCs w:val="1"/>
          <w:color w:val="FF0000"/>
          <w:strike w:val="1"/>
        </w:rPr>
        <w:t>Her</w:t>
      </w:r>
      <w:r>
        <w:rPr>
          <w:rFonts w:ascii="Times New Roman" w:cs="Times New Roman" w:eastAsia="Times New Roman" w:hAnsi="Times New Roman"/>
          <w:sz w:val="21"/>
          <w:szCs w:val="21"/>
          <w:color w:val="00C000"/>
          <w:strike w:val="1"/>
        </w:rPr>
        <w:t xml:space="preserve"> Majesty’s Treasury of the United Kingdom.</w:t>
      </w:r>
    </w:p>
    <w:p>
      <w:pPr>
        <w:spacing w:after="0" w:line="158" w:lineRule="exact"/>
        <w:rPr>
          <w:sz w:val="20"/>
          <w:szCs w:val="20"/>
          <w:color w:val="auto"/>
        </w:rPr>
      </w:pPr>
    </w:p>
    <w:p>
      <w:pPr>
        <w:jc w:val="both"/>
        <w:ind w:firstLine="636"/>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Sanctioned Country</w:t>
      </w:r>
      <w:r>
        <w:rPr>
          <w:rFonts w:ascii="Times New Roman" w:cs="Times New Roman" w:eastAsia="Times New Roman" w:hAnsi="Times New Roman"/>
          <w:sz w:val="21"/>
          <w:szCs w:val="21"/>
          <w:color w:val="auto"/>
        </w:rPr>
        <w:t>” means a country</w:t>
      </w:r>
      <w:r>
        <w:rPr>
          <w:rFonts w:ascii="Times New Roman" w:cs="Times New Roman" w:eastAsia="Times New Roman" w:hAnsi="Times New Roman"/>
          <w:sz w:val="21"/>
          <w:szCs w:val="21"/>
          <w:b w:val="1"/>
          <w:bCs w:val="1"/>
          <w:color w:val="FF0000"/>
          <w:strike w:val="1"/>
        </w:rPr>
        <w:t>, territory or a government of a country</w:t>
      </w:r>
      <w:r>
        <w:rPr>
          <w:rFonts w:ascii="Times New Roman" w:cs="Times New Roman" w:eastAsia="Times New Roman" w:hAnsi="Times New Roman"/>
          <w:sz w:val="21"/>
          <w:szCs w:val="21"/>
          <w:color w:val="auto"/>
        </w:rPr>
        <w:t xml:space="preserve"> or territory that is </w:t>
      </w:r>
      <w:r>
        <w:rPr>
          <w:rFonts w:ascii="Times New Roman" w:cs="Times New Roman" w:eastAsia="Times New Roman" w:hAnsi="Times New Roman"/>
          <w:sz w:val="21"/>
          <w:szCs w:val="21"/>
          <w:b w:val="1"/>
          <w:bCs w:val="1"/>
          <w:color w:val="FF0000"/>
          <w:strike w:val="1"/>
        </w:rPr>
        <w:t>subject to</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FF0000"/>
          <w:strike w:val="1"/>
        </w:rPr>
        <w:t>Sanctions</w:t>
      </w:r>
      <w:r>
        <w:rPr>
          <w:rFonts w:ascii="Times New Roman" w:cs="Times New Roman" w:eastAsia="Times New Roman" w:hAnsi="Times New Roman"/>
          <w:sz w:val="21"/>
          <w:szCs w:val="21"/>
          <w:b w:val="1"/>
          <w:bCs w:val="1"/>
          <w:u w:val="single" w:color="auto"/>
          <w:color w:val="0000FF"/>
          <w:strike w:val="1"/>
        </w:rPr>
        <w:t>the target of comprehensive territory-wide Sanctions (currently, Cuba, Iran, Syria, North Korea, the so-called</w:t>
      </w:r>
      <w:r>
        <w:rPr>
          <w:rFonts w:ascii="Times New Roman" w:cs="Times New Roman" w:eastAsia="Times New Roman" w:hAnsi="Times New Roman"/>
          <w:sz w:val="21"/>
          <w:szCs w:val="21"/>
          <w:b w:val="1"/>
          <w:bCs w:val="1"/>
          <w:color w:val="FF0000"/>
          <w:strike w:val="1"/>
        </w:rPr>
        <w:t xml:space="preserve"> </w:t>
      </w:r>
      <w:r>
        <w:rPr>
          <w:rFonts w:ascii="Times New Roman" w:cs="Times New Roman" w:eastAsia="Times New Roman" w:hAnsi="Times New Roman"/>
          <w:sz w:val="21"/>
          <w:szCs w:val="21"/>
          <w:b w:val="1"/>
          <w:bCs w:val="1"/>
          <w:u w:val="single" w:color="auto"/>
          <w:color w:val="0000FF"/>
          <w:strike w:val="1"/>
        </w:rPr>
        <w:t>Luhansk People’s Republic, the so-called Donetsk People’s Republic, the Crimea region of Ukraine, and the non-government controlled oblasts of Zaporizhzhia and Kherson of Ukraine)</w:t>
      </w:r>
      <w:r>
        <w:rPr>
          <w:rFonts w:ascii="Times New Roman" w:cs="Times New Roman" w:eastAsia="Times New Roman" w:hAnsi="Times New Roman"/>
          <w:sz w:val="21"/>
          <w:szCs w:val="21"/>
          <w:color w:val="000000"/>
          <w:strike w:val="1"/>
        </w:rPr>
        <w:t>.</w:t>
      </w:r>
    </w:p>
    <w:p>
      <w:pPr>
        <w:spacing w:after="0" w:line="161" w:lineRule="exact"/>
        <w:rPr>
          <w:sz w:val="20"/>
          <w:szCs w:val="20"/>
          <w:color w:val="auto"/>
        </w:rPr>
      </w:pPr>
    </w:p>
    <w:p>
      <w:pPr>
        <w:jc w:val="both"/>
        <w:ind w:firstLine="636"/>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Sanctioned Person</w:t>
      </w:r>
      <w:r>
        <w:rPr>
          <w:rFonts w:ascii="Times New Roman" w:cs="Times New Roman" w:eastAsia="Times New Roman" w:hAnsi="Times New Roman"/>
          <w:sz w:val="21"/>
          <w:szCs w:val="21"/>
          <w:color w:val="auto"/>
        </w:rPr>
        <w:t xml:space="preserve">” means (a) any Person listed in any Sanctions-related list of designated Persons maintained by OFAC, the U.S. Department of State, the United Nations Security Council, the European Union, any European Union member state, or </w:t>
      </w:r>
      <w:r>
        <w:rPr>
          <w:rFonts w:ascii="Times New Roman" w:cs="Times New Roman" w:eastAsia="Times New Roman" w:hAnsi="Times New Roman"/>
          <w:sz w:val="21"/>
          <w:szCs w:val="21"/>
          <w:b w:val="1"/>
          <w:bCs w:val="1"/>
          <w:color w:val="FF0000"/>
          <w:strike w:val="1"/>
        </w:rPr>
        <w:t>Her</w:t>
      </w:r>
      <w:r>
        <w:rPr>
          <w:rFonts w:ascii="Times New Roman" w:cs="Times New Roman" w:eastAsia="Times New Roman" w:hAnsi="Times New Roman"/>
          <w:sz w:val="21"/>
          <w:szCs w:val="21"/>
          <w:b w:val="1"/>
          <w:bCs w:val="1"/>
          <w:u w:val="single" w:color="auto"/>
          <w:color w:val="0000FF"/>
        </w:rPr>
        <w:t>His</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color w:val="000000"/>
        </w:rPr>
        <w:t>Majesty’s Treasury of the United Kingdom, (b) any Person operating, organized or resident in a Sanctioned Country</w:t>
      </w:r>
      <w:r>
        <w:rPr>
          <w:rFonts w:ascii="Times New Roman" w:cs="Times New Roman" w:eastAsia="Times New Roman" w:hAnsi="Times New Roman"/>
          <w:sz w:val="21"/>
          <w:szCs w:val="21"/>
          <w:b w:val="1"/>
          <w:bCs w:val="1"/>
          <w:color w:val="FF0000"/>
        </w:rPr>
        <w:t xml:space="preserve"> or</w:t>
      </w:r>
      <w:r>
        <w:rPr>
          <w:rFonts w:ascii="Times New Roman" w:cs="Times New Roman" w:eastAsia="Times New Roman" w:hAnsi="Times New Roman"/>
          <w:sz w:val="21"/>
          <w:szCs w:val="21"/>
          <w:b w:val="1"/>
          <w:bCs w:val="1"/>
          <w:u w:val="single" w:color="auto"/>
          <w:color w:val="0000FF"/>
        </w:rPr>
        <w:t>,</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color w:val="000000"/>
        </w:rPr>
        <w:t>(c</w:t>
      </w:r>
      <w:r>
        <w:rPr>
          <w:rFonts w:ascii="Times New Roman" w:cs="Times New Roman" w:eastAsia="Times New Roman" w:hAnsi="Times New Roman"/>
          <w:sz w:val="21"/>
          <w:szCs w:val="21"/>
          <w:b w:val="1"/>
          <w:bCs w:val="1"/>
          <w:u w:val="single" w:color="auto"/>
          <w:color w:val="0000FF"/>
        </w:rPr>
        <w:t>)</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b w:val="1"/>
          <w:bCs w:val="1"/>
          <w:u w:val="single" w:color="auto"/>
          <w:color w:val="0000FF"/>
        </w:rPr>
        <w:t>the Government of a Sanctioned Country or the Government of Venezuela or (d</w:t>
      </w:r>
      <w:r>
        <w:rPr>
          <w:rFonts w:ascii="Times New Roman" w:cs="Times New Roman" w:eastAsia="Times New Roman" w:hAnsi="Times New Roman"/>
          <w:sz w:val="21"/>
          <w:szCs w:val="21"/>
          <w:color w:val="000000"/>
        </w:rPr>
        <w:t>) any Person owned or controlled by any such</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 xml:space="preserve">Person or Persons described in the foregoing </w:t>
      </w:r>
      <w:r>
        <w:rPr>
          <w:rFonts w:ascii="Times New Roman" w:cs="Times New Roman" w:eastAsia="Times New Roman" w:hAnsi="Times New Roman"/>
          <w:sz w:val="21"/>
          <w:szCs w:val="21"/>
          <w:u w:val="single" w:color="auto"/>
          <w:color w:val="000000"/>
        </w:rPr>
        <w:t>clauses (a)</w:t>
      </w:r>
      <w:r>
        <w:rPr>
          <w:rFonts w:ascii="Times New Roman" w:cs="Times New Roman" w:eastAsia="Times New Roman" w:hAnsi="Times New Roman"/>
          <w:sz w:val="21"/>
          <w:szCs w:val="21"/>
          <w:b w:val="1"/>
          <w:bCs w:val="1"/>
          <w:u w:val="single" w:color="auto"/>
          <w:color w:val="0000FF"/>
        </w:rPr>
        <w:t>, (b)</w:t>
      </w:r>
      <w:r>
        <w:rPr>
          <w:rFonts w:ascii="Times New Roman" w:cs="Times New Roman" w:eastAsia="Times New Roman" w:hAnsi="Times New Roman"/>
          <w:sz w:val="21"/>
          <w:szCs w:val="21"/>
          <w:color w:val="000000"/>
        </w:rPr>
        <w:t xml:space="preserve"> or (</w:t>
      </w:r>
      <w:r>
        <w:rPr>
          <w:rFonts w:ascii="Times New Roman" w:cs="Times New Roman" w:eastAsia="Times New Roman" w:hAnsi="Times New Roman"/>
          <w:sz w:val="21"/>
          <w:szCs w:val="21"/>
          <w:b w:val="1"/>
          <w:bCs w:val="1"/>
          <w:u w:val="single" w:color="auto"/>
          <w:color w:val="FF0000"/>
          <w:strike w:val="1"/>
        </w:rPr>
        <w:t>b</w:t>
      </w:r>
      <w:r>
        <w:rPr>
          <w:rFonts w:ascii="Times New Roman" w:cs="Times New Roman" w:eastAsia="Times New Roman" w:hAnsi="Times New Roman"/>
          <w:sz w:val="21"/>
          <w:szCs w:val="21"/>
          <w:b w:val="1"/>
          <w:bCs w:val="1"/>
          <w:u w:val="single" w:color="auto"/>
          <w:color w:val="0000FF"/>
        </w:rPr>
        <w:t>c</w:t>
      </w:r>
      <w:r>
        <w:rPr>
          <w:rFonts w:ascii="Times New Roman" w:cs="Times New Roman" w:eastAsia="Times New Roman" w:hAnsi="Times New Roman"/>
          <w:sz w:val="21"/>
          <w:szCs w:val="2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6749415</wp:posOffset>
            </wp:positionH>
            <wp:positionV relativeFrom="paragraph">
              <wp:posOffset>-415925</wp:posOffset>
            </wp:positionV>
            <wp:extent cx="16065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2">
                      <a:extLst>
                        <a:ext uri="{28A0092B-C50C-407E-A947-70E740481C1C}"/>
                      </a:extLst>
                    </a:blip>
                    <a:srcRect/>
                    <a:stretch>
                      <a:fillRect/>
                    </a:stretch>
                  </pic:blipFill>
                  <pic:spPr bwMode="auto">
                    <a:xfrm>
                      <a:off x="0" y="0"/>
                      <a:ext cx="160655" cy="8255"/>
                    </a:xfrm>
                    <a:prstGeom prst="rect">
                      <a:avLst/>
                    </a:prstGeom>
                    <a:noFill/>
                  </pic:spPr>
                </pic:pic>
              </a:graphicData>
            </a:graphic>
          </wp:anchor>
        </w:drawing>
      </w:r>
    </w:p>
    <w:p>
      <w:pPr>
        <w:spacing w:after="0" w:line="141" w:lineRule="exact"/>
        <w:rPr>
          <w:sz w:val="20"/>
          <w:szCs w:val="20"/>
          <w:color w:val="auto"/>
        </w:rPr>
      </w:pPr>
    </w:p>
    <w:p>
      <w:pPr>
        <w:jc w:val="both"/>
        <w:ind w:firstLine="636"/>
        <w:spacing w:after="0" w:line="267" w:lineRule="auto"/>
        <w:rPr>
          <w:sz w:val="20"/>
          <w:szCs w:val="20"/>
          <w:color w:val="auto"/>
        </w:rPr>
      </w:pPr>
      <w:r>
        <w:rPr>
          <w:rFonts w:ascii="Times New Roman" w:cs="Times New Roman" w:eastAsia="Times New Roman" w:hAnsi="Times New Roman"/>
          <w:sz w:val="21"/>
          <w:szCs w:val="21"/>
          <w:u w:val="single" w:color="auto"/>
          <w:color w:val="00C000"/>
        </w:rPr>
        <w:t>“</w:t>
      </w:r>
      <w:r>
        <w:rPr>
          <w:rFonts w:ascii="Times New Roman" w:cs="Times New Roman" w:eastAsia="Times New Roman" w:hAnsi="Times New Roman"/>
          <w:sz w:val="21"/>
          <w:szCs w:val="21"/>
          <w:b w:val="1"/>
          <w:bCs w:val="1"/>
          <w:u w:val="single" w:color="auto"/>
          <w:color w:val="00C000"/>
        </w:rPr>
        <w:t>Sanctions</w:t>
      </w:r>
      <w:r>
        <w:rPr>
          <w:rFonts w:ascii="Times New Roman" w:cs="Times New Roman" w:eastAsia="Times New Roman" w:hAnsi="Times New Roman"/>
          <w:sz w:val="21"/>
          <w:szCs w:val="21"/>
          <w:u w:val="single" w:color="auto"/>
          <w:color w:val="00C000"/>
        </w:rPr>
        <w:t xml:space="preserve">” means all economic or financial sanctions or trade embargoes imposed, administered or enforced from time to time by the U.S. government, including those administered by the Office of Foreign Assets Control of the U.S. Department of the Treasury or the U.S. Department of State, the United Nations Security Council, the European Union, any European Union member state, or </w:t>
      </w:r>
      <w:r>
        <w:rPr>
          <w:rFonts w:ascii="Times New Roman" w:cs="Times New Roman" w:eastAsia="Times New Roman" w:hAnsi="Times New Roman"/>
          <w:sz w:val="21"/>
          <w:szCs w:val="21"/>
          <w:b w:val="1"/>
          <w:bCs w:val="1"/>
          <w:u w:val="single" w:color="auto"/>
          <w:color w:val="0000FF"/>
        </w:rPr>
        <w:t>His</w:t>
      </w:r>
      <w:r>
        <w:rPr>
          <w:rFonts w:ascii="Times New Roman" w:cs="Times New Roman" w:eastAsia="Times New Roman" w:hAnsi="Times New Roman"/>
          <w:sz w:val="21"/>
          <w:szCs w:val="21"/>
          <w:u w:val="single" w:color="auto"/>
          <w:color w:val="00C000"/>
        </w:rPr>
        <w:t xml:space="preserve"> Majesty’s Treasury of the United Kingdom.</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S&amp;P</w:t>
      </w:r>
      <w:r>
        <w:rPr>
          <w:rFonts w:ascii="Times New Roman" w:cs="Times New Roman" w:eastAsia="Times New Roman" w:hAnsi="Times New Roman"/>
          <w:sz w:val="21"/>
          <w:szCs w:val="21"/>
          <w:color w:val="auto"/>
        </w:rPr>
        <w:t>” means S&amp;P Global Inc., through its S&amp;P Global Ratings division or any successor thereto.</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Same Day Funds</w:t>
      </w:r>
      <w:r>
        <w:rPr>
          <w:rFonts w:ascii="Times New Roman" w:cs="Times New Roman" w:eastAsia="Times New Roman" w:hAnsi="Times New Roman"/>
          <w:sz w:val="21"/>
          <w:szCs w:val="21"/>
          <w:color w:val="auto"/>
        </w:rPr>
        <w:t>” means (a) with respect to disbursements and payments in U.S. Dollars, immediately available funds and</w:t>
      </w:r>
    </w:p>
    <w:p>
      <w:pPr>
        <w:spacing w:after="0" w:line="39" w:lineRule="exact"/>
        <w:rPr>
          <w:sz w:val="20"/>
          <w:szCs w:val="20"/>
          <w:color w:val="auto"/>
        </w:rPr>
      </w:pPr>
    </w:p>
    <w:p>
      <w:pPr>
        <w:ind w:firstLine="6"/>
        <w:spacing w:after="0" w:line="273" w:lineRule="auto"/>
        <w:tabs>
          <w:tab w:leader="none" w:pos="346"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disbursements and payments in an Alternative Currency, same day or other funds as may be reasonably determined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59</w:t>
      </w:r>
    </w:p>
    <w:p>
      <w:pPr>
        <w:sectPr>
          <w:pgSz w:w="11900" w:h="16838" w:orient="portrait"/>
          <w:cols w:equalWidth="0" w:num="1">
            <w:col w:w="11240"/>
          </w:cols>
          <w:pgMar w:left="320" w:top="1394" w:right="339" w:bottom="1440" w:gutter="0" w:footer="0" w:header="0"/>
        </w:sectPr>
      </w:pPr>
    </w:p>
    <w:bookmarkStart w:id="165" w:name="page166"/>
    <w:bookmarkEnd w:id="165"/>
    <w:p>
      <w:pPr>
        <w:jc w:val="both"/>
        <w:spacing w:after="0" w:line="285" w:lineRule="auto"/>
        <w:rPr>
          <w:sz w:val="20"/>
          <w:szCs w:val="20"/>
          <w:color w:val="auto"/>
        </w:rPr>
      </w:pPr>
      <w:r>
        <w:rPr>
          <w:rFonts w:ascii="Times New Roman" w:cs="Times New Roman" w:eastAsia="Times New Roman" w:hAnsi="Times New Roman"/>
          <w:sz w:val="21"/>
          <w:szCs w:val="21"/>
          <w:color w:val="auto"/>
        </w:rPr>
        <w:t>Administrative Agent or the applicable L/C Issuer, as the case may be, to be customary in the place of disbursement or payment for the settlements of international banking transactions in the relevant Alternative Currency.</w:t>
      </w:r>
    </w:p>
    <w:p>
      <w:pPr>
        <w:spacing w:after="0" w:line="1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b w:val="1"/>
          <w:bCs w:val="1"/>
          <w:u w:val="single" w:color="auto"/>
          <w:color w:val="0000FF"/>
        </w:rPr>
        <w:t>“Scheduled Revolving Facility Maturity Date” has the meaning specified in the definition of “Maturity Date”.</w:t>
      </w:r>
    </w:p>
    <w:p>
      <w:pPr>
        <w:spacing w:after="0" w:line="236" w:lineRule="exact"/>
        <w:rPr>
          <w:sz w:val="20"/>
          <w:szCs w:val="20"/>
          <w:color w:val="auto"/>
        </w:rPr>
      </w:pPr>
    </w:p>
    <w:p>
      <w:pPr>
        <w:jc w:val="both"/>
        <w:ind w:right="20" w:firstLine="636"/>
        <w:spacing w:after="0" w:line="28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SEC</w:t>
      </w:r>
      <w:r>
        <w:rPr>
          <w:rFonts w:ascii="Times New Roman" w:cs="Times New Roman" w:eastAsia="Times New Roman" w:hAnsi="Times New Roman"/>
          <w:sz w:val="21"/>
          <w:szCs w:val="21"/>
          <w:color w:val="auto"/>
        </w:rPr>
        <w:t>” means the Securities and Exchange Commission, or any Governmental Authority succeeding to any of its principal functions.</w:t>
      </w:r>
    </w:p>
    <w:p>
      <w:pPr>
        <w:spacing w:after="0" w:line="134" w:lineRule="exact"/>
        <w:rPr>
          <w:sz w:val="20"/>
          <w:szCs w:val="20"/>
          <w:color w:val="auto"/>
        </w:rPr>
      </w:pPr>
    </w:p>
    <w:p>
      <w:pPr>
        <w:jc w:val="both"/>
        <w:ind w:firstLine="636"/>
        <w:spacing w:after="0" w:line="289" w:lineRule="auto"/>
        <w:rPr>
          <w:sz w:val="20"/>
          <w:szCs w:val="20"/>
          <w:color w:val="auto"/>
        </w:rPr>
      </w:pPr>
      <w:r>
        <w:rPr>
          <w:rFonts w:ascii="Times New Roman" w:cs="Times New Roman" w:eastAsia="Times New Roman" w:hAnsi="Times New Roman"/>
          <w:sz w:val="21"/>
          <w:szCs w:val="21"/>
          <w:b w:val="1"/>
          <w:bCs w:val="1"/>
          <w:color w:val="auto"/>
        </w:rPr>
        <w:t>“Secured Cash Management Agreement</w:t>
      </w:r>
      <w:r>
        <w:rPr>
          <w:rFonts w:ascii="Times New Roman" w:cs="Times New Roman" w:eastAsia="Times New Roman" w:hAnsi="Times New Roman"/>
          <w:sz w:val="21"/>
          <w:szCs w:val="21"/>
          <w:color w:val="auto"/>
        </w:rPr>
        <w:t>” means any Cash Management Agreement that is entered into by and between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any Loan Party and any Cash Management Bank.</w:t>
      </w:r>
    </w:p>
    <w:p>
      <w:pPr>
        <w:spacing w:after="0" w:line="134" w:lineRule="exact"/>
        <w:rPr>
          <w:sz w:val="20"/>
          <w:szCs w:val="20"/>
          <w:color w:val="auto"/>
        </w:rPr>
      </w:pPr>
    </w:p>
    <w:p>
      <w:pPr>
        <w:jc w:val="both"/>
        <w:ind w:firstLine="636"/>
        <w:spacing w:after="0" w:line="30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Secured Hedge Agreement</w:t>
      </w:r>
      <w:r>
        <w:rPr>
          <w:rFonts w:ascii="Times New Roman" w:cs="Times New Roman" w:eastAsia="Times New Roman" w:hAnsi="Times New Roman"/>
          <w:sz w:val="21"/>
          <w:szCs w:val="21"/>
          <w:color w:val="auto"/>
        </w:rPr>
        <w:t>” means any interest rate, currency or commodity Swap Contract permitted under this Agreement that is entered into by and between a Loan Party and any Hedge Bank.</w:t>
      </w:r>
    </w:p>
    <w:p>
      <w:pPr>
        <w:spacing w:after="0" w:line="121"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Secured Net Leverage Ratio</w:t>
      </w:r>
      <w:r>
        <w:rPr>
          <w:rFonts w:ascii="Times New Roman" w:cs="Times New Roman" w:eastAsia="Times New Roman" w:hAnsi="Times New Roman"/>
          <w:sz w:val="21"/>
          <w:szCs w:val="21"/>
          <w:color w:val="auto"/>
        </w:rPr>
        <w:t>” means, with respect to any Measurement Period, the ratio of (i) Consolidated Senior Secured Debt (which shall be calculated net of the Unrestricted Cash Amount) as of the last day of such Measurement Period to (ii) Consolidated EBITDA for such Measurement Period, in each case for the Borrower and its Restricted Subsidiaries.</w:t>
      </w:r>
    </w:p>
    <w:p>
      <w:pPr>
        <w:spacing w:after="0" w:line="155" w:lineRule="exact"/>
        <w:rPr>
          <w:sz w:val="20"/>
          <w:szCs w:val="20"/>
          <w:color w:val="auto"/>
        </w:rPr>
      </w:pPr>
    </w:p>
    <w:p>
      <w:pPr>
        <w:jc w:val="both"/>
        <w:ind w:firstLine="636"/>
        <w:spacing w:after="0" w:line="26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Secured Parties</w:t>
      </w:r>
      <w:r>
        <w:rPr>
          <w:rFonts w:ascii="Times New Roman" w:cs="Times New Roman" w:eastAsia="Times New Roman" w:hAnsi="Times New Roman"/>
          <w:sz w:val="21"/>
          <w:szCs w:val="21"/>
          <w:color w:val="auto"/>
        </w:rPr>
        <w:t xml:space="preserve">” means, collectively, the Administrative Agent, the Lenders, the L/C Issuers, with respect to any Secured Cash Management Agreement, the Cash Management Banks, with respect to any Secured Hedge Agreement, the Hedge Banks, each co-agent or sub-agent appointed by the Administrative Agent from time to time pursuant to </w:t>
      </w:r>
      <w:r>
        <w:rPr>
          <w:rFonts w:ascii="Times New Roman" w:cs="Times New Roman" w:eastAsia="Times New Roman" w:hAnsi="Times New Roman"/>
          <w:sz w:val="21"/>
          <w:szCs w:val="21"/>
          <w:u w:val="single" w:color="auto"/>
          <w:color w:val="auto"/>
        </w:rPr>
        <w:t>Section 9.05</w:t>
      </w:r>
      <w:r>
        <w:rPr>
          <w:rFonts w:ascii="Times New Roman" w:cs="Times New Roman" w:eastAsia="Times New Roman" w:hAnsi="Times New Roman"/>
          <w:sz w:val="21"/>
          <w:szCs w:val="21"/>
          <w:color w:val="auto"/>
        </w:rPr>
        <w:t>, and the other Persons the Obligations owing to which are or are purported to be secured by the Collateral under the terms of the Collateral Documents.</w:t>
      </w:r>
    </w:p>
    <w:p>
      <w:pPr>
        <w:spacing w:after="0" w:line="158" w:lineRule="exact"/>
        <w:rPr>
          <w:sz w:val="20"/>
          <w:szCs w:val="20"/>
          <w:color w:val="auto"/>
        </w:rPr>
      </w:pPr>
    </w:p>
    <w:p>
      <w:pPr>
        <w:jc w:val="both"/>
        <w:ind w:right="20" w:firstLine="636"/>
        <w:spacing w:after="0" w:line="28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Senior Notes</w:t>
      </w:r>
      <w:r>
        <w:rPr>
          <w:rFonts w:ascii="Times New Roman" w:cs="Times New Roman" w:eastAsia="Times New Roman" w:hAnsi="Times New Roman"/>
          <w:sz w:val="21"/>
          <w:szCs w:val="21"/>
          <w:color w:val="auto"/>
        </w:rPr>
        <w:t>” mean Borrower’s 7.00% Senior Notes due 2030 issued pursuant to that certain Indenture, dated as of March 10, 2022, between the Borrower and Computershare Trust Company, National Association, as trustee.</w:t>
      </w:r>
    </w:p>
    <w:p>
      <w:pPr>
        <w:spacing w:after="0" w:line="134" w:lineRule="exact"/>
        <w:rPr>
          <w:sz w:val="20"/>
          <w:szCs w:val="20"/>
          <w:color w:val="auto"/>
        </w:rPr>
      </w:pPr>
    </w:p>
    <w:p>
      <w:pPr>
        <w:jc w:val="both"/>
        <w:ind w:firstLine="636"/>
        <w:spacing w:after="0" w:line="30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Shareholders’ Equity</w:t>
      </w:r>
      <w:r>
        <w:rPr>
          <w:rFonts w:ascii="Times New Roman" w:cs="Times New Roman" w:eastAsia="Times New Roman" w:hAnsi="Times New Roman"/>
          <w:sz w:val="21"/>
          <w:szCs w:val="21"/>
          <w:color w:val="auto"/>
        </w:rPr>
        <w:t>” means, as of any date of determination, consolidated shareholders’, partners’ or members’ equity of the Borrower and its Restricted Subsidiaries as of that date determined in accordance with GAAP.</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SOFR</w:t>
      </w:r>
      <w:r>
        <w:rPr>
          <w:rFonts w:ascii="Times New Roman" w:cs="Times New Roman" w:eastAsia="Times New Roman" w:hAnsi="Times New Roman"/>
          <w:sz w:val="21"/>
          <w:szCs w:val="21"/>
          <w:color w:val="auto"/>
        </w:rPr>
        <w:t>” means a rate equal to the secured overnight financing rate as administered by the SOFR Administrator.</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SOFR Administrator</w:t>
      </w:r>
      <w:r>
        <w:rPr>
          <w:rFonts w:ascii="Times New Roman" w:cs="Times New Roman" w:eastAsia="Times New Roman" w:hAnsi="Times New Roman"/>
          <w:sz w:val="21"/>
          <w:szCs w:val="21"/>
          <w:color w:val="auto"/>
        </w:rPr>
        <w:t>” means the NYFRB (or a successor administrator of the secured overnight financing rate).</w:t>
      </w:r>
    </w:p>
    <w:p>
      <w:pPr>
        <w:spacing w:after="0" w:line="222" w:lineRule="exact"/>
        <w:rPr>
          <w:sz w:val="20"/>
          <w:szCs w:val="20"/>
          <w:color w:val="auto"/>
        </w:rPr>
      </w:pPr>
    </w:p>
    <w:p>
      <w:pPr>
        <w:jc w:val="both"/>
        <w:ind w:firstLine="636"/>
        <w:spacing w:after="0" w:line="28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SOFR Administrator’s Website</w:t>
      </w:r>
      <w:r>
        <w:rPr>
          <w:rFonts w:ascii="Times New Roman" w:cs="Times New Roman" w:eastAsia="Times New Roman" w:hAnsi="Times New Roman"/>
          <w:sz w:val="21"/>
          <w:szCs w:val="21"/>
          <w:color w:val="auto"/>
        </w:rPr>
        <w:t>” means the NYFRB’s website, currently at http://www.newyorkfed.org, or any successor source for the secured overnight financing rate identified as such by the SOFR Administrator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60</w:t>
      </w:r>
    </w:p>
    <w:p>
      <w:pPr>
        <w:sectPr>
          <w:pgSz w:w="11900" w:h="16838" w:orient="portrait"/>
          <w:cols w:equalWidth="0" w:num="1">
            <w:col w:w="11240"/>
          </w:cols>
          <w:pgMar w:left="320" w:top="1397" w:right="339" w:bottom="1440" w:gutter="0" w:footer="0" w:header="0"/>
        </w:sectPr>
      </w:pPr>
    </w:p>
    <w:bookmarkStart w:id="166" w:name="page167"/>
    <w:bookmarkEnd w:id="166"/>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SOFR Rate Day</w:t>
      </w:r>
      <w:r>
        <w:rPr>
          <w:rFonts w:ascii="Times New Roman" w:cs="Times New Roman" w:eastAsia="Times New Roman" w:hAnsi="Times New Roman"/>
          <w:sz w:val="21"/>
          <w:szCs w:val="21"/>
          <w:color w:val="auto"/>
        </w:rPr>
        <w:t>” has the meaning specified in the definition of “Daily Simple SOFR”.</w:t>
      </w:r>
    </w:p>
    <w:p>
      <w:pPr>
        <w:spacing w:after="0" w:line="222" w:lineRule="exact"/>
        <w:rPr>
          <w:sz w:val="20"/>
          <w:szCs w:val="20"/>
          <w:color w:val="auto"/>
        </w:rPr>
      </w:pPr>
    </w:p>
    <w:p>
      <w:pPr>
        <w:jc w:val="both"/>
        <w:ind w:firstLine="636"/>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Solvent</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b w:val="1"/>
          <w:bCs w:val="1"/>
          <w:color w:val="auto"/>
        </w:rPr>
        <w:t>Solvency</w:t>
      </w:r>
      <w:r>
        <w:rPr>
          <w:rFonts w:ascii="Times New Roman" w:cs="Times New Roman" w:eastAsia="Times New Roman" w:hAnsi="Times New Roman"/>
          <w:sz w:val="21"/>
          <w:szCs w:val="21"/>
          <w:color w:val="auto"/>
        </w:rPr>
        <w:t>” mean, with respect to any Person on any date of determination, that on such date (a) the fair value of the property of such Person is greater than the total amount of liabilities, including contingent liabilities, of such Person, (b) the present fair salable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 (d) such Person is not engaged in business or a transaction, and is not about to engage in business or a transaction, for which such Person’s property would constitute an unreasonably small capital, and (e) such Person is able to pay its debts and liabilities, contingent obligations and other commitments as they mature in the ordinary course of business. The amount of contingent liabilities at any time shall be computed as the amount that, in light of all the facts and circumstances existing at such time, represents the amount that can reasonably be expected to become an actual or matured liability.</w:t>
      </w:r>
    </w:p>
    <w:p>
      <w:pPr>
        <w:spacing w:after="0" w:line="170"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SONIA</w:t>
      </w:r>
      <w:r>
        <w:rPr>
          <w:rFonts w:ascii="Times New Roman" w:cs="Times New Roman" w:eastAsia="Times New Roman" w:hAnsi="Times New Roman"/>
          <w:sz w:val="21"/>
          <w:szCs w:val="21"/>
          <w:color w:val="auto"/>
        </w:rPr>
        <w:t>” means, with respect to any Business Day, a rate per annum equal to the Sterling Overnight Index Average for such Business Day published by the SONIA Administrator on the SONIA Administrator’s Website on the immediately succeeding Business Day.</w:t>
      </w:r>
    </w:p>
    <w:p>
      <w:pPr>
        <w:spacing w:after="0" w:line="169" w:lineRule="exact"/>
        <w:rPr>
          <w:sz w:val="20"/>
          <w:szCs w:val="20"/>
          <w:color w:val="auto"/>
        </w:rPr>
      </w:pPr>
    </w:p>
    <w:p>
      <w:pPr>
        <w:jc w:val="both"/>
        <w:ind w:firstLine="636"/>
        <w:spacing w:after="0" w:line="28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SONIA Administrator</w:t>
      </w:r>
      <w:r>
        <w:rPr>
          <w:rFonts w:ascii="Times New Roman" w:cs="Times New Roman" w:eastAsia="Times New Roman" w:hAnsi="Times New Roman"/>
          <w:sz w:val="21"/>
          <w:szCs w:val="21"/>
          <w:color w:val="auto"/>
        </w:rPr>
        <w:t>” means the Bank of England (or any successor administrator of the Sterling Overnight Index Average).</w:t>
      </w:r>
    </w:p>
    <w:p>
      <w:pPr>
        <w:spacing w:after="0" w:line="134" w:lineRule="exact"/>
        <w:rPr>
          <w:sz w:val="20"/>
          <w:szCs w:val="20"/>
          <w:color w:val="auto"/>
        </w:rPr>
      </w:pPr>
    </w:p>
    <w:p>
      <w:pPr>
        <w:jc w:val="both"/>
        <w:ind w:right="20" w:firstLine="636"/>
        <w:spacing w:after="0" w:line="28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SONIA Administrator’s Website</w:t>
      </w:r>
      <w:r>
        <w:rPr>
          <w:rFonts w:ascii="Times New Roman" w:cs="Times New Roman" w:eastAsia="Times New Roman" w:hAnsi="Times New Roman"/>
          <w:sz w:val="21"/>
          <w:szCs w:val="21"/>
          <w:color w:val="auto"/>
        </w:rPr>
        <w:t>” means the Bank of England’s website, currently at http://www.bankofengland.co.uk, or any successor source for the Sterling Overnight Index Average identified as such by the SONIA Administrator from time to time.</w:t>
      </w:r>
    </w:p>
    <w:p>
      <w:pPr>
        <w:spacing w:after="0" w:line="134" w:lineRule="exact"/>
        <w:rPr>
          <w:sz w:val="20"/>
          <w:szCs w:val="20"/>
          <w:color w:val="auto"/>
        </w:rPr>
      </w:pPr>
    </w:p>
    <w:p>
      <w:pPr>
        <w:jc w:val="both"/>
        <w:ind w:firstLine="636"/>
        <w:spacing w:after="0" w:line="30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Special Purpose Vehicle</w:t>
      </w:r>
      <w:r>
        <w:rPr>
          <w:rFonts w:ascii="Times New Roman" w:cs="Times New Roman" w:eastAsia="Times New Roman" w:hAnsi="Times New Roman"/>
          <w:sz w:val="21"/>
          <w:szCs w:val="21"/>
          <w:color w:val="auto"/>
        </w:rPr>
        <w:t>” means a trust, partnership or other special purpose Person established by the Borrower and/or any of its Restricted Subsidiaries to implement a Qualified Receivables Transaction.</w:t>
      </w:r>
    </w:p>
    <w:p>
      <w:pPr>
        <w:spacing w:after="0" w:line="121" w:lineRule="exact"/>
        <w:rPr>
          <w:sz w:val="20"/>
          <w:szCs w:val="20"/>
          <w:color w:val="auto"/>
        </w:rPr>
      </w:pPr>
    </w:p>
    <w:p>
      <w:pPr>
        <w:jc w:val="both"/>
        <w:ind w:firstLine="636"/>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Spot Rate</w:t>
      </w:r>
      <w:r>
        <w:rPr>
          <w:rFonts w:ascii="Times New Roman" w:cs="Times New Roman" w:eastAsia="Times New Roman" w:hAnsi="Times New Roman"/>
          <w:sz w:val="21"/>
          <w:szCs w:val="21"/>
          <w:color w:val="auto"/>
        </w:rPr>
        <w:t xml:space="preserve">” for a currency means the rate determined by the Administrative Agent or the applicable L/C Issuer, as applicable, to be the rate quoted by the Person acting in such capacity as the spot rate for the purchase by such Person of such currency with another currency through its principal foreign exchange trading office at approximately 11:00 a.m. on the date two Business Days prior to the date as of which the foreign exchange computation is made;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Administrative Agent or the applicable L/C Issuer may obtain such spot rate from another financial institution designated by the Administrative Agent or the applicable L/C Issuer if the Person acting in such capacity does not have as of the date of determination a spot buying rate for any such currency;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xml:space="preserve"> that the applicable L/C Issuer may use such spot rate quoted on the date as of which any foreign exchange computation is to be made in the case of any Letter of Credit denominated in an Alternative Currency.</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b w:val="1"/>
          <w:bCs w:val="1"/>
          <w:u w:val="single" w:color="auto"/>
          <w:color w:val="0000FF"/>
        </w:rPr>
        <w:t>“Springing Maturity Date” has the meaning specified in the definition of “Maturity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61</w:t>
      </w:r>
    </w:p>
    <w:p>
      <w:pPr>
        <w:sectPr>
          <w:pgSz w:w="11900" w:h="16838" w:orient="portrait"/>
          <w:cols w:equalWidth="0" w:num="1">
            <w:col w:w="11240"/>
          </w:cols>
          <w:pgMar w:left="320" w:top="1394" w:right="339" w:bottom="1440" w:gutter="0" w:footer="0" w:header="0"/>
        </w:sectPr>
      </w:pPr>
    </w:p>
    <w:bookmarkStart w:id="167" w:name="page168"/>
    <w:bookmarkEnd w:id="167"/>
    <w:p>
      <w:pPr>
        <w:jc w:val="both"/>
        <w:ind w:firstLine="636"/>
        <w:spacing w:after="0" w:line="26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Standard Securitization Undertakings</w:t>
      </w:r>
      <w:r>
        <w:rPr>
          <w:rFonts w:ascii="Times New Roman" w:cs="Times New Roman" w:eastAsia="Times New Roman" w:hAnsi="Times New Roman"/>
          <w:sz w:val="21"/>
          <w:szCs w:val="21"/>
          <w:color w:val="auto"/>
        </w:rPr>
        <w:t>” means representations, warranties, covenants, performance guarantees and indemnities entered into by the Borrower or any Restricted Subsidiary of the Borrower which, in the good faith judgment of the board of directors of the appropriate company, are reasonably customary in an accounts receivable transaction, including any Receivables Repurchase Obligation.</w:t>
      </w:r>
    </w:p>
    <w:p>
      <w:pPr>
        <w:spacing w:after="0" w:line="158"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Statutory Reserve Rate</w:t>
      </w:r>
      <w:r>
        <w:rPr>
          <w:rFonts w:ascii="Times New Roman" w:cs="Times New Roman" w:eastAsia="Times New Roman" w:hAnsi="Times New Roman"/>
          <w:sz w:val="21"/>
          <w:szCs w:val="21"/>
          <w:color w:val="auto"/>
        </w:rPr>
        <w:t>” means a fraction (expressed as a decimal), the numerator of which is the number one and the denominator of which is the number one minus the arithmetic mean, taken over each day in such Interest Period, of the aggregate of the maximum reserve percentages (including any marginal, special, emergency or supplemental reserves) expressed as a decimal established by the FRB to which the Administrative Agent is subject with respect to the Eurodollar Rate, for eurocurrency funding (currently referred to as “Eurocurrency Liabilities” (as such term is defined in Regulation D of the FRB)). Such reserve percentages shall include those imposed pursuant to such Regulation D. Without limiting the effect of the foregoing, the Statutory Reserve Rate shall reflect any other reserves required to be maintained by such member banks with respect to (a) any category of liabilities which includes deposits by reference to which the applicable Eurodollar Rate or any other interest rate of a Loan is to be determined or (b) any category of extensions of credit or other assets which include Eurodollar Rate Loans. Eurodollar Rate Loans shall be deemed to constitute eurocurrency funding and to be subject to such reserve requirements without benefit of or credit for proration, exemptions or offsets that may be available from time to time to any Lender under such Regulation D or any comparable regulation. The Statutory Reserve Rate shall be adjusted automatically on and as of the effective date of any change in any reserve percentage.</w:t>
      </w:r>
    </w:p>
    <w:p>
      <w:pPr>
        <w:spacing w:after="0" w:line="1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Sterling</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mean the lawful currency of the United Kingdom.</w:t>
      </w:r>
    </w:p>
    <w:p>
      <w:pPr>
        <w:spacing w:after="0" w:line="222" w:lineRule="exact"/>
        <w:rPr>
          <w:sz w:val="20"/>
          <w:szCs w:val="20"/>
          <w:color w:val="auto"/>
        </w:rPr>
      </w:pPr>
    </w:p>
    <w:p>
      <w:pPr>
        <w:jc w:val="both"/>
        <w:ind w:firstLine="636"/>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Subsidiary</w:t>
      </w:r>
      <w:r>
        <w:rPr>
          <w:rFonts w:ascii="Times New Roman" w:cs="Times New Roman" w:eastAsia="Times New Roman" w:hAnsi="Times New Roman"/>
          <w:sz w:val="21"/>
          <w:szCs w:val="21"/>
          <w:color w:val="auto"/>
        </w:rPr>
        <w:t>”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w:t>
      </w:r>
      <w:r>
        <w:rPr>
          <w:rFonts w:ascii="Times New Roman" w:cs="Times New Roman" w:eastAsia="Times New Roman" w:hAnsi="Times New Roman"/>
          <w:sz w:val="21"/>
          <w:szCs w:val="21"/>
          <w:b w:val="1"/>
          <w:bCs w:val="1"/>
          <w:color w:val="auto"/>
        </w:rPr>
        <w:t>Subsidiary</w:t>
      </w:r>
      <w:r>
        <w:rPr>
          <w:rFonts w:ascii="Times New Roman" w:cs="Times New Roman" w:eastAsia="Times New Roman" w:hAnsi="Times New Roman"/>
          <w:sz w:val="21"/>
          <w:szCs w:val="21"/>
          <w:color w:val="auto"/>
        </w:rPr>
        <w:t>” or to “</w:t>
      </w:r>
      <w:r>
        <w:rPr>
          <w:rFonts w:ascii="Times New Roman" w:cs="Times New Roman" w:eastAsia="Times New Roman" w:hAnsi="Times New Roman"/>
          <w:sz w:val="21"/>
          <w:szCs w:val="21"/>
          <w:b w:val="1"/>
          <w:bCs w:val="1"/>
          <w:color w:val="auto"/>
        </w:rPr>
        <w:t>Subsidiaries</w:t>
      </w:r>
      <w:r>
        <w:rPr>
          <w:rFonts w:ascii="Times New Roman" w:cs="Times New Roman" w:eastAsia="Times New Roman" w:hAnsi="Times New Roman"/>
          <w:sz w:val="21"/>
          <w:szCs w:val="21"/>
          <w:color w:val="auto"/>
        </w:rPr>
        <w:t>” shall refer to a Subsidiary or Subsidiaries of the Borrower.</w:t>
      </w:r>
    </w:p>
    <w:p>
      <w:pPr>
        <w:spacing w:after="0" w:line="166"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Swap Contract</w:t>
      </w:r>
      <w:r>
        <w:rPr>
          <w:rFonts w:ascii="Times New Roman" w:cs="Times New Roman" w:eastAsia="Times New Roman" w:hAnsi="Times New Roman"/>
          <w:sz w:val="21"/>
          <w:szCs w:val="21"/>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62</w:t>
      </w:r>
    </w:p>
    <w:p>
      <w:pPr>
        <w:sectPr>
          <w:pgSz w:w="11900" w:h="16838" w:orient="portrait"/>
          <w:cols w:equalWidth="0" w:num="1">
            <w:col w:w="11240"/>
          </w:cols>
          <w:pgMar w:left="320" w:top="1393" w:right="339" w:bottom="1440" w:gutter="0" w:footer="0" w:header="0"/>
        </w:sectPr>
      </w:pPr>
    </w:p>
    <w:bookmarkStart w:id="168" w:name="page169"/>
    <w:bookmarkEnd w:id="168"/>
    <w:p>
      <w:pPr>
        <w:jc w:val="both"/>
        <w:spacing w:after="0" w:line="266" w:lineRule="auto"/>
        <w:rPr>
          <w:sz w:val="20"/>
          <w:szCs w:val="20"/>
          <w:color w:val="auto"/>
        </w:rPr>
      </w:pPr>
      <w:r>
        <w:rPr>
          <w:rFonts w:ascii="Times New Roman" w:cs="Times New Roman" w:eastAsia="Times New Roman" w:hAnsi="Times New Roman"/>
          <w:sz w:val="21"/>
          <w:szCs w:val="21"/>
          <w:color w:val="auto"/>
        </w:rPr>
        <w:t xml:space="preserve">and conditions of, or governed by, any form of master agreement published by the International Swaps and Derivatives Association, Inc., any International Foreign Exchange Master Agreement, or any other similar master agreement relating to a transaction described in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(any such master agreement, together with any related schedules, a “</w:t>
      </w:r>
      <w:r>
        <w:rPr>
          <w:rFonts w:ascii="Times New Roman" w:cs="Times New Roman" w:eastAsia="Times New Roman" w:hAnsi="Times New Roman"/>
          <w:sz w:val="21"/>
          <w:szCs w:val="21"/>
          <w:b w:val="1"/>
          <w:bCs w:val="1"/>
          <w:color w:val="auto"/>
        </w:rPr>
        <w:t>Master Agreement</w:t>
      </w:r>
      <w:r>
        <w:rPr>
          <w:rFonts w:ascii="Times New Roman" w:cs="Times New Roman" w:eastAsia="Times New Roman" w:hAnsi="Times New Roman"/>
          <w:sz w:val="21"/>
          <w:szCs w:val="21"/>
          <w:color w:val="auto"/>
        </w:rPr>
        <w:t>”), including any such obligations or liabilities under any Master Agreement.</w:t>
      </w:r>
    </w:p>
    <w:p>
      <w:pPr>
        <w:spacing w:after="0" w:line="158" w:lineRule="exact"/>
        <w:rPr>
          <w:sz w:val="20"/>
          <w:szCs w:val="20"/>
          <w:color w:val="auto"/>
        </w:rPr>
      </w:pPr>
    </w:p>
    <w:p>
      <w:pPr>
        <w:jc w:val="both"/>
        <w:ind w:firstLine="636"/>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Swap Termination Value</w:t>
      </w:r>
      <w:r>
        <w:rPr>
          <w:rFonts w:ascii="Times New Roman" w:cs="Times New Roman" w:eastAsia="Times New Roman" w:hAnsi="Times New Roman"/>
          <w:sz w:val="21"/>
          <w:szCs w:val="21"/>
          <w:color w:val="auto"/>
        </w:rPr>
        <w:t xml:space="preserve">”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66" w:lineRule="exact"/>
        <w:rPr>
          <w:sz w:val="20"/>
          <w:szCs w:val="20"/>
          <w:color w:val="auto"/>
        </w:rPr>
      </w:pPr>
    </w:p>
    <w:p>
      <w:pPr>
        <w:jc w:val="both"/>
        <w:ind w:firstLine="636"/>
        <w:spacing w:after="0" w:line="289" w:lineRule="auto"/>
        <w:rPr>
          <w:sz w:val="20"/>
          <w:szCs w:val="20"/>
          <w:color w:val="auto"/>
        </w:rPr>
      </w:pPr>
      <w:r>
        <w:rPr>
          <w:rFonts w:ascii="Times New Roman" w:cs="Times New Roman" w:eastAsia="Times New Roman" w:hAnsi="Times New Roman"/>
          <w:sz w:val="21"/>
          <w:szCs w:val="21"/>
          <w:b w:val="1"/>
          <w:bCs w:val="1"/>
          <w:color w:val="FF0000"/>
          <w:strike w:val="1"/>
        </w:rPr>
        <w:t>“TARGET2” means the Trans-European Automated Real-time Gross Settlement Express Transfer payment system which utilizes a single shared platform and which was launched on November 19, 2007.</w:t>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b w:val="1"/>
          <w:bCs w:val="1"/>
          <w:u w:val="single" w:color="auto"/>
          <w:color w:val="0000FF"/>
        </w:rPr>
        <w:t>“T2” means the real time gross settlement system operated by the Eurosystem, or any successor system.</w:t>
      </w:r>
    </w:p>
    <w:p>
      <w:pPr>
        <w:spacing w:after="0" w:line="222" w:lineRule="exact"/>
        <w:rPr>
          <w:sz w:val="20"/>
          <w:szCs w:val="20"/>
          <w:color w:val="auto"/>
        </w:rPr>
      </w:pPr>
    </w:p>
    <w:p>
      <w:pPr>
        <w:jc w:val="both"/>
        <w:ind w:firstLine="636"/>
        <w:spacing w:after="0" w:line="27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TARGET Day</w:t>
      </w:r>
      <w:r>
        <w:rPr>
          <w:rFonts w:ascii="Times New Roman" w:cs="Times New Roman" w:eastAsia="Times New Roman" w:hAnsi="Times New Roman"/>
          <w:sz w:val="21"/>
          <w:szCs w:val="21"/>
          <w:color w:val="auto"/>
        </w:rPr>
        <w:t xml:space="preserve">” means any day on which </w:t>
      </w:r>
      <w:r>
        <w:rPr>
          <w:rFonts w:ascii="Times New Roman" w:cs="Times New Roman" w:eastAsia="Times New Roman" w:hAnsi="Times New Roman"/>
          <w:sz w:val="21"/>
          <w:szCs w:val="21"/>
          <w:b w:val="1"/>
          <w:bCs w:val="1"/>
          <w:color w:val="FF0000"/>
          <w:strike w:val="1"/>
        </w:rPr>
        <w:t>TARGET</w:t>
      </w:r>
      <w:r>
        <w:rPr>
          <w:rFonts w:ascii="Times New Roman" w:cs="Times New Roman" w:eastAsia="Times New Roman" w:hAnsi="Times New Roman"/>
          <w:sz w:val="21"/>
          <w:szCs w:val="21"/>
          <w:b w:val="1"/>
          <w:bCs w:val="1"/>
          <w:u w:val="single" w:color="auto"/>
          <w:color w:val="0000FF"/>
        </w:rPr>
        <w:t>T</w:t>
      </w:r>
      <w:r>
        <w:rPr>
          <w:rFonts w:ascii="Times New Roman" w:cs="Times New Roman" w:eastAsia="Times New Roman" w:hAnsi="Times New Roman"/>
          <w:sz w:val="21"/>
          <w:szCs w:val="21"/>
          <w:color w:val="auto"/>
        </w:rPr>
        <w:t>2 (or, if such payment system ceases to be operative, such other payment system, if any, determined by the Administrative Agent to be a suitable replacement) is open for the settlement of payments in Euro.</w:t>
      </w:r>
    </w:p>
    <w:p>
      <w:pPr>
        <w:spacing w:after="0" w:line="1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Tax and Related Distributions</w:t>
      </w:r>
      <w:r>
        <w:rPr>
          <w:rFonts w:ascii="Times New Roman" w:cs="Times New Roman" w:eastAsia="Times New Roman" w:hAnsi="Times New Roman"/>
          <w:sz w:val="21"/>
          <w:szCs w:val="21"/>
          <w:color w:val="auto"/>
        </w:rPr>
        <w:t>” means, without duplication,</w:t>
      </w:r>
    </w:p>
    <w:p>
      <w:pPr>
        <w:spacing w:after="0" w:line="226" w:lineRule="exact"/>
        <w:rPr>
          <w:sz w:val="20"/>
          <w:szCs w:val="20"/>
          <w:color w:val="auto"/>
        </w:rPr>
      </w:pPr>
    </w:p>
    <w:p>
      <w:pPr>
        <w:jc w:val="both"/>
        <w:ind w:firstLine="642"/>
        <w:spacing w:after="0" w:line="257" w:lineRule="auto"/>
        <w:tabs>
          <w:tab w:leader="none" w:pos="924"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for any taxable period for which the Borrower is a member of a consolidated, combined, unitary or similar tax group for U.S. federal and/or applicable state or local tax purposes, payments to discharge the consolidated, combined, unitary or similar Tax liabilities of such tax group when and as due, to the extent such liabilities are attributable to the income of the Borrower and/or any Restricted Subsidiary of the Borrower (or any Unrestricted Subsidiary of the Borrower to the extent such Unrestricted Subsidiary has distributed a corresponding amount to the Borrower or a Restricted Subsidiary), taking into account any carryovers of losses, excess interest deductions, and any available credits, in each case incurred on or following the Closing Date;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for each taxable period the amount of any such payment shall not be greater than the amount of such taxes that are reasonably expected to be due and payable by the Borrower and such Subsidiaries if the Borrower and such Subsidiaries filed a consolidated, combined, unitary or similar type tax return with the Borrower as the consolidated parent, and</w:t>
      </w:r>
    </w:p>
    <w:p>
      <w:pPr>
        <w:spacing w:after="0" w:line="176" w:lineRule="exact"/>
        <w:rPr>
          <w:rFonts w:ascii="Times New Roman" w:cs="Times New Roman" w:eastAsia="Times New Roman" w:hAnsi="Times New Roman"/>
          <w:sz w:val="21"/>
          <w:szCs w:val="21"/>
          <w:color w:val="auto"/>
        </w:rPr>
      </w:pPr>
    </w:p>
    <w:p>
      <w:pPr>
        <w:jc w:val="both"/>
        <w:ind w:firstLine="642"/>
        <w:spacing w:after="0" w:line="261" w:lineRule="auto"/>
        <w:tabs>
          <w:tab w:leader="none" w:pos="950"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payment made by the Borrower (including, without limitation, any amounts treated as being paid on behalf of Old BRBR or any of its or Borrower’s Subsidiaries) pursuant to the Tax Matters Agreement, the Tax Matters Agreement (2019), or the Tax Receivable Agreement (in each case as in effect on the date of this Agreement, or as amended, modified, supplemented, restated or replaced from time to time in a manner not materially adverse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63</w:t>
      </w:r>
    </w:p>
    <w:p>
      <w:pPr>
        <w:sectPr>
          <w:pgSz w:w="11900" w:h="16838" w:orient="portrait"/>
          <w:cols w:equalWidth="0" w:num="1">
            <w:col w:w="11240"/>
          </w:cols>
          <w:pgMar w:left="320" w:top="1398" w:right="3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21"/>
          <w:szCs w:val="21"/>
          <w:color w:val="auto"/>
        </w:rPr>
        <w:t>interests of the Lenders), other than any payments described in Article IV of the Tax Receivable Agreement.</w:t>
      </w:r>
    </w:p>
    <w:p>
      <w:pPr>
        <w:spacing w:after="0" w:line="218" w:lineRule="exact"/>
        <w:rPr>
          <w:sz w:val="20"/>
          <w:szCs w:val="20"/>
          <w:color w:val="auto"/>
        </w:rPr>
      </w:pPr>
    </w:p>
    <w:p>
      <w:pPr>
        <w:jc w:val="both"/>
        <w:ind w:firstLine="636"/>
        <w:spacing w:after="0" w:line="26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Tax Matters Agreement</w:t>
      </w:r>
      <w:r>
        <w:rPr>
          <w:rFonts w:ascii="Times New Roman" w:cs="Times New Roman" w:eastAsia="Times New Roman" w:hAnsi="Times New Roman"/>
          <w:sz w:val="21"/>
          <w:szCs w:val="21"/>
          <w:color w:val="auto"/>
        </w:rPr>
        <w:t xml:space="preserve">" means that certain Tax Matters Agreement by and among Post, the Borrower, and Old BRBR, dated as of March 10, 2022, as amended, modified, supplemented, restated or replaced from time to time and the tax receivable agreement, if any, entered into in accordance with </w:t>
      </w:r>
      <w:r>
        <w:rPr>
          <w:rFonts w:ascii="Times New Roman" w:cs="Times New Roman" w:eastAsia="Times New Roman" w:hAnsi="Times New Roman"/>
          <w:sz w:val="21"/>
          <w:szCs w:val="21"/>
          <w:u w:val="single" w:color="auto"/>
          <w:color w:val="auto"/>
        </w:rPr>
        <w:t>Section 2.09</w:t>
      </w:r>
      <w:r>
        <w:rPr>
          <w:rFonts w:ascii="Times New Roman" w:cs="Times New Roman" w:eastAsia="Times New Roman" w:hAnsi="Times New Roman"/>
          <w:sz w:val="21"/>
          <w:szCs w:val="21"/>
          <w:color w:val="auto"/>
        </w:rPr>
        <w:t xml:space="preserve"> thereof, as amended, modified, supplemented, restated or replaced from time to time.</w:t>
      </w:r>
    </w:p>
    <w:p>
      <w:pPr>
        <w:spacing w:after="0" w:line="158" w:lineRule="exact"/>
        <w:rPr>
          <w:sz w:val="20"/>
          <w:szCs w:val="20"/>
          <w:color w:val="auto"/>
        </w:rPr>
      </w:pPr>
    </w:p>
    <w:p>
      <w:pPr>
        <w:jc w:val="both"/>
        <w:ind w:firstLine="636"/>
        <w:spacing w:after="0" w:line="28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Tax Matters Agreement (2019)</w:t>
      </w:r>
      <w:r>
        <w:rPr>
          <w:rFonts w:ascii="Times New Roman" w:cs="Times New Roman" w:eastAsia="Times New Roman" w:hAnsi="Times New Roman"/>
          <w:sz w:val="21"/>
          <w:szCs w:val="21"/>
          <w:color w:val="auto"/>
        </w:rPr>
        <w:t>” means that certain Tax Matters Agreement by and among Post, the Borrower, and Old BRBR, dated as of October 21, 2019, as amended, modified, supplemented, restated or replaced from time to time.</w:t>
      </w:r>
    </w:p>
    <w:p>
      <w:pPr>
        <w:spacing w:after="0" w:line="134" w:lineRule="exact"/>
        <w:rPr>
          <w:sz w:val="20"/>
          <w:szCs w:val="20"/>
          <w:color w:val="auto"/>
        </w:rPr>
      </w:pPr>
    </w:p>
    <w:p>
      <w:pPr>
        <w:jc w:val="both"/>
        <w:ind w:right="20" w:firstLine="636"/>
        <w:spacing w:after="0" w:line="30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Tax Receivable Agreement</w:t>
      </w:r>
      <w:r>
        <w:rPr>
          <w:rFonts w:ascii="Times New Roman" w:cs="Times New Roman" w:eastAsia="Times New Roman" w:hAnsi="Times New Roman"/>
          <w:sz w:val="21"/>
          <w:szCs w:val="21"/>
          <w:color w:val="auto"/>
        </w:rPr>
        <w:t>" means that certain Tax Receivable Agreement by and among Post, BellRing Brands, LLC and Old BRBR, dated as of October 21, 2019, as amended, modified, supplemented, restated or replaced from time to time.</w:t>
      </w:r>
    </w:p>
    <w:p>
      <w:pPr>
        <w:spacing w:after="0" w:line="121"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Taxes</w:t>
      </w:r>
      <w:r>
        <w:rPr>
          <w:rFonts w:ascii="Times New Roman" w:cs="Times New Roman" w:eastAsia="Times New Roman" w:hAnsi="Times New Roman"/>
          <w:sz w:val="21"/>
          <w:szCs w:val="21"/>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55" w:lineRule="exact"/>
        <w:rPr>
          <w:sz w:val="20"/>
          <w:szCs w:val="20"/>
          <w:color w:val="auto"/>
        </w:rPr>
      </w:pPr>
    </w:p>
    <w:p>
      <w:pPr>
        <w:jc w:val="both"/>
        <w:ind w:firstLine="636"/>
        <w:spacing w:after="0" w:line="27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Term Benchmark</w:t>
      </w:r>
      <w:r>
        <w:rPr>
          <w:rFonts w:ascii="Times New Roman" w:cs="Times New Roman" w:eastAsia="Times New Roman" w:hAnsi="Times New Roman"/>
          <w:sz w:val="21"/>
          <w:szCs w:val="21"/>
          <w:color w:val="auto"/>
        </w:rPr>
        <w:t xml:space="preserve">” when used in reference to any Loan or Borrowing, refers to whether such Loan, or the Loans comprising such Borrowing, are bearing interest at a rate determined by reference to </w:t>
      </w:r>
      <w:r>
        <w:rPr>
          <w:rFonts w:ascii="Times New Roman" w:cs="Times New Roman" w:eastAsia="Times New Roman" w:hAnsi="Times New Roman"/>
          <w:sz w:val="21"/>
          <w:szCs w:val="21"/>
          <w:b w:val="1"/>
          <w:bCs w:val="1"/>
          <w:color w:val="FF0000"/>
        </w:rPr>
        <w:t>the Adjusted</w:t>
      </w:r>
      <w:r>
        <w:rPr>
          <w:rFonts w:ascii="Times New Roman" w:cs="Times New Roman" w:eastAsia="Times New Roman" w:hAnsi="Times New Roman"/>
          <w:sz w:val="21"/>
          <w:szCs w:val="21"/>
          <w:color w:val="auto"/>
        </w:rPr>
        <w:t xml:space="preserve"> Term SOFR </w:t>
      </w:r>
      <w:r>
        <w:rPr>
          <w:rFonts w:ascii="Times New Roman" w:cs="Times New Roman" w:eastAsia="Times New Roman" w:hAnsi="Times New Roman"/>
          <w:sz w:val="21"/>
          <w:szCs w:val="21"/>
          <w:b w:val="1"/>
          <w:bCs w:val="1"/>
          <w:color w:val="FF0000"/>
        </w:rPr>
        <w:t>Rate</w:t>
      </w:r>
      <w:r>
        <w:rPr>
          <w:rFonts w:ascii="Times New Roman" w:cs="Times New Roman" w:eastAsia="Times New Roman" w:hAnsi="Times New Roman"/>
          <w:sz w:val="21"/>
          <w:szCs w:val="21"/>
          <w:color w:val="auto"/>
        </w:rPr>
        <w:t xml:space="preserve"> or the Adjusted Eurodollar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-273050</wp:posOffset>
            </wp:positionV>
            <wp:extent cx="82105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3">
                      <a:extLst>
                        <a:ext uri="{28A0092B-C50C-407E-A947-70E740481C1C}"/>
                      </a:extLst>
                    </a:blip>
                    <a:srcRect/>
                    <a:stretch>
                      <a:fillRect/>
                    </a:stretch>
                  </pic:blipFill>
                  <pic:spPr bwMode="auto">
                    <a:xfrm>
                      <a:off x="0" y="0"/>
                      <a:ext cx="821055" cy="8255"/>
                    </a:xfrm>
                    <a:prstGeom prst="rect">
                      <a:avLst/>
                    </a:prstGeom>
                    <a:noFill/>
                  </pic:spPr>
                </pic:pic>
              </a:graphicData>
            </a:graphic>
          </wp:anchor>
        </w:drawing>
        <w:drawing>
          <wp:anchor simplePos="0" relativeHeight="251657728" behindDoc="1" locked="0" layoutInCell="0" allowOverlap="1">
            <wp:simplePos x="0" y="0"/>
            <wp:positionH relativeFrom="column">
              <wp:posOffset>6405880</wp:posOffset>
            </wp:positionH>
            <wp:positionV relativeFrom="paragraph">
              <wp:posOffset>-273050</wp:posOffset>
            </wp:positionV>
            <wp:extent cx="32829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4">
                      <a:extLst>
                        <a:ext uri="{28A0092B-C50C-407E-A947-70E740481C1C}"/>
                      </a:extLst>
                    </a:blip>
                    <a:srcRect/>
                    <a:stretch>
                      <a:fillRect/>
                    </a:stretch>
                  </pic:blipFill>
                  <pic:spPr bwMode="auto">
                    <a:xfrm>
                      <a:off x="0" y="0"/>
                      <a:ext cx="328295" cy="8255"/>
                    </a:xfrm>
                    <a:prstGeom prst="rect">
                      <a:avLst/>
                    </a:prstGeom>
                    <a:noFill/>
                  </pic:spPr>
                </pic:pic>
              </a:graphicData>
            </a:graphic>
          </wp:anchor>
        </w:drawing>
      </w:r>
    </w:p>
    <w:p>
      <w:pPr>
        <w:spacing w:after="0" w:line="127" w:lineRule="exact"/>
        <w:rPr>
          <w:sz w:val="20"/>
          <w:szCs w:val="20"/>
          <w:color w:val="auto"/>
        </w:rPr>
      </w:pPr>
    </w:p>
    <w:p>
      <w:pPr>
        <w:jc w:val="both"/>
        <w:ind w:firstLine="636"/>
        <w:spacing w:after="0" w:line="28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Term Borrowing</w:t>
      </w:r>
      <w:r>
        <w:rPr>
          <w:rFonts w:ascii="Times New Roman" w:cs="Times New Roman" w:eastAsia="Times New Roman" w:hAnsi="Times New Roman"/>
          <w:sz w:val="21"/>
          <w:szCs w:val="21"/>
          <w:color w:val="auto"/>
        </w:rPr>
        <w:t>” means a borrowing consisting of simultaneous Term Loans of the same Class and Type and, in the case of Eurodollar Rate Loans or Term SOFR Loans, having the same Interest Period made by each of the applicable Term Lenders.</w:t>
      </w:r>
    </w:p>
    <w:p>
      <w:pPr>
        <w:spacing w:after="0" w:line="134" w:lineRule="exact"/>
        <w:rPr>
          <w:sz w:val="20"/>
          <w:szCs w:val="20"/>
          <w:color w:val="auto"/>
        </w:rPr>
      </w:pPr>
    </w:p>
    <w:p>
      <w:pPr>
        <w:jc w:val="both"/>
        <w:ind w:firstLine="636"/>
        <w:spacing w:after="0" w:line="28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Term Commitment</w:t>
      </w:r>
      <w:r>
        <w:rPr>
          <w:rFonts w:ascii="Times New Roman" w:cs="Times New Roman" w:eastAsia="Times New Roman" w:hAnsi="Times New Roman"/>
          <w:sz w:val="21"/>
          <w:szCs w:val="21"/>
          <w:color w:val="auto"/>
        </w:rPr>
        <w:t>” means, as to each Term Lender, if the context so requires, its commitment to make Term Loans pursuant to a Joinder Agreement or a Refinancing Amendment, as applicable.</w:t>
      </w:r>
    </w:p>
    <w:p>
      <w:pPr>
        <w:spacing w:after="0" w:line="1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Term Lender</w:t>
      </w:r>
      <w:r>
        <w:rPr>
          <w:rFonts w:ascii="Times New Roman" w:cs="Times New Roman" w:eastAsia="Times New Roman" w:hAnsi="Times New Roman"/>
          <w:sz w:val="21"/>
          <w:szCs w:val="21"/>
          <w:color w:val="auto"/>
        </w:rPr>
        <w:t>” means, at any time, any Lender that has a Term Commitment or a Term Loan at such time.</w:t>
      </w:r>
    </w:p>
    <w:p>
      <w:pPr>
        <w:spacing w:after="0" w:line="222" w:lineRule="exact"/>
        <w:rPr>
          <w:sz w:val="20"/>
          <w:szCs w:val="20"/>
          <w:color w:val="auto"/>
        </w:rPr>
      </w:pPr>
    </w:p>
    <w:p>
      <w:pPr>
        <w:jc w:val="both"/>
        <w:ind w:firstLine="636"/>
        <w:spacing w:after="0" w:line="28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Term Loan</w:t>
      </w:r>
      <w:r>
        <w:rPr>
          <w:rFonts w:ascii="Times New Roman" w:cs="Times New Roman" w:eastAsia="Times New Roman" w:hAnsi="Times New Roman"/>
          <w:sz w:val="21"/>
          <w:szCs w:val="21"/>
          <w:color w:val="auto"/>
        </w:rPr>
        <w:t>” means an Incremental Term Loan or Refinancing Term Loan, individually or collectively as the context may require.</w:t>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Term SOFR</w:t>
      </w:r>
      <w:r>
        <w:rPr>
          <w:rFonts w:ascii="Times New Roman" w:cs="Times New Roman" w:eastAsia="Times New Roman" w:hAnsi="Times New Roman"/>
          <w:sz w:val="21"/>
          <w:szCs w:val="21"/>
          <w:color w:val="auto"/>
        </w:rPr>
        <w:t>” means,</w:t>
      </w:r>
    </w:p>
    <w:p>
      <w:pPr>
        <w:spacing w:after="0" w:line="226" w:lineRule="exact"/>
        <w:rPr>
          <w:sz w:val="20"/>
          <w:szCs w:val="20"/>
          <w:color w:val="auto"/>
        </w:rPr>
      </w:pPr>
    </w:p>
    <w:p>
      <w:pPr>
        <w:jc w:val="both"/>
        <w:ind w:firstLine="1278"/>
        <w:spacing w:after="0" w:line="262" w:lineRule="auto"/>
        <w:tabs>
          <w:tab w:leader="none" w:pos="1743"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any calculation with respect to a Term SOFR Loan, the Term SOFR Reference Rate for a tenor comparable to the applicable Interest Period on the day (such day, the “</w:t>
      </w:r>
      <w:r>
        <w:rPr>
          <w:rFonts w:ascii="Times New Roman" w:cs="Times New Roman" w:eastAsia="Times New Roman" w:hAnsi="Times New Roman"/>
          <w:sz w:val="21"/>
          <w:szCs w:val="21"/>
          <w:b w:val="1"/>
          <w:bCs w:val="1"/>
          <w:color w:val="auto"/>
        </w:rPr>
        <w:t>Periodic Term SOFR Determination Day</w:t>
      </w:r>
      <w:r>
        <w:rPr>
          <w:rFonts w:ascii="Times New Roman" w:cs="Times New Roman" w:eastAsia="Times New Roman" w:hAnsi="Times New Roman"/>
          <w:sz w:val="21"/>
          <w:szCs w:val="21"/>
          <w:color w:val="auto"/>
        </w:rPr>
        <w:t xml:space="preserve">”) that is two (2) U.S. Government Securities Business Days prior to the first day of such Interest Period, as such rate is published by the CME Term SOFR Administrator;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as of 5:00 p.m. on any Periodic Term SOFR Determination Day the Term SOFR Reference Rate for the applicable tenor has not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64</w:t>
      </w:r>
    </w:p>
    <w:p>
      <w:pPr>
        <w:sectPr>
          <w:pgSz w:w="11900" w:h="16838" w:orient="portrait"/>
          <w:cols w:equalWidth="0" w:num="1">
            <w:col w:w="11240"/>
          </w:cols>
          <w:pgMar w:left="320" w:top="1397" w:right="339" w:bottom="1440" w:gutter="0" w:footer="0" w:header="0"/>
        </w:sectPr>
      </w:pPr>
    </w:p>
    <w:bookmarkStart w:id="170" w:name="page171"/>
    <w:bookmarkEnd w:id="170"/>
    <w:p>
      <w:pPr>
        <w:jc w:val="both"/>
        <w:spacing w:after="0" w:line="259" w:lineRule="auto"/>
        <w:rPr>
          <w:sz w:val="20"/>
          <w:szCs w:val="20"/>
          <w:color w:val="auto"/>
        </w:rPr>
      </w:pPr>
      <w:r>
        <w:rPr>
          <w:rFonts w:ascii="Times New Roman" w:cs="Times New Roman" w:eastAsia="Times New Roman" w:hAnsi="Times New Roman"/>
          <w:sz w:val="21"/>
          <w:szCs w:val="21"/>
          <w:color w:val="auto"/>
        </w:rPr>
        <w:t>published by the CME Term SOFR Administrator and a Benchmark Replacement Date with respect to the Term SOFR Reference Rate has not occurred, then Term SOFR will be the Term SOFR Reference Rate for such tenor as published by the CME Term SOFR Administrator on the first preceding U.S. Government Securities Business Day for which such Term SOFR Reference Rate for such tenor was published by the CME Term SOFR Administrator so long as such first preceding U.S. Government Securities Business Day is not more than three (3) U.S. Government Securities Business Days prior to such Periodic Term SOFR Determination Day, and</w:t>
      </w:r>
    </w:p>
    <w:p>
      <w:pPr>
        <w:spacing w:after="0" w:line="172" w:lineRule="exact"/>
        <w:rPr>
          <w:sz w:val="20"/>
          <w:szCs w:val="20"/>
          <w:color w:val="auto"/>
        </w:rPr>
      </w:pPr>
    </w:p>
    <w:p>
      <w:pPr>
        <w:jc w:val="both"/>
        <w:ind w:firstLine="1278"/>
        <w:spacing w:after="0" w:line="257" w:lineRule="auto"/>
        <w:tabs>
          <w:tab w:leader="none" w:pos="1752"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any calculation with respect to a Base Rate Loan on any day, the Term SOFR Reference Rate for a tenor of one month on the day (such day, the “</w:t>
      </w:r>
      <w:r>
        <w:rPr>
          <w:rFonts w:ascii="Times New Roman" w:cs="Times New Roman" w:eastAsia="Times New Roman" w:hAnsi="Times New Roman"/>
          <w:sz w:val="21"/>
          <w:szCs w:val="21"/>
          <w:b w:val="1"/>
          <w:bCs w:val="1"/>
          <w:color w:val="auto"/>
        </w:rPr>
        <w:t>Base Rate Term SOFR Determination Day</w:t>
      </w:r>
      <w:r>
        <w:rPr>
          <w:rFonts w:ascii="Times New Roman" w:cs="Times New Roman" w:eastAsia="Times New Roman" w:hAnsi="Times New Roman"/>
          <w:sz w:val="21"/>
          <w:szCs w:val="21"/>
          <w:color w:val="auto"/>
        </w:rPr>
        <w:t xml:space="preserve">”) that is two (2) U.S. Government Securities Business Days prior to such day, as such rate is published by the CME Term SOFR Administrator;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as of 5:00 p.m. on any Base Rate Term SOFR Determination Day the Term SOFR Reference Rate for the applicable tenor has not been published by the CME Term SOFR Administrator and a Benchmark Replacement Date with respect to the Term SOFR Reference Rate has not occurred, then Term SOFR will be the Term SOFR Reference Rate for such tenor as published by the CME Term SOFR Administrator on the first preceding U.S. Government Securities Business Day for which such Term SOFR Reference Rate for such tenor was published by the CME Term SOFR Administrator so long as such first preceding U.S. Government Securities Business Day is not more than three (3) U.S. Government Securities Business Days prior to such Base Rate SOFR Determination Day;</w:t>
      </w:r>
    </w:p>
    <w:p>
      <w:pPr>
        <w:spacing w:after="0" w:line="200" w:lineRule="exact"/>
        <w:rPr>
          <w:sz w:val="20"/>
          <w:szCs w:val="20"/>
          <w:color w:val="auto"/>
        </w:rPr>
      </w:pPr>
    </w:p>
    <w:p>
      <w:pPr>
        <w:spacing w:after="0" w:line="22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if Term SOFR determined as provided above (including pursuant to the proviso under clause</w:t>
      </w:r>
    </w:p>
    <w:p>
      <w:pPr>
        <w:spacing w:after="0" w:line="34" w:lineRule="exact"/>
        <w:rPr>
          <w:sz w:val="20"/>
          <w:szCs w:val="20"/>
          <w:color w:val="auto"/>
        </w:rPr>
      </w:pPr>
    </w:p>
    <w:p>
      <w:pPr>
        <w:ind w:firstLine="6"/>
        <w:spacing w:after="0" w:line="261" w:lineRule="auto"/>
        <w:tabs>
          <w:tab w:leader="none" w:pos="288"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or clause (b) above) </w:t>
      </w:r>
      <w:r>
        <w:rPr>
          <w:rFonts w:ascii="Times New Roman" w:cs="Times New Roman" w:eastAsia="Times New Roman" w:hAnsi="Times New Roman"/>
          <w:sz w:val="21"/>
          <w:szCs w:val="21"/>
          <w:b w:val="1"/>
          <w:bCs w:val="1"/>
          <w:color w:val="FF0000"/>
          <w:strike w:val="1"/>
        </w:rPr>
        <w:t>shall ever</w:t>
      </w:r>
      <w:r>
        <w:rPr>
          <w:rFonts w:ascii="Times New Roman" w:cs="Times New Roman" w:eastAsia="Times New Roman" w:hAnsi="Times New Roman"/>
          <w:sz w:val="21"/>
          <w:szCs w:val="21"/>
          <w:u w:val="single" w:color="auto"/>
          <w:color w:val="00C000"/>
        </w:rPr>
        <w:t>would</w:t>
      </w:r>
      <w:r>
        <w:rPr>
          <w:rFonts w:ascii="Times New Roman" w:cs="Times New Roman" w:eastAsia="Times New Roman" w:hAnsi="Times New Roman"/>
          <w:sz w:val="21"/>
          <w:szCs w:val="21"/>
          <w:color w:val="auto"/>
        </w:rPr>
        <w:t xml:space="preserve"> be less than </w:t>
      </w:r>
      <w:r>
        <w:rPr>
          <w:rFonts w:ascii="Times New Roman" w:cs="Times New Roman" w:eastAsia="Times New Roman" w:hAnsi="Times New Roman"/>
          <w:sz w:val="21"/>
          <w:szCs w:val="21"/>
          <w:b w:val="1"/>
          <w:bCs w:val="1"/>
          <w:color w:val="FF0000"/>
          <w:strike w:val="1"/>
        </w:rPr>
        <w:t>zero, then Term SOFR</w:t>
      </w:r>
      <w:r>
        <w:rPr>
          <w:rFonts w:ascii="Times New Roman" w:cs="Times New Roman" w:eastAsia="Times New Roman" w:hAnsi="Times New Roman"/>
          <w:sz w:val="21"/>
          <w:szCs w:val="21"/>
          <w:u w:val="single" w:color="auto"/>
          <w:color w:val="00C000"/>
        </w:rPr>
        <w:t>the Floor, such rate</w:t>
      </w:r>
      <w:r>
        <w:rPr>
          <w:rFonts w:ascii="Times New Roman" w:cs="Times New Roman" w:eastAsia="Times New Roman" w:hAnsi="Times New Roman"/>
          <w:sz w:val="21"/>
          <w:szCs w:val="21"/>
          <w:color w:val="auto"/>
        </w:rPr>
        <w:t xml:space="preserve"> shall be deemed to be </w:t>
      </w:r>
      <w:r>
        <w:rPr>
          <w:rFonts w:ascii="Times New Roman" w:cs="Times New Roman" w:eastAsia="Times New Roman" w:hAnsi="Times New Roman"/>
          <w:sz w:val="21"/>
          <w:szCs w:val="21"/>
          <w:b w:val="1"/>
          <w:bCs w:val="1"/>
          <w:color w:val="FF0000"/>
          <w:strike w:val="1"/>
        </w:rPr>
        <w:t>zero</w:t>
      </w:r>
      <w:r>
        <w:rPr>
          <w:rFonts w:ascii="Times New Roman" w:cs="Times New Roman" w:eastAsia="Times New Roman" w:hAnsi="Times New Roman"/>
          <w:sz w:val="21"/>
          <w:szCs w:val="21"/>
          <w:u w:val="single" w:color="auto"/>
          <w:color w:val="00C000"/>
        </w:rPr>
        <w:t>equal to</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C000"/>
        </w:rPr>
        <w:t>the Floor for the purposes of this Agreement</w:t>
      </w:r>
      <w:r>
        <w:rPr>
          <w:rFonts w:ascii="Times New Roman" w:cs="Times New Roman" w:eastAsia="Times New Roman" w:hAnsi="Times New Roman"/>
          <w:sz w:val="21"/>
          <w:szCs w:val="21"/>
          <w:color w:val="000000"/>
        </w:rPr>
        <w:t>.</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Term SOFR Loan</w:t>
      </w:r>
      <w:r>
        <w:rPr>
          <w:rFonts w:ascii="Times New Roman" w:cs="Times New Roman" w:eastAsia="Times New Roman" w:hAnsi="Times New Roman"/>
          <w:sz w:val="21"/>
          <w:szCs w:val="21"/>
          <w:color w:val="auto"/>
        </w:rPr>
        <w:t>” means a Loan that bears interest at a rate based on Term SOFR.</w:t>
      </w:r>
    </w:p>
    <w:p>
      <w:pPr>
        <w:spacing w:after="0" w:line="222" w:lineRule="exact"/>
        <w:rPr>
          <w:sz w:val="20"/>
          <w:szCs w:val="20"/>
          <w:color w:val="auto"/>
        </w:rPr>
      </w:pPr>
    </w:p>
    <w:p>
      <w:pPr>
        <w:jc w:val="both"/>
        <w:ind w:right="20" w:firstLine="636"/>
        <w:spacing w:after="0" w:line="28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Term SOFR Reference Rate</w:t>
      </w:r>
      <w:r>
        <w:rPr>
          <w:rFonts w:ascii="Times New Roman" w:cs="Times New Roman" w:eastAsia="Times New Roman" w:hAnsi="Times New Roman"/>
          <w:sz w:val="21"/>
          <w:szCs w:val="21"/>
          <w:color w:val="auto"/>
        </w:rPr>
        <w:t>” means the rate per annum determined by the Administrative Agent as the forward looking term rate based on SOFR.</w:t>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Threshold Amount</w:t>
      </w:r>
      <w:r>
        <w:rPr>
          <w:rFonts w:ascii="Times New Roman" w:cs="Times New Roman" w:eastAsia="Times New Roman" w:hAnsi="Times New Roman"/>
          <w:sz w:val="21"/>
          <w:szCs w:val="21"/>
          <w:color w:val="auto"/>
        </w:rPr>
        <w:t>” means $</w:t>
      </w:r>
      <w:r>
        <w:rPr>
          <w:rFonts w:ascii="Times New Roman" w:cs="Times New Roman" w:eastAsia="Times New Roman" w:hAnsi="Times New Roman"/>
          <w:sz w:val="21"/>
          <w:szCs w:val="21"/>
          <w:b w:val="1"/>
          <w:bCs w:val="1"/>
          <w:color w:val="FF0000"/>
          <w:strike w:val="1"/>
        </w:rPr>
        <w:t>65,000,000</w:t>
      </w:r>
      <w:r>
        <w:rPr>
          <w:rFonts w:ascii="Times New Roman" w:cs="Times New Roman" w:eastAsia="Times New Roman" w:hAnsi="Times New Roman"/>
          <w:sz w:val="21"/>
          <w:szCs w:val="21"/>
          <w:b w:val="1"/>
          <w:bCs w:val="1"/>
          <w:u w:val="single" w:color="auto"/>
          <w:color w:val="0000FF"/>
        </w:rPr>
        <w:t>75,000,000</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jc w:val="both"/>
        <w:ind w:firstLine="636"/>
        <w:spacing w:after="0" w:line="26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Total Net Leverage Ratio</w:t>
      </w:r>
      <w:r>
        <w:rPr>
          <w:rFonts w:ascii="Times New Roman" w:cs="Times New Roman" w:eastAsia="Times New Roman" w:hAnsi="Times New Roman"/>
          <w:sz w:val="21"/>
          <w:szCs w:val="21"/>
          <w:color w:val="auto"/>
        </w:rPr>
        <w:t>” means, with respect to any Measurement Period, the ratio of (a) Consolidated Funded Indebtedness (which shall be calculated net of the Unrestricted Cash Amount) as of the last day of such Measurement Period to (b) Consolidated EBITDA for the most recently completed Measurement Period, in each case, for the Borrower and its Restricted Subsidiaries.</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Total Outstandings</w:t>
      </w:r>
      <w:r>
        <w:rPr>
          <w:rFonts w:ascii="Times New Roman" w:cs="Times New Roman" w:eastAsia="Times New Roman" w:hAnsi="Times New Roman"/>
          <w:sz w:val="21"/>
          <w:szCs w:val="21"/>
          <w:color w:val="auto"/>
        </w:rPr>
        <w:t>” means the aggregate Outstanding Amount of all Loans and all L/C Obligations.</w:t>
      </w:r>
    </w:p>
    <w:p>
      <w:pPr>
        <w:spacing w:after="0" w:line="222" w:lineRule="exact"/>
        <w:rPr>
          <w:sz w:val="20"/>
          <w:szCs w:val="20"/>
          <w:color w:val="auto"/>
        </w:rPr>
      </w:pPr>
    </w:p>
    <w:p>
      <w:pPr>
        <w:jc w:val="both"/>
        <w:ind w:firstLine="636"/>
        <w:spacing w:after="0" w:line="28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Total Revolving Credit Outstandings</w:t>
      </w:r>
      <w:r>
        <w:rPr>
          <w:rFonts w:ascii="Times New Roman" w:cs="Times New Roman" w:eastAsia="Times New Roman" w:hAnsi="Times New Roman"/>
          <w:sz w:val="21"/>
          <w:szCs w:val="21"/>
          <w:color w:val="auto"/>
        </w:rPr>
        <w:t>” means the aggregate Outstanding Amount of all Revolving Credit Loans and L/C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65</w:t>
      </w:r>
    </w:p>
    <w:p>
      <w:pPr>
        <w:sectPr>
          <w:pgSz w:w="11900" w:h="16838" w:orient="portrait"/>
          <w:cols w:equalWidth="0" w:num="1">
            <w:col w:w="11240"/>
          </w:cols>
          <w:pgMar w:left="320" w:top="1398" w:right="339" w:bottom="1440" w:gutter="0" w:footer="0" w:header="0"/>
        </w:sectPr>
      </w:pPr>
    </w:p>
    <w:bookmarkStart w:id="171" w:name="page172"/>
    <w:bookmarkEnd w:id="171"/>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Trade Date</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10.06(h)</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jc w:val="both"/>
        <w:ind w:firstLine="636"/>
        <w:spacing w:after="0" w:line="27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Trademark and Domain Name License Agreement</w:t>
      </w:r>
      <w:r>
        <w:rPr>
          <w:rFonts w:ascii="Times New Roman" w:cs="Times New Roman" w:eastAsia="Times New Roman" w:hAnsi="Times New Roman"/>
          <w:sz w:val="21"/>
          <w:szCs w:val="21"/>
          <w:color w:val="auto"/>
        </w:rPr>
        <w:t>” means that certain Amended and Restated Trademark and Domain Name License Agreement, dated as of March 10, 2022, by and among Post, certain Subsidiaries of Post, Borrower, and certain Subsidiaries of the Borrower as amended, modified, supplemented, restated or replaced from time to time.</w:t>
      </w:r>
    </w:p>
    <w:p>
      <w:pPr>
        <w:spacing w:after="0" w:line="147"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Transaction Agreement</w:t>
      </w:r>
      <w:r>
        <w:rPr>
          <w:rFonts w:ascii="Times New Roman" w:cs="Times New Roman" w:eastAsia="Times New Roman" w:hAnsi="Times New Roman"/>
          <w:sz w:val="21"/>
          <w:szCs w:val="21"/>
          <w:color w:val="auto"/>
        </w:rPr>
        <w:t>” means the Transaction Agreement and Plan of Merger, dated as of October 26, 2021, by and among the Borrower, Post, Old BRBR and BellRing Merger Sub Corporation, as amended, modified, supplemented, restated or replaced from time to time.</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Transaction Merger Consideration</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6.10</w:t>
      </w:r>
      <w:r>
        <w:rPr>
          <w:rFonts w:ascii="Times New Roman" w:cs="Times New Roman" w:eastAsia="Times New Roman" w:hAnsi="Times New Roman"/>
          <w:sz w:val="21"/>
          <w:szCs w:val="21"/>
          <w:color w:val="auto"/>
        </w:rPr>
        <w:t>.</w:t>
      </w:r>
    </w:p>
    <w:p>
      <w:pPr>
        <w:spacing w:after="0" w:line="236" w:lineRule="exact"/>
        <w:rPr>
          <w:sz w:val="20"/>
          <w:szCs w:val="20"/>
          <w:color w:val="auto"/>
        </w:rPr>
      </w:pPr>
    </w:p>
    <w:p>
      <w:pPr>
        <w:jc w:val="both"/>
        <w:ind w:firstLine="636"/>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Transactions</w:t>
      </w:r>
      <w:r>
        <w:rPr>
          <w:rFonts w:ascii="Times New Roman" w:cs="Times New Roman" w:eastAsia="Times New Roman" w:hAnsi="Times New Roman"/>
          <w:sz w:val="21"/>
          <w:szCs w:val="21"/>
          <w:color w:val="auto"/>
        </w:rPr>
        <w:t>” means, collectively, (a) the entering into by the Borrower and the other Loan Parties of the Loan Documents to which they are or are intended to be a party, (b) the Refinancing, (c) any initial Credit Extensions on the Closing Date, (d) each step and/or transaction contemplated by, or to effectuate, the Transaction Agreement (as in effect on the date of this Agreement, or as amended, modified or restated from time to time in a manner not materially adverse to the interests of the Lenders) and entering into any agreements with respect to the consummation of any debt exchange and/or debt for equity exchange in connection with or contemplated by the Transaction Agreement (as in effect on the date of this Agreement, or as amended, modified or restated from time to time in a manner not materially adverse to the interests of the Lenders) and (e) the payment of any fees, costs and expenses incurred in connection with the consummation of any of the foregoing.</w:t>
      </w:r>
    </w:p>
    <w:p>
      <w:pPr>
        <w:spacing w:after="0" w:line="171" w:lineRule="exact"/>
        <w:rPr>
          <w:sz w:val="20"/>
          <w:szCs w:val="20"/>
          <w:color w:val="auto"/>
        </w:rPr>
      </w:pPr>
    </w:p>
    <w:p>
      <w:pPr>
        <w:jc w:val="both"/>
        <w:ind w:firstLine="636"/>
        <w:spacing w:after="0" w:line="28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Type</w:t>
      </w:r>
      <w:r>
        <w:rPr>
          <w:rFonts w:ascii="Times New Roman" w:cs="Times New Roman" w:eastAsia="Times New Roman" w:hAnsi="Times New Roman"/>
          <w:sz w:val="21"/>
          <w:szCs w:val="21"/>
          <w:color w:val="auto"/>
        </w:rPr>
        <w:t>” means, with respect to a Loan, its character as a Base Rate Loan, a Eurodollar Rate Loan, a Term SOFR Loan or an RFR Loan.</w:t>
      </w:r>
    </w:p>
    <w:p>
      <w:pPr>
        <w:spacing w:after="0" w:line="134" w:lineRule="exact"/>
        <w:rPr>
          <w:sz w:val="20"/>
          <w:szCs w:val="20"/>
          <w:color w:val="auto"/>
        </w:rPr>
      </w:pPr>
    </w:p>
    <w:p>
      <w:pPr>
        <w:jc w:val="both"/>
        <w:ind w:firstLine="636"/>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UCC</w:t>
      </w:r>
      <w:r>
        <w:rPr>
          <w:rFonts w:ascii="Times New Roman" w:cs="Times New Roman" w:eastAsia="Times New Roman" w:hAnsi="Times New Roman"/>
          <w:sz w:val="21"/>
          <w:szCs w:val="21"/>
          <w:color w:val="auto"/>
        </w:rPr>
        <w:t xml:space="preserve">” means the Uniform Commercial Code as in effect from time to time in the State of New York;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perfection or the effect of perfection or non-perfection or the priority of any security interest in any Collateral is governed by the Uniform Commercial Code as in effect in a jurisdiction other than the State of New York, “UCC” means the Uniform Commercial Code as in effect from time to time in such other jurisdiction for purposes of the provisions hereof relating to such perfection, effect of perfection or non-perfection or priority.</w:t>
      </w:r>
    </w:p>
    <w:p>
      <w:pPr>
        <w:spacing w:after="0" w:line="161" w:lineRule="exact"/>
        <w:rPr>
          <w:sz w:val="20"/>
          <w:szCs w:val="20"/>
          <w:color w:val="auto"/>
        </w:rPr>
      </w:pPr>
    </w:p>
    <w:p>
      <w:pPr>
        <w:jc w:val="both"/>
        <w:ind w:firstLine="636"/>
        <w:spacing w:after="0" w:line="26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UK Financial Institution</w:t>
      </w:r>
      <w:r>
        <w:rPr>
          <w:rFonts w:ascii="Times New Roman" w:cs="Times New Roman" w:eastAsia="Times New Roman" w:hAnsi="Times New Roman"/>
          <w:sz w:val="21"/>
          <w:szCs w:val="21"/>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58" w:lineRule="exact"/>
        <w:rPr>
          <w:sz w:val="20"/>
          <w:szCs w:val="20"/>
          <w:color w:val="auto"/>
        </w:rPr>
      </w:pPr>
    </w:p>
    <w:p>
      <w:pPr>
        <w:jc w:val="both"/>
        <w:ind w:firstLine="636"/>
        <w:spacing w:after="0" w:line="28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UK Resolution Authority</w:t>
      </w:r>
      <w:r>
        <w:rPr>
          <w:rFonts w:ascii="Times New Roman" w:cs="Times New Roman" w:eastAsia="Times New Roman" w:hAnsi="Times New Roman"/>
          <w:sz w:val="21"/>
          <w:szCs w:val="21"/>
          <w:color w:val="auto"/>
        </w:rPr>
        <w:t>” means the Bank of England or any other public administrative authority having responsibility for the resolution of any UK Financial Institution.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66</w:t>
      </w:r>
    </w:p>
    <w:p>
      <w:pPr>
        <w:sectPr>
          <w:pgSz w:w="11900" w:h="16838" w:orient="portrait"/>
          <w:cols w:equalWidth="0" w:num="1">
            <w:col w:w="11240"/>
          </w:cols>
          <w:pgMar w:left="320" w:top="1393" w:right="339" w:bottom="1440" w:gutter="0" w:footer="0" w:header="0"/>
        </w:sectPr>
      </w:pPr>
    </w:p>
    <w:bookmarkStart w:id="172" w:name="page173"/>
    <w:bookmarkEnd w:id="172"/>
    <w:p>
      <w:pPr>
        <w:jc w:val="both"/>
        <w:ind w:firstLine="636"/>
        <w:spacing w:after="0" w:line="28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Unadjusted Benchmark Replacement</w:t>
      </w:r>
      <w:r>
        <w:rPr>
          <w:rFonts w:ascii="Times New Roman" w:cs="Times New Roman" w:eastAsia="Times New Roman" w:hAnsi="Times New Roman"/>
          <w:sz w:val="21"/>
          <w:szCs w:val="21"/>
          <w:color w:val="auto"/>
        </w:rPr>
        <w:t>” means the applicable Benchmark Replacement excluding the related Benchmark Replacement Adjustment.</w:t>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United States</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b w:val="1"/>
          <w:bCs w:val="1"/>
          <w:color w:val="auto"/>
        </w:rPr>
        <w:t>U.S.</w:t>
      </w:r>
      <w:r>
        <w:rPr>
          <w:rFonts w:ascii="Times New Roman" w:cs="Times New Roman" w:eastAsia="Times New Roman" w:hAnsi="Times New Roman"/>
          <w:sz w:val="21"/>
          <w:szCs w:val="21"/>
          <w:color w:val="auto"/>
        </w:rPr>
        <w:t>” mean the United States of America.</w:t>
      </w:r>
    </w:p>
    <w:p>
      <w:pPr>
        <w:spacing w:after="0" w:line="2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Unreimbursed Amount</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2.03(c)(i)</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jc w:val="both"/>
        <w:ind w:firstLine="636"/>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Unrestricted Cash Amount</w:t>
      </w:r>
      <w:r>
        <w:rPr>
          <w:rFonts w:ascii="Times New Roman" w:cs="Times New Roman" w:eastAsia="Times New Roman" w:hAnsi="Times New Roman"/>
          <w:sz w:val="21"/>
          <w:szCs w:val="21"/>
          <w:color w:val="auto"/>
        </w:rPr>
        <w:t>” means, as of any date of determination, the aggregate amount of (i) unrestricted cash and Cash Equivalents of the Borrower and its Restricted Subsidiaries and (ii) cash and Cash Equivalents of the Borrower and its Restricted Subsidiaries restricted in favor of, or pledged to, the Administrative Agent, any Lender or any L/C Issuer (in each case, in its capacity as such) whether or not held in an account pledged to the Administrative Agent, any Lender or any L/C Issuer.</w:t>
      </w:r>
    </w:p>
    <w:p>
      <w:pPr>
        <w:spacing w:after="0" w:line="174" w:lineRule="exact"/>
        <w:rPr>
          <w:sz w:val="20"/>
          <w:szCs w:val="20"/>
          <w:color w:val="auto"/>
        </w:rPr>
      </w:pPr>
    </w:p>
    <w:p>
      <w:pPr>
        <w:jc w:val="both"/>
        <w:ind w:firstLine="636"/>
        <w:spacing w:after="0" w:line="28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Unrestricted Subsidiary</w:t>
      </w:r>
      <w:r>
        <w:rPr>
          <w:rFonts w:ascii="Times New Roman" w:cs="Times New Roman" w:eastAsia="Times New Roman" w:hAnsi="Times New Roman"/>
          <w:sz w:val="21"/>
          <w:szCs w:val="21"/>
          <w:color w:val="auto"/>
        </w:rPr>
        <w:t xml:space="preserve">” means any Subsidiary of the Borrower that is designated by the Borrower as an Unrestricted Subsidiary in accordance with </w:t>
      </w:r>
      <w:r>
        <w:rPr>
          <w:rFonts w:ascii="Times New Roman" w:cs="Times New Roman" w:eastAsia="Times New Roman" w:hAnsi="Times New Roman"/>
          <w:sz w:val="21"/>
          <w:szCs w:val="21"/>
          <w:u w:val="single" w:color="auto"/>
          <w:color w:val="auto"/>
        </w:rPr>
        <w:t>Section 6.17</w:t>
      </w:r>
      <w:r>
        <w:rPr>
          <w:rFonts w:ascii="Times New Roman" w:cs="Times New Roman" w:eastAsia="Times New Roman" w:hAnsi="Times New Roman"/>
          <w:sz w:val="21"/>
          <w:szCs w:val="21"/>
          <w:color w:val="auto"/>
        </w:rPr>
        <w:t>, but only to the extent that such Subsidiary:</w:t>
      </w:r>
    </w:p>
    <w:p>
      <w:pPr>
        <w:spacing w:after="0" w:line="138" w:lineRule="exact"/>
        <w:rPr>
          <w:sz w:val="20"/>
          <w:szCs w:val="20"/>
          <w:color w:val="auto"/>
        </w:rPr>
      </w:pPr>
    </w:p>
    <w:p>
      <w:pPr>
        <w:ind w:left="1900" w:hanging="622"/>
        <w:spacing w:after="0"/>
        <w:tabs>
          <w:tab w:leader="none" w:pos="1900"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has no Indebtedness other than Non-Recourse Debt; and</w:t>
      </w:r>
    </w:p>
    <w:p>
      <w:pPr>
        <w:spacing w:after="0" w:line="222" w:lineRule="exact"/>
        <w:rPr>
          <w:rFonts w:ascii="Times New Roman" w:cs="Times New Roman" w:eastAsia="Times New Roman" w:hAnsi="Times New Roman"/>
          <w:sz w:val="21"/>
          <w:szCs w:val="21"/>
          <w:color w:val="auto"/>
        </w:rPr>
      </w:pPr>
    </w:p>
    <w:p>
      <w:pPr>
        <w:jc w:val="both"/>
        <w:ind w:left="640" w:firstLine="638"/>
        <w:spacing w:after="0" w:line="266" w:lineRule="auto"/>
        <w:tabs>
          <w:tab w:leader="none" w:pos="1907"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is not party to any agreement, contract, arrangement or understanding with the Borrower or any Restricted Subsidiary of the Borrower unless the terms of any such agreement, contract, arrangement or understanding are no less favorable to the Borrower or such Restricted Subsidiary than those that might be obtained at the time from Persons who are not Affiliates of the Borrower.</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U.S. Dollar</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mean lawful money of the United States.</w:t>
      </w:r>
    </w:p>
    <w:p>
      <w:pPr>
        <w:spacing w:after="0" w:line="222" w:lineRule="exact"/>
        <w:rPr>
          <w:sz w:val="20"/>
          <w:szCs w:val="20"/>
          <w:color w:val="auto"/>
        </w:rPr>
      </w:pPr>
    </w:p>
    <w:p>
      <w:pPr>
        <w:jc w:val="both"/>
        <w:ind w:firstLine="636"/>
        <w:spacing w:after="0" w:line="26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U.S. Dollar Equivalent</w:t>
      </w:r>
      <w:r>
        <w:rPr>
          <w:rFonts w:ascii="Times New Roman" w:cs="Times New Roman" w:eastAsia="Times New Roman" w:hAnsi="Times New Roman"/>
          <w:sz w:val="21"/>
          <w:szCs w:val="21"/>
          <w:color w:val="auto"/>
        </w:rPr>
        <w:t>” means, at any time, (a) with respect to any amount denominated in U.S. Dollars, such amount, and (b) with respect to any amount denominated in any Alternative Currency, the equivalent amount thereof in U.S. Dollars as determined by the Administrative Agent at such time on the basis of the Spot Rate (determined in respect of the most recent Valuation Date) for the purchase of U.S. Dollars with such Alternative Currency.</w:t>
      </w:r>
    </w:p>
    <w:p>
      <w:pPr>
        <w:spacing w:after="0" w:line="158"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U.S. Government Securities Business Day</w:t>
      </w:r>
      <w:r>
        <w:rPr>
          <w:rFonts w:ascii="Times New Roman" w:cs="Times New Roman" w:eastAsia="Times New Roman" w:hAnsi="Times New Roman"/>
          <w:sz w:val="21"/>
          <w:szCs w:val="21"/>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U.S. Person</w:t>
      </w:r>
      <w:r>
        <w:rPr>
          <w:rFonts w:ascii="Times New Roman" w:cs="Times New Roman" w:eastAsia="Times New Roman" w:hAnsi="Times New Roman"/>
          <w:sz w:val="21"/>
          <w:szCs w:val="21"/>
          <w:color w:val="auto"/>
        </w:rPr>
        <w:t>” means any Person that is a “United States person” as defined in Section 7701(a)(30) of the Code.</w:t>
      </w:r>
    </w:p>
    <w:p>
      <w:pPr>
        <w:spacing w:after="0" w:line="236" w:lineRule="exact"/>
        <w:rPr>
          <w:sz w:val="20"/>
          <w:szCs w:val="20"/>
          <w:color w:val="auto"/>
        </w:rPr>
      </w:pPr>
    </w:p>
    <w:p>
      <w:pPr>
        <w:jc w:val="both"/>
        <w:ind w:firstLine="636"/>
        <w:spacing w:after="0" w:line="28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U.S. Tax Compliance Certificate</w:t>
      </w:r>
      <w:r>
        <w:rPr>
          <w:rFonts w:ascii="Times New Roman" w:cs="Times New Roman" w:eastAsia="Times New Roman" w:hAnsi="Times New Roman"/>
          <w:sz w:val="21"/>
          <w:szCs w:val="21"/>
          <w:color w:val="auto"/>
        </w:rPr>
        <w:t xml:space="preserve">” means a certificate substantially in the form of any of </w:t>
      </w:r>
      <w:r>
        <w:rPr>
          <w:rFonts w:ascii="Times New Roman" w:cs="Times New Roman" w:eastAsia="Times New Roman" w:hAnsi="Times New Roman"/>
          <w:sz w:val="21"/>
          <w:szCs w:val="21"/>
          <w:u w:val="single" w:color="auto"/>
          <w:color w:val="auto"/>
        </w:rPr>
        <w:t>Exhibits H-1</w:t>
      </w:r>
      <w:r>
        <w:rPr>
          <w:rFonts w:ascii="Times New Roman" w:cs="Times New Roman" w:eastAsia="Times New Roman" w:hAnsi="Times New Roman"/>
          <w:sz w:val="21"/>
          <w:szCs w:val="21"/>
          <w:color w:val="auto"/>
        </w:rPr>
        <w:t xml:space="preserve"> through </w:t>
      </w:r>
      <w:r>
        <w:rPr>
          <w:rFonts w:ascii="Times New Roman" w:cs="Times New Roman" w:eastAsia="Times New Roman" w:hAnsi="Times New Roman"/>
          <w:sz w:val="21"/>
          <w:szCs w:val="21"/>
          <w:u w:val="single" w:color="auto"/>
          <w:color w:val="auto"/>
        </w:rPr>
        <w:t>H-4</w:t>
      </w:r>
      <w:r>
        <w:rPr>
          <w:rFonts w:ascii="Times New Roman" w:cs="Times New Roman" w:eastAsia="Times New Roman" w:hAnsi="Times New Roman"/>
          <w:sz w:val="21"/>
          <w:szCs w:val="21"/>
          <w:color w:val="auto"/>
        </w:rPr>
        <w:t>, as the context requires.</w:t>
      </w:r>
    </w:p>
    <w:p>
      <w:pPr>
        <w:spacing w:after="0" w:line="134" w:lineRule="exact"/>
        <w:rPr>
          <w:sz w:val="20"/>
          <w:szCs w:val="20"/>
          <w:color w:val="auto"/>
        </w:rPr>
      </w:pPr>
    </w:p>
    <w:p>
      <w:pPr>
        <w:jc w:val="both"/>
        <w:ind w:firstLine="636"/>
        <w:spacing w:after="0" w:line="28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Valuation Date</w:t>
      </w:r>
      <w:r>
        <w:rPr>
          <w:rFonts w:ascii="Times New Roman" w:cs="Times New Roman" w:eastAsia="Times New Roman" w:hAnsi="Times New Roman"/>
          <w:sz w:val="21"/>
          <w:szCs w:val="21"/>
          <w:color w:val="auto"/>
        </w:rPr>
        <w:t>” means (i) the date two Business Days prior to the making, continuing or converting of any Revolving Credit Loan or the date of issuance, amendment or continuation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67</w:t>
      </w:r>
    </w:p>
    <w:p>
      <w:pPr>
        <w:sectPr>
          <w:pgSz w:w="11900" w:h="16838" w:orient="portrait"/>
          <w:cols w:equalWidth="0" w:num="1">
            <w:col w:w="11240"/>
          </w:cols>
          <w:pgMar w:left="320" w:top="1394" w:right="339" w:bottom="1440" w:gutter="0" w:footer="0" w:header="0"/>
        </w:sectPr>
      </w:pPr>
    </w:p>
    <w:bookmarkStart w:id="173" w:name="page174"/>
    <w:bookmarkEnd w:id="173"/>
    <w:p>
      <w:pPr>
        <w:jc w:val="both"/>
        <w:spacing w:after="0" w:line="267" w:lineRule="auto"/>
        <w:rPr>
          <w:sz w:val="20"/>
          <w:szCs w:val="20"/>
          <w:color w:val="auto"/>
        </w:rPr>
      </w:pPr>
      <w:r>
        <w:rPr>
          <w:rFonts w:ascii="Times New Roman" w:cs="Times New Roman" w:eastAsia="Times New Roman" w:hAnsi="Times New Roman"/>
          <w:sz w:val="21"/>
          <w:szCs w:val="21"/>
          <w:color w:val="auto"/>
        </w:rPr>
        <w:t>of any Letter of Credit, (ii) the first Business Day of each calendar month, (iii) any other date reasonably designated by the Administrative Agent or an L/C Issuer in order to reasonably assure a correct exchange rate or (iv) any date that is otherwise expressly provided for herein.</w:t>
      </w:r>
    </w:p>
    <w:p>
      <w:pPr>
        <w:spacing w:after="0" w:line="171" w:lineRule="exact"/>
        <w:rPr>
          <w:sz w:val="20"/>
          <w:szCs w:val="20"/>
          <w:color w:val="auto"/>
        </w:rPr>
      </w:pPr>
    </w:p>
    <w:p>
      <w:pPr>
        <w:jc w:val="both"/>
        <w:ind w:firstLine="636"/>
        <w:spacing w:after="0" w:line="28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Voting Stock</w:t>
      </w:r>
      <w:r>
        <w:rPr>
          <w:rFonts w:ascii="Times New Roman" w:cs="Times New Roman" w:eastAsia="Times New Roman" w:hAnsi="Times New Roman"/>
          <w:sz w:val="21"/>
          <w:szCs w:val="21"/>
          <w:color w:val="auto"/>
        </w:rPr>
        <w:t>” means, with respect to any Person, the Equity Interests of such Person that is at the time entitled to vote in the election of the board of directors of such Person.</w:t>
      </w:r>
    </w:p>
    <w:p>
      <w:pPr>
        <w:spacing w:after="0" w:line="134" w:lineRule="exact"/>
        <w:rPr>
          <w:sz w:val="20"/>
          <w:szCs w:val="20"/>
          <w:color w:val="auto"/>
        </w:rPr>
      </w:pPr>
    </w:p>
    <w:p>
      <w:pPr>
        <w:jc w:val="both"/>
        <w:ind w:firstLine="636"/>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Weighted Average Life to Maturity</w:t>
      </w:r>
      <w:r>
        <w:rPr>
          <w:rFonts w:ascii="Times New Roman" w:cs="Times New Roman" w:eastAsia="Times New Roman" w:hAnsi="Times New Roman"/>
          <w:sz w:val="21"/>
          <w:szCs w:val="21"/>
          <w:color w:val="auto"/>
        </w:rPr>
        <w:t xml:space="preserve">” means, when applied to any Indebtedness at any date, the number of years obtained by dividing: (i) the sum of the products obtained by multiplying (a) the amount of each then remaining installment, sinking fund, serial maturity or other required payments of principal, including payment at final maturity, in respect thereof, by (b) the number of years (calculated to the nearest one-twelfth) that will elapse between such date and the making of such payment by (ii) the then outstanding principal amount of such Indebtedness;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for purposes of determining the Weighted Average Life to Maturity of any Indebtedness that is being modified, refinanced, refunded, renewed, replaced or extended (the “</w:t>
      </w:r>
      <w:r>
        <w:rPr>
          <w:rFonts w:ascii="Times New Roman" w:cs="Times New Roman" w:eastAsia="Times New Roman" w:hAnsi="Times New Roman"/>
          <w:sz w:val="21"/>
          <w:szCs w:val="21"/>
          <w:b w:val="1"/>
          <w:bCs w:val="1"/>
          <w:color w:val="auto"/>
        </w:rPr>
        <w:t>Applicable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Indebtedness</w:t>
      </w:r>
      <w:r>
        <w:rPr>
          <w:rFonts w:ascii="Times New Roman" w:cs="Times New Roman" w:eastAsia="Times New Roman" w:hAnsi="Times New Roman"/>
          <w:sz w:val="21"/>
          <w:szCs w:val="21"/>
          <w:color w:val="auto"/>
        </w:rPr>
        <w:t>”), the effect of any prepayments made on such Applicable Indebtedness prior to the date of the applicable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modification, refinancing, refunding, renewal, replacement or extension shall be disregarded.</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u w:val="single" w:color="auto"/>
          <w:color w:val="00C000"/>
        </w:rPr>
        <w:t>“</w:t>
      </w:r>
      <w:r>
        <w:rPr>
          <w:rFonts w:ascii="Times New Roman" w:cs="Times New Roman" w:eastAsia="Times New Roman" w:hAnsi="Times New Roman"/>
          <w:sz w:val="21"/>
          <w:szCs w:val="21"/>
          <w:b w:val="1"/>
          <w:bCs w:val="1"/>
          <w:u w:val="single" w:color="auto"/>
          <w:color w:val="00C000"/>
        </w:rPr>
        <w:t>Withholding Agent</w:t>
      </w:r>
      <w:r>
        <w:rPr>
          <w:rFonts w:ascii="Times New Roman" w:cs="Times New Roman" w:eastAsia="Times New Roman" w:hAnsi="Times New Roman"/>
          <w:sz w:val="21"/>
          <w:szCs w:val="21"/>
          <w:u w:val="single" w:color="auto"/>
          <w:color w:val="00C000"/>
        </w:rPr>
        <w:t>” means any Loan Party and the Administrative Agent.</w:t>
      </w:r>
    </w:p>
    <w:p>
      <w:pPr>
        <w:spacing w:after="0" w:line="236" w:lineRule="exact"/>
        <w:rPr>
          <w:sz w:val="20"/>
          <w:szCs w:val="20"/>
          <w:color w:val="auto"/>
        </w:rPr>
      </w:pPr>
    </w:p>
    <w:p>
      <w:pPr>
        <w:jc w:val="both"/>
        <w:ind w:firstLine="636"/>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Write-Down and Conversion Powers</w:t>
      </w:r>
      <w:r>
        <w:rPr>
          <w:rFonts w:ascii="Times New Roman" w:cs="Times New Roman" w:eastAsia="Times New Roman" w:hAnsi="Times New Roman"/>
          <w:sz w:val="21"/>
          <w:szCs w:val="21"/>
          <w:color w:val="auto"/>
        </w:rPr>
        <w:t>” means (a) with respect to any EEA Resolution Authority, the write down and conversion powers of such EEA Resolution Authority from time to time under the Bail-in Legislation for the applicable EEA Member Country, which write 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00C000"/>
          <w:strike w:val="1"/>
        </w:rPr>
        <w:t>“</w:t>
      </w:r>
      <w:r>
        <w:rPr>
          <w:rFonts w:ascii="Times New Roman" w:cs="Times New Roman" w:eastAsia="Times New Roman" w:hAnsi="Times New Roman"/>
          <w:sz w:val="21"/>
          <w:szCs w:val="21"/>
          <w:b w:val="1"/>
          <w:bCs w:val="1"/>
          <w:color w:val="00C000"/>
          <w:strike w:val="1"/>
        </w:rPr>
        <w:t>Withholding Agent</w:t>
      </w:r>
      <w:r>
        <w:rPr>
          <w:rFonts w:ascii="Times New Roman" w:cs="Times New Roman" w:eastAsia="Times New Roman" w:hAnsi="Times New Roman"/>
          <w:sz w:val="21"/>
          <w:szCs w:val="21"/>
          <w:color w:val="00C000"/>
          <w:strike w:val="1"/>
        </w:rPr>
        <w:t>” means any Loan Party and the Administrative Agent.</w:t>
      </w:r>
    </w:p>
    <w:p>
      <w:pPr>
        <w:spacing w:after="0" w:line="198"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1.02</w:t>
      </w:r>
      <w:r>
        <w:rPr>
          <w:sz w:val="20"/>
          <w:szCs w:val="20"/>
          <w:color w:val="auto"/>
        </w:rPr>
        <w:tab/>
      </w:r>
      <w:r>
        <w:rPr>
          <w:rFonts w:ascii="Times New Roman" w:cs="Times New Roman" w:eastAsia="Times New Roman" w:hAnsi="Times New Roman"/>
          <w:sz w:val="20"/>
          <w:szCs w:val="20"/>
          <w:i w:val="1"/>
          <w:iCs w:val="1"/>
          <w:color w:val="auto"/>
        </w:rPr>
        <w:t>Other Interpretive Provisions</w:t>
      </w:r>
    </w:p>
    <w:p>
      <w:pPr>
        <w:spacing w:after="0" w:line="211" w:lineRule="exact"/>
        <w:rPr>
          <w:sz w:val="20"/>
          <w:szCs w:val="20"/>
          <w:color w:val="auto"/>
        </w:rPr>
      </w:pPr>
    </w:p>
    <w:p>
      <w:pPr>
        <w:ind w:right="20" w:firstLine="642"/>
        <w:spacing w:after="0" w:line="298" w:lineRule="auto"/>
        <w:tabs>
          <w:tab w:leader="none" w:pos="742"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reference to this Agreement and each other Loan Document, unless otherwise specified herein or in such other Loan Document:</w:t>
      </w:r>
    </w:p>
    <w:p>
      <w:pPr>
        <w:spacing w:after="0" w:line="102" w:lineRule="exact"/>
        <w:rPr>
          <w:rFonts w:ascii="Times New Roman" w:cs="Times New Roman" w:eastAsia="Times New Roman" w:hAnsi="Times New Roman"/>
          <w:sz w:val="21"/>
          <w:szCs w:val="21"/>
          <w:color w:val="auto"/>
        </w:rPr>
      </w:pPr>
    </w:p>
    <w:p>
      <w:pPr>
        <w:jc w:val="both"/>
        <w:ind w:firstLine="1278"/>
        <w:spacing w:after="0" w:line="221" w:lineRule="auto"/>
        <w:tabs>
          <w:tab w:leader="none" w:pos="1905" w:val="left"/>
        </w:tabs>
        <w:numPr>
          <w:ilvl w:val="1"/>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or other document (including any Organization Document) shall be construed as referring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68</w:t>
      </w:r>
    </w:p>
    <w:p>
      <w:pPr>
        <w:sectPr>
          <w:pgSz w:w="11900" w:h="16838" w:orient="portrait"/>
          <w:cols w:equalWidth="0" w:num="1">
            <w:col w:w="11240"/>
          </w:cols>
          <w:pgMar w:left="320" w:top="1397" w:right="339" w:bottom="1440" w:gutter="0" w:footer="0" w:header="0"/>
        </w:sectPr>
      </w:pPr>
    </w:p>
    <w:bookmarkStart w:id="174" w:name="page175"/>
    <w:bookmarkEnd w:id="174"/>
    <w:p>
      <w:pPr>
        <w:jc w:val="both"/>
        <w:spacing w:after="0" w:line="222" w:lineRule="auto"/>
        <w:rPr>
          <w:sz w:val="20"/>
          <w:szCs w:val="20"/>
          <w:color w:val="auto"/>
        </w:rPr>
      </w:pPr>
      <w:r>
        <w:rPr>
          <w:rFonts w:ascii="Times New Roman" w:cs="Times New Roman" w:eastAsia="Times New Roman" w:hAnsi="Times New Roman"/>
          <w:sz w:val="21"/>
          <w:szCs w:val="21"/>
          <w:color w:val="auto"/>
        </w:rPr>
        <w:t>agreement, instrument or other document as from time to time as amended, modified, supplemented, restated or replaced (subject to any restrictions on such amendments, restatements, supplements or modifications set forth herein or in any other Loan Document),</w:t>
      </w:r>
    </w:p>
    <w:p>
      <w:pPr>
        <w:spacing w:after="0" w:line="1" w:lineRule="exact"/>
        <w:rPr>
          <w:sz w:val="20"/>
          <w:szCs w:val="20"/>
          <w:color w:val="auto"/>
        </w:rPr>
      </w:pPr>
    </w:p>
    <w:p>
      <w:pPr>
        <w:jc w:val="both"/>
        <w:ind w:firstLine="6"/>
        <w:spacing w:after="0" w:line="215" w:lineRule="auto"/>
        <w:tabs>
          <w:tab w:leader="none" w:pos="319"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reference herein to any Person shall be construed to include such Person’s successors and permitted assigns, (iii) the words “herein,” “hereof” and “hereunder,” and words of similar import when used in any Loan Document, shall be construed to refer to such Loan Document in its entirety and not to any particular provision thereof, (iv) all references in a Loan Document to Articles, Sections, Exhibits and Schedules shall be construed to refer to Articles and Sections of, and Exhibits and Schedules to, the Loan Document in which such references appear, (v) any reference to any law shall include all statutory and regulatory provisions consolidating, amending, replacing or interpreting such law and any reference to any law or regulation shall, unless otherwise specified, refer to such law or regulation as amended, modified, supplemented, restated or replaced from time to time, and (vi) the words “asset” and “property” shall be construed to have the same meaning and effect and to refer to any and all tangible and intangible assets and properties, including cash, securities, accounts and contract rights.</w:t>
      </w:r>
    </w:p>
    <w:p>
      <w:pPr>
        <w:spacing w:after="0" w:line="149" w:lineRule="exact"/>
        <w:rPr>
          <w:rFonts w:ascii="Times New Roman" w:cs="Times New Roman" w:eastAsia="Times New Roman" w:hAnsi="Times New Roman"/>
          <w:sz w:val="21"/>
          <w:szCs w:val="21"/>
          <w:color w:val="auto"/>
        </w:rPr>
      </w:pPr>
    </w:p>
    <w:p>
      <w:pPr>
        <w:ind w:firstLine="1278"/>
        <w:spacing w:after="0" w:line="245" w:lineRule="auto"/>
        <w:tabs>
          <w:tab w:leader="none" w:pos="1903" w:val="left"/>
        </w:tabs>
        <w:numPr>
          <w:ilvl w:val="1"/>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142" w:lineRule="exact"/>
        <w:rPr>
          <w:rFonts w:ascii="Times New Roman" w:cs="Times New Roman" w:eastAsia="Times New Roman" w:hAnsi="Times New Roman"/>
          <w:sz w:val="21"/>
          <w:szCs w:val="21"/>
          <w:color w:val="auto"/>
        </w:rPr>
      </w:pPr>
    </w:p>
    <w:p>
      <w:pPr>
        <w:ind w:firstLine="1278"/>
        <w:spacing w:after="0" w:line="245" w:lineRule="auto"/>
        <w:tabs>
          <w:tab w:leader="none" w:pos="1905" w:val="left"/>
        </w:tabs>
        <w:numPr>
          <w:ilvl w:val="1"/>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headings herein and in the other Loan Documents are included for convenience of reference only and shall not affect the interpretation of this Agreement or any other Loan Document.</w:t>
      </w:r>
    </w:p>
    <w:p>
      <w:pPr>
        <w:spacing w:after="0" w:line="141"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1.03</w:t>
      </w:r>
      <w:r>
        <w:rPr>
          <w:sz w:val="20"/>
          <w:szCs w:val="20"/>
          <w:color w:val="auto"/>
        </w:rPr>
        <w:tab/>
      </w:r>
      <w:r>
        <w:rPr>
          <w:rFonts w:ascii="Times New Roman" w:cs="Times New Roman" w:eastAsia="Times New Roman" w:hAnsi="Times New Roman"/>
          <w:sz w:val="20"/>
          <w:szCs w:val="20"/>
          <w:i w:val="1"/>
          <w:iCs w:val="1"/>
          <w:color w:val="auto"/>
        </w:rPr>
        <w:t>Accounting Terms</w:t>
      </w:r>
    </w:p>
    <w:p>
      <w:pPr>
        <w:spacing w:after="0" w:line="207" w:lineRule="exact"/>
        <w:rPr>
          <w:sz w:val="20"/>
          <w:szCs w:val="20"/>
          <w:color w:val="auto"/>
        </w:rPr>
      </w:pPr>
    </w:p>
    <w:p>
      <w:pPr>
        <w:jc w:val="both"/>
        <w:ind w:firstLine="642"/>
        <w:spacing w:after="0" w:line="257" w:lineRule="auto"/>
        <w:tabs>
          <w:tab w:leader="none" w:pos="768"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FF0000"/>
          <w:strike w:val="1"/>
        </w:rPr>
        <w:t>(a)</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i w:val="1"/>
          <w:iCs w:val="1"/>
          <w:color w:val="000000"/>
        </w:rPr>
        <w:t>Generally</w:t>
      </w:r>
      <w:r>
        <w:rPr>
          <w:rFonts w:ascii="Times New Roman" w:cs="Times New Roman" w:eastAsia="Times New Roman" w:hAnsi="Times New Roman"/>
          <w:sz w:val="21"/>
          <w:szCs w:val="21"/>
          <w:color w:val="000000"/>
        </w:rPr>
        <w:t>. Subject to</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u w:val="single" w:color="auto"/>
          <w:color w:val="000000"/>
        </w:rPr>
        <w:t>Section 1.03(b)</w:t>
      </w:r>
      <w:r>
        <w:rPr>
          <w:rFonts w:ascii="Times New Roman" w:cs="Times New Roman" w:eastAsia="Times New Roman" w:hAnsi="Times New Roman"/>
          <w:sz w:val="21"/>
          <w:szCs w:val="21"/>
          <w:color w:val="000000"/>
        </w:rPr>
        <w:t>, all accounting terms not specifically or completely defined herein shall be</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color w:val="000000"/>
        </w:rPr>
        <w:t xml:space="preserve">construed in conformity with GAAP, and all financial data (including financial ratios and other financial calculations) required to be submitted pursuant to this Agreement shall be prepared in conformity with GAAP, applied on a consistent basis, as in effect from time to time and applied in a manner consistent with that used in preparing the audited annual financial statements of Old BRBR for the period ended September 30, 2021, except as otherwise specifically prescribed herein and except for any differences arising because such annual financial statements of Old BRBR do not take into account the change of the reporting entity from Old BRBR to the Borrower and any or all of the Transactions; </w:t>
      </w:r>
      <w:r>
        <w:rPr>
          <w:rFonts w:ascii="Times New Roman" w:cs="Times New Roman" w:eastAsia="Times New Roman" w:hAnsi="Times New Roman"/>
          <w:sz w:val="21"/>
          <w:szCs w:val="21"/>
          <w:i w:val="1"/>
          <w:iCs w:val="1"/>
          <w:color w:val="000000"/>
        </w:rPr>
        <w:t>provided</w:t>
      </w:r>
      <w:r>
        <w:rPr>
          <w:rFonts w:ascii="Times New Roman" w:cs="Times New Roman" w:eastAsia="Times New Roman" w:hAnsi="Times New Roman"/>
          <w:sz w:val="21"/>
          <w:szCs w:val="21"/>
          <w:color w:val="000000"/>
        </w:rPr>
        <w:t xml:space="preserve"> that if at any time a change in GAAP occurs that would result in a change to the method of accounting for obligations relating to a lease that was accounted for by a Person as an operating lease as of September 30, 2019 (or any similar lease entered into after September 30, 2019 by such Person), such obligations shall be accounted for as obligations relating to an operating lease and not as a Capital Lease.</w:t>
      </w:r>
    </w:p>
    <w:p>
      <w:pPr>
        <w:spacing w:after="0" w:line="143" w:lineRule="exact"/>
        <w:rPr>
          <w:rFonts w:ascii="Times New Roman" w:cs="Times New Roman" w:eastAsia="Times New Roman" w:hAnsi="Times New Roman"/>
          <w:sz w:val="21"/>
          <w:szCs w:val="21"/>
          <w:color w:val="auto"/>
        </w:rPr>
      </w:pPr>
    </w:p>
    <w:p>
      <w:pPr>
        <w:jc w:val="both"/>
        <w:ind w:firstLine="1278"/>
        <w:spacing w:after="0" w:line="224" w:lineRule="auto"/>
        <w:tabs>
          <w:tab w:leader="none" w:pos="1903" w:val="left"/>
        </w:tabs>
        <w:numPr>
          <w:ilvl w:val="1"/>
          <w:numId w:val="94"/>
        </w:numPr>
        <w:rPr>
          <w:rFonts w:ascii="Times New Roman" w:cs="Times New Roman" w:eastAsia="Times New Roman" w:hAnsi="Times New Roman"/>
          <w:sz w:val="21"/>
          <w:szCs w:val="21"/>
          <w:b w:val="1"/>
          <w:bCs w:val="1"/>
          <w:u w:val="single" w:color="auto"/>
          <w:color w:val="0000FF"/>
        </w:rPr>
      </w:pPr>
      <w:r>
        <w:rPr>
          <w:rFonts w:ascii="Times New Roman" w:cs="Times New Roman" w:eastAsia="Times New Roman" w:hAnsi="Times New Roman"/>
          <w:sz w:val="21"/>
          <w:szCs w:val="21"/>
          <w:b w:val="1"/>
          <w:bCs w:val="1"/>
          <w:color w:val="FF0000"/>
          <w:strike w:val="1"/>
        </w:rPr>
        <w:t>(b)</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i w:val="1"/>
          <w:iCs w:val="1"/>
          <w:color w:val="000000"/>
        </w:rPr>
        <w:t>Changes in GAAP</w:t>
      </w:r>
      <w:r>
        <w:rPr>
          <w:rFonts w:ascii="Times New Roman" w:cs="Times New Roman" w:eastAsia="Times New Roman" w:hAnsi="Times New Roman"/>
          <w:sz w:val="21"/>
          <w:szCs w:val="21"/>
          <w:color w:val="000000"/>
        </w:rPr>
        <w:t>. If at any time any change in GAAP would affect the computation of any financial</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color w:val="000000"/>
        </w:rPr>
        <w:t xml:space="preserve">ratio or requirement set forth in any Loan Document, and either the Borrower or the Required Lenders shall so request, the Administrative Agent, the Lenders and the Borrower shall negotiate in good faith to amend such ratio or requirement to preserve the original intent thereof in light of such change in GAAP (subject to the approval of the Required Lenders); </w:t>
      </w:r>
      <w:r>
        <w:rPr>
          <w:rFonts w:ascii="Times New Roman" w:cs="Times New Roman" w:eastAsia="Times New Roman" w:hAnsi="Times New Roman"/>
          <w:sz w:val="21"/>
          <w:szCs w:val="21"/>
          <w:i w:val="1"/>
          <w:iCs w:val="1"/>
          <w:color w:val="000000"/>
        </w:rPr>
        <w:t>provided</w:t>
      </w:r>
      <w:r>
        <w:rPr>
          <w:rFonts w:ascii="Times New Roman" w:cs="Times New Roman" w:eastAsia="Times New Roman" w:hAnsi="Times New Roman"/>
          <w:sz w:val="21"/>
          <w:szCs w:val="21"/>
          <w:color w:val="000000"/>
        </w:rPr>
        <w:t xml:space="preserve"> that, until so amended, such ratio or requirement shall continue to be computed in accordance with GAAP prior to such change therein.</w:t>
      </w:r>
    </w:p>
    <w:p>
      <w:pPr>
        <w:spacing w:after="0" w:line="145" w:lineRule="exact"/>
        <w:rPr>
          <w:rFonts w:ascii="Times New Roman" w:cs="Times New Roman" w:eastAsia="Times New Roman" w:hAnsi="Times New Roman"/>
          <w:sz w:val="21"/>
          <w:szCs w:val="21"/>
          <w:b w:val="1"/>
          <w:bCs w:val="1"/>
          <w:u w:val="single" w:color="auto"/>
          <w:color w:val="0000FF"/>
        </w:rPr>
      </w:pPr>
    </w:p>
    <w:p>
      <w:pPr>
        <w:ind w:firstLine="1278"/>
        <w:spacing w:after="0" w:line="249" w:lineRule="auto"/>
        <w:tabs>
          <w:tab w:leader="none" w:pos="1902" w:val="left"/>
        </w:tabs>
        <w:numPr>
          <w:ilvl w:val="1"/>
          <w:numId w:val="94"/>
        </w:numPr>
        <w:rPr>
          <w:rFonts w:ascii="Times New Roman" w:cs="Times New Roman" w:eastAsia="Times New Roman" w:hAnsi="Times New Roman"/>
          <w:sz w:val="21"/>
          <w:szCs w:val="21"/>
          <w:b w:val="1"/>
          <w:bCs w:val="1"/>
          <w:u w:val="single" w:color="auto"/>
          <w:color w:val="0000FF"/>
        </w:rPr>
      </w:pPr>
      <w:r>
        <w:rPr>
          <w:rFonts w:ascii="Times New Roman" w:cs="Times New Roman" w:eastAsia="Times New Roman" w:hAnsi="Times New Roman"/>
          <w:sz w:val="21"/>
          <w:szCs w:val="21"/>
          <w:b w:val="1"/>
          <w:bCs w:val="1"/>
          <w:color w:val="FF0000"/>
          <w:strike w:val="1"/>
        </w:rPr>
        <w:t>(c)</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i w:val="1"/>
          <w:iCs w:val="1"/>
          <w:color w:val="000000"/>
        </w:rPr>
        <w:t>Indebtedness.</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color w:val="000000"/>
        </w:rPr>
        <w:t>Notwithstanding any other provision contained herein, all terms of an accounting or</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color w:val="000000"/>
        </w:rPr>
        <w:t>financial nature used herein shall be construed, and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69</w:t>
      </w:r>
    </w:p>
    <w:p>
      <w:pPr>
        <w:sectPr>
          <w:pgSz w:w="11900" w:h="16838" w:orient="portrait"/>
          <w:cols w:equalWidth="0" w:num="1">
            <w:col w:w="11240"/>
          </w:cols>
          <w:pgMar w:left="320" w:top="1371" w:right="339" w:bottom="1440" w:gutter="0" w:footer="0" w:header="0"/>
        </w:sectPr>
      </w:pPr>
    </w:p>
    <w:bookmarkStart w:id="175" w:name="page176"/>
    <w:bookmarkEnd w:id="175"/>
    <w:p>
      <w:pPr>
        <w:jc w:val="both"/>
        <w:spacing w:after="0" w:line="219" w:lineRule="auto"/>
        <w:rPr>
          <w:sz w:val="20"/>
          <w:szCs w:val="20"/>
          <w:color w:val="auto"/>
        </w:rPr>
      </w:pPr>
      <w:r>
        <w:rPr>
          <w:rFonts w:ascii="Times New Roman" w:cs="Times New Roman" w:eastAsia="Times New Roman" w:hAnsi="Times New Roman"/>
          <w:sz w:val="21"/>
          <w:szCs w:val="21"/>
          <w:color w:val="auto"/>
        </w:rPr>
        <w:t>computations of amounts and ratios referred to herein shall be made (i) without giving effect to any election under Accounting Standards Codification 825-10-25 (or any other Accounting Standards Codification or Financial Accounting Standard having a similar result or effect) to value any Indebtedness or other liabilities of the Borrower or any Subsidiary at “fair value”, as defined therein and (ii) without giving effect to any treatment of Indebtedness in respect of convertible debt instruments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w:t>
      </w:r>
    </w:p>
    <w:p>
      <w:pPr>
        <w:spacing w:after="0" w:line="150" w:lineRule="exact"/>
        <w:rPr>
          <w:sz w:val="20"/>
          <w:szCs w:val="20"/>
          <w:color w:val="auto"/>
        </w:rPr>
      </w:pPr>
    </w:p>
    <w:p>
      <w:pPr>
        <w:jc w:val="both"/>
        <w:ind w:firstLine="1278"/>
        <w:spacing w:after="0" w:line="224" w:lineRule="auto"/>
        <w:tabs>
          <w:tab w:leader="none" w:pos="1905" w:val="left"/>
        </w:tabs>
        <w:numPr>
          <w:ilvl w:val="0"/>
          <w:numId w:val="95"/>
        </w:numPr>
        <w:rPr>
          <w:rFonts w:ascii="Times New Roman" w:cs="Times New Roman" w:eastAsia="Times New Roman" w:hAnsi="Times New Roman"/>
          <w:sz w:val="21"/>
          <w:szCs w:val="21"/>
          <w:b w:val="1"/>
          <w:bCs w:val="1"/>
          <w:u w:val="single" w:color="auto"/>
          <w:color w:val="0000FF"/>
        </w:rPr>
      </w:pPr>
      <w:r>
        <w:rPr>
          <w:rFonts w:ascii="Times New Roman" w:cs="Times New Roman" w:eastAsia="Times New Roman" w:hAnsi="Times New Roman"/>
          <w:sz w:val="21"/>
          <w:szCs w:val="21"/>
          <w:b w:val="1"/>
          <w:bCs w:val="1"/>
          <w:color w:val="FF0000"/>
          <w:strike w:val="1"/>
        </w:rPr>
        <w:t>(d)</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i w:val="1"/>
          <w:iCs w:val="1"/>
          <w:color w:val="000000"/>
        </w:rPr>
        <w:t>Old BRBR</w:t>
      </w:r>
      <w:r>
        <w:rPr>
          <w:rFonts w:ascii="Times New Roman" w:cs="Times New Roman" w:eastAsia="Times New Roman" w:hAnsi="Times New Roman"/>
          <w:sz w:val="21"/>
          <w:szCs w:val="21"/>
          <w:color w:val="000000"/>
        </w:rPr>
        <w:t>. For the avoidance of doubt, with respect to this Agreement and each other Loan Document,</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color w:val="000000"/>
        </w:rPr>
        <w:t>with respect to any historical financial statements financial ratios, financial calculations and/or financial performance of the Borrower for any period or partial period prior to the Closing Date, such financial statements financial ratios, financial calculations and/or financial performance shall be deemed to be references to financial statements financial ratios, financial calculations and/or financial performance, as applicable, of Old BRBR.</w:t>
      </w:r>
    </w:p>
    <w:p>
      <w:pPr>
        <w:spacing w:after="0" w:line="147"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1.04</w:t>
      </w:r>
      <w:r>
        <w:rPr>
          <w:sz w:val="20"/>
          <w:szCs w:val="20"/>
          <w:color w:val="auto"/>
        </w:rPr>
        <w:tab/>
      </w:r>
      <w:r>
        <w:rPr>
          <w:rFonts w:ascii="Times New Roman" w:cs="Times New Roman" w:eastAsia="Times New Roman" w:hAnsi="Times New Roman"/>
          <w:sz w:val="21"/>
          <w:szCs w:val="21"/>
          <w:i w:val="1"/>
          <w:iCs w:val="1"/>
          <w:color w:val="auto"/>
        </w:rPr>
        <w:t>Rounding</w:t>
      </w:r>
    </w:p>
    <w:p>
      <w:pPr>
        <w:spacing w:after="0" w:line="211" w:lineRule="exact"/>
        <w:rPr>
          <w:sz w:val="20"/>
          <w:szCs w:val="20"/>
          <w:color w:val="auto"/>
        </w:rPr>
      </w:pPr>
    </w:p>
    <w:p>
      <w:pPr>
        <w:jc w:val="both"/>
        <w:ind w:firstLine="642"/>
        <w:spacing w:after="0" w:line="266" w:lineRule="auto"/>
        <w:tabs>
          <w:tab w:leader="none" w:pos="742"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financial ratios required to be maintained or complied with by the Borrower pursuant to this Agreement (or required to be satisfied in order for a specific action to be permitted under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33"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1.05</w:t>
      </w:r>
      <w:r>
        <w:rPr>
          <w:sz w:val="20"/>
          <w:szCs w:val="20"/>
          <w:color w:val="auto"/>
        </w:rPr>
        <w:tab/>
      </w:r>
      <w:r>
        <w:rPr>
          <w:rFonts w:ascii="Times New Roman" w:cs="Times New Roman" w:eastAsia="Times New Roman" w:hAnsi="Times New Roman"/>
          <w:sz w:val="20"/>
          <w:szCs w:val="20"/>
          <w:i w:val="1"/>
          <w:iCs w:val="1"/>
          <w:color w:val="auto"/>
        </w:rPr>
        <w:t>Times of Day</w:t>
      </w:r>
    </w:p>
    <w:p>
      <w:pPr>
        <w:spacing w:after="0" w:line="211" w:lineRule="exact"/>
        <w:rPr>
          <w:sz w:val="20"/>
          <w:szCs w:val="20"/>
          <w:color w:val="auto"/>
        </w:rPr>
      </w:pPr>
    </w:p>
    <w:p>
      <w:pPr>
        <w:ind w:firstLine="642"/>
        <w:spacing w:after="0" w:line="285" w:lineRule="auto"/>
        <w:tabs>
          <w:tab w:leader="none" w:pos="742"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otherwise specified, all references herein to times of day shall be references to Eastern time (daylight or standard, as applicable).</w:t>
      </w:r>
    </w:p>
    <w:p>
      <w:pPr>
        <w:spacing w:after="0" w:line="113" w:lineRule="exact"/>
        <w:rPr>
          <w:sz w:val="20"/>
          <w:szCs w:val="20"/>
          <w:color w:val="auto"/>
        </w:rPr>
      </w:pPr>
    </w:p>
    <w:p>
      <w:pPr>
        <w:ind w:left="640"/>
        <w:spacing w:after="0"/>
        <w:tabs>
          <w:tab w:leader="none" w:pos="1940" w:val="left"/>
        </w:tabs>
        <w:rPr>
          <w:sz w:val="20"/>
          <w:szCs w:val="20"/>
          <w:color w:val="auto"/>
        </w:rPr>
      </w:pPr>
      <w:r>
        <w:rPr>
          <w:rFonts w:ascii="Times New Roman" w:cs="Times New Roman" w:eastAsia="Times New Roman" w:hAnsi="Times New Roman"/>
          <w:sz w:val="21"/>
          <w:szCs w:val="21"/>
          <w:color w:val="auto"/>
        </w:rPr>
        <w:t>Section 1.06</w:t>
      </w:r>
      <w:r>
        <w:rPr>
          <w:sz w:val="20"/>
          <w:szCs w:val="20"/>
          <w:color w:val="auto"/>
        </w:rPr>
        <w:tab/>
      </w:r>
      <w:r>
        <w:rPr>
          <w:rFonts w:ascii="Times New Roman" w:cs="Times New Roman" w:eastAsia="Times New Roman" w:hAnsi="Times New Roman"/>
          <w:sz w:val="21"/>
          <w:szCs w:val="21"/>
          <w:i w:val="1"/>
          <w:iCs w:val="1"/>
          <w:color w:val="auto"/>
        </w:rPr>
        <w:t>Letter of Credit Amounts</w:t>
      </w:r>
    </w:p>
    <w:p>
      <w:pPr>
        <w:spacing w:after="0" w:line="211" w:lineRule="exact"/>
        <w:rPr>
          <w:sz w:val="20"/>
          <w:szCs w:val="20"/>
          <w:color w:val="auto"/>
        </w:rPr>
      </w:pPr>
    </w:p>
    <w:p>
      <w:pPr>
        <w:jc w:val="both"/>
        <w:ind w:firstLine="642"/>
        <w:spacing w:after="0" w:line="274" w:lineRule="auto"/>
        <w:tabs>
          <w:tab w:leader="none" w:pos="742"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any Letter of Credit that, by its terms or the terms of any Issuer Document related thereto, provides for one or more automatic increases in the amount available to be drawn thereunder, the amount of such Letter of Credit shall be deemed to be the maximum amount that may be drawn under such Letter of Credit during the remaining life thereof.</w:t>
      </w:r>
    </w:p>
    <w:p>
      <w:pPr>
        <w:spacing w:after="0" w:line="125" w:lineRule="exact"/>
        <w:rPr>
          <w:sz w:val="20"/>
          <w:szCs w:val="20"/>
          <w:color w:val="auto"/>
        </w:rPr>
      </w:pPr>
    </w:p>
    <w:p>
      <w:pPr>
        <w:ind w:left="640" w:right="4740"/>
        <w:spacing w:after="0" w:line="362" w:lineRule="auto"/>
        <w:rPr>
          <w:sz w:val="20"/>
          <w:szCs w:val="20"/>
          <w:color w:val="auto"/>
        </w:rPr>
      </w:pPr>
      <w:r>
        <w:rPr>
          <w:rFonts w:ascii="Times New Roman" w:cs="Times New Roman" w:eastAsia="Times New Roman" w:hAnsi="Times New Roman"/>
          <w:sz w:val="21"/>
          <w:szCs w:val="21"/>
          <w:color w:val="auto"/>
        </w:rPr>
        <w:t xml:space="preserve">Section 1.07 </w:t>
      </w:r>
      <w:r>
        <w:rPr>
          <w:rFonts w:ascii="Times New Roman" w:cs="Times New Roman" w:eastAsia="Times New Roman" w:hAnsi="Times New Roman"/>
          <w:sz w:val="21"/>
          <w:szCs w:val="21"/>
          <w:i w:val="1"/>
          <w:iCs w:val="1"/>
          <w:color w:val="auto"/>
        </w:rPr>
        <w:t>Currency Equivalents Generally; Change of Currency</w:t>
      </w:r>
      <w:r>
        <w:rPr>
          <w:rFonts w:ascii="Times New Roman" w:cs="Times New Roman" w:eastAsia="Times New Roman" w:hAnsi="Times New Roman"/>
          <w:sz w:val="21"/>
          <w:szCs w:val="21"/>
          <w:color w:val="auto"/>
        </w:rPr>
        <w:t xml:space="preserve"> .</w:t>
      </w:r>
    </w:p>
    <w:p>
      <w:pPr>
        <w:spacing w:after="0" w:line="200" w:lineRule="exact"/>
        <w:rPr>
          <w:sz w:val="20"/>
          <w:szCs w:val="20"/>
          <w:color w:val="auto"/>
        </w:rPr>
      </w:pPr>
    </w:p>
    <w:p>
      <w:pPr>
        <w:spacing w:after="0" w:line="352" w:lineRule="exact"/>
        <w:rPr>
          <w:sz w:val="20"/>
          <w:szCs w:val="20"/>
          <w:color w:val="auto"/>
        </w:rPr>
      </w:pPr>
    </w:p>
    <w:p>
      <w:pPr>
        <w:jc w:val="both"/>
        <w:ind w:firstLine="1278"/>
        <w:spacing w:after="0" w:line="262" w:lineRule="auto"/>
        <w:tabs>
          <w:tab w:leader="none" w:pos="1585" w:val="left"/>
        </w:tabs>
        <w:numPr>
          <w:ilvl w:val="0"/>
          <w:numId w:val="99"/>
        </w:numPr>
        <w:rPr>
          <w:rFonts w:ascii="Times New Roman" w:cs="Times New Roman" w:eastAsia="Times New Roman" w:hAnsi="Times New Roman"/>
          <w:sz w:val="21"/>
          <w:szCs w:val="21"/>
          <w:b w:val="1"/>
          <w:bCs w:val="1"/>
          <w:u w:val="single" w:color="auto"/>
          <w:color w:val="0000FF"/>
        </w:rPr>
      </w:pPr>
      <w:r>
        <w:rPr>
          <w:rFonts w:ascii="Times New Roman" w:cs="Times New Roman" w:eastAsia="Times New Roman" w:hAnsi="Times New Roman"/>
          <w:sz w:val="21"/>
          <w:szCs w:val="21"/>
          <w:color w:val="auto"/>
        </w:rPr>
        <w:t xml:space="preserve">For purposes of this Agreement and the other Loan Documents (other than </w:t>
      </w:r>
      <w:r>
        <w:rPr>
          <w:rFonts w:ascii="Times New Roman" w:cs="Times New Roman" w:eastAsia="Times New Roman" w:hAnsi="Times New Roman"/>
          <w:sz w:val="21"/>
          <w:szCs w:val="21"/>
          <w:u w:val="single" w:color="auto"/>
          <w:color w:val="auto"/>
        </w:rPr>
        <w:t>Article 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Article 9</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Article 10</w:t>
      </w:r>
      <w:r>
        <w:rPr>
          <w:rFonts w:ascii="Times New Roman" w:cs="Times New Roman" w:eastAsia="Times New Roman" w:hAnsi="Times New Roman"/>
          <w:sz w:val="21"/>
          <w:szCs w:val="21"/>
          <w:color w:val="auto"/>
        </w:rPr>
        <w:t xml:space="preserve"> hereof), where the permissibility of a transaction or determinations of required actions or circumstances depend upon compliance with, or are determined by reference to, amounts stated in U.S. Dollars, such amounts shall be deemed to refer to U.S. Dollars or U.S. Dollar Equivalents and any requisite currency translation shall be based on the Spot Rate in effect on the Business Day of such transaction or determination. Notwithstanding the foregoing, for purposes of determining compliance with </w:t>
      </w:r>
      <w:r>
        <w:rPr>
          <w:rFonts w:ascii="Times New Roman" w:cs="Times New Roman" w:eastAsia="Times New Roman" w:hAnsi="Times New Roman"/>
          <w:sz w:val="21"/>
          <w:szCs w:val="21"/>
          <w:u w:val="single" w:color="auto"/>
          <w:color w:val="auto"/>
        </w:rPr>
        <w:t>Sections 7.01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7.02</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70</w:t>
      </w:r>
    </w:p>
    <w:p>
      <w:pPr>
        <w:sectPr>
          <w:pgSz w:w="11900" w:h="16838" w:orient="portrait"/>
          <w:cols w:equalWidth="0" w:num="1">
            <w:col w:w="11240"/>
          </w:cols>
          <w:pgMar w:left="320" w:top="1371" w:right="339" w:bottom="1440" w:gutter="0" w:footer="0" w:header="0"/>
        </w:sectPr>
      </w:pPr>
    </w:p>
    <w:bookmarkStart w:id="176" w:name="page177"/>
    <w:bookmarkEnd w:id="176"/>
    <w:p>
      <w:pPr>
        <w:jc w:val="both"/>
        <w:spacing w:after="0" w:line="259" w:lineRule="auto"/>
        <w:rPr>
          <w:sz w:val="20"/>
          <w:szCs w:val="20"/>
          <w:color w:val="auto"/>
        </w:rPr>
      </w:pPr>
      <w:r>
        <w:rPr>
          <w:rFonts w:ascii="Times New Roman" w:cs="Times New Roman" w:eastAsia="Times New Roman" w:hAnsi="Times New Roman"/>
          <w:sz w:val="21"/>
          <w:szCs w:val="21"/>
          <w:color w:val="auto"/>
        </w:rPr>
        <w:t xml:space="preserve">and </w:t>
      </w:r>
      <w:r>
        <w:rPr>
          <w:rFonts w:ascii="Times New Roman" w:cs="Times New Roman" w:eastAsia="Times New Roman" w:hAnsi="Times New Roman"/>
          <w:sz w:val="21"/>
          <w:szCs w:val="21"/>
          <w:u w:val="single" w:color="auto"/>
          <w:color w:val="auto"/>
        </w:rPr>
        <w:t>7.03</w:t>
      </w:r>
      <w:r>
        <w:rPr>
          <w:rFonts w:ascii="Times New Roman" w:cs="Times New Roman" w:eastAsia="Times New Roman" w:hAnsi="Times New Roman"/>
          <w:sz w:val="21"/>
          <w:szCs w:val="21"/>
          <w:color w:val="auto"/>
        </w:rPr>
        <w:t xml:space="preserve"> with respect to any amount of Liens, Investment or Indebtedness in currencies other than U.S. Dollars, no Default shall be deemed to have occurred solely as a result of changes in rates of exchange occurring after the time such Lien is created, Indebtedness is incurred or Investment is made. Each provision of this Agreement shall be subject to such reasonable changes of construction as the Administrative Agent may from time to time specify with the Borrower’s consent (not to be unreasonably withheld) to appropriately reflect a change in currency of any country and any relevant market conventions or practices relating to such change in currency.</w:t>
      </w:r>
    </w:p>
    <w:p>
      <w:pPr>
        <w:spacing w:after="0" w:line="168" w:lineRule="exact"/>
        <w:rPr>
          <w:sz w:val="20"/>
          <w:szCs w:val="20"/>
          <w:color w:val="auto"/>
        </w:rPr>
      </w:pPr>
    </w:p>
    <w:p>
      <w:pPr>
        <w:jc w:val="both"/>
        <w:ind w:firstLine="1278"/>
        <w:spacing w:after="0" w:line="260" w:lineRule="auto"/>
        <w:tabs>
          <w:tab w:leader="none" w:pos="1589" w:val="left"/>
        </w:tabs>
        <w:numPr>
          <w:ilvl w:val="0"/>
          <w:numId w:val="100"/>
        </w:numPr>
        <w:rPr>
          <w:rFonts w:ascii="Times New Roman" w:cs="Times New Roman" w:eastAsia="Times New Roman" w:hAnsi="Times New Roman"/>
          <w:sz w:val="21"/>
          <w:szCs w:val="21"/>
          <w:b w:val="1"/>
          <w:bCs w:val="1"/>
          <w:u w:val="single" w:color="auto"/>
          <w:color w:val="0000FF"/>
        </w:rPr>
      </w:pPr>
      <w:r>
        <w:rPr>
          <w:rFonts w:ascii="Times New Roman" w:cs="Times New Roman" w:eastAsia="Times New Roman" w:hAnsi="Times New Roman"/>
          <w:sz w:val="21"/>
          <w:szCs w:val="21"/>
          <w:b w:val="1"/>
          <w:bCs w:val="1"/>
          <w:u w:val="single" w:color="auto"/>
          <w:color w:val="0000FF"/>
        </w:rPr>
        <w:t>Wherever in this Agreement in connection with a Borrowing, conversion, continuation or prepayment of a Loan or the issuance, amendment or extension of a Letter of Credit, an amount, such as a required minimum or multiple amount, is expressed in U.S. Dollars, but such Borrowing, Loan or Letter of Credit is denominated in an Alternative Currency, such amount shall be the U.S. Dollar Equivalent of such amount (rounded to the nearest unit of such Alternative Currency, with 0.5 of a unit being rounded upward), as reasonably determined by the Administrative Agent or L/C Issuer, as the case may be.</w:t>
      </w:r>
    </w:p>
    <w:p>
      <w:pPr>
        <w:spacing w:after="0" w:line="380"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1.08</w:t>
      </w:r>
      <w:r>
        <w:rPr>
          <w:sz w:val="20"/>
          <w:szCs w:val="20"/>
          <w:color w:val="auto"/>
        </w:rPr>
        <w:tab/>
      </w:r>
      <w:r>
        <w:rPr>
          <w:rFonts w:ascii="Times New Roman" w:cs="Times New Roman" w:eastAsia="Times New Roman" w:hAnsi="Times New Roman"/>
          <w:sz w:val="21"/>
          <w:szCs w:val="21"/>
          <w:i w:val="1"/>
          <w:iCs w:val="1"/>
          <w:color w:val="auto"/>
        </w:rPr>
        <w:t>Timing of Payment and Performance</w:t>
      </w:r>
    </w:p>
    <w:p>
      <w:pPr>
        <w:spacing w:after="0" w:line="211" w:lineRule="exact"/>
        <w:rPr>
          <w:sz w:val="20"/>
          <w:szCs w:val="20"/>
          <w:color w:val="auto"/>
        </w:rPr>
      </w:pPr>
    </w:p>
    <w:p>
      <w:pPr>
        <w:jc w:val="both"/>
        <w:ind w:firstLine="642"/>
        <w:spacing w:after="0" w:line="274" w:lineRule="auto"/>
        <w:tabs>
          <w:tab w:leader="none" w:pos="782"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When the payment of any obligation or the performance of any covenant, duty or obligation is stated to be due or performance required on a day which is not a Business Day, the date of such payment (other than as described in the definition of Interest Period) or performance shall extend to the immediately succeeding Business Day.</w:t>
      </w:r>
    </w:p>
    <w:p>
      <w:pPr>
        <w:spacing w:after="0" w:line="125"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1.09</w:t>
      </w:r>
      <w:r>
        <w:rPr>
          <w:sz w:val="20"/>
          <w:szCs w:val="20"/>
          <w:color w:val="auto"/>
        </w:rPr>
        <w:tab/>
      </w:r>
      <w:r>
        <w:rPr>
          <w:rFonts w:ascii="Times New Roman" w:cs="Times New Roman" w:eastAsia="Times New Roman" w:hAnsi="Times New Roman"/>
          <w:sz w:val="21"/>
          <w:szCs w:val="21"/>
          <w:i w:val="1"/>
          <w:iCs w:val="1"/>
          <w:color w:val="auto"/>
        </w:rPr>
        <w:t>Certain Calculations</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p>
    <w:p>
      <w:pPr>
        <w:spacing w:after="0" w:line="196" w:lineRule="exact"/>
        <w:rPr>
          <w:sz w:val="20"/>
          <w:szCs w:val="20"/>
          <w:color w:val="auto"/>
        </w:rPr>
      </w:pPr>
    </w:p>
    <w:p>
      <w:pPr>
        <w:jc w:val="both"/>
        <w:ind w:firstLine="1278"/>
        <w:spacing w:after="0" w:line="223" w:lineRule="auto"/>
        <w:tabs>
          <w:tab w:leader="none" w:pos="1905"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pro forma calculations permitted or required to be made by the Borrower or any Restricted Subsidiary pursuant to this Agreement shall include only those adjustments that have been certified by a Responsible Officer of the Borrower as having been prepared in good faith based upon reasonably detailed written assumptions believed by the Borrower at the time of preparation to be reasonable and which are reasonably foreseeable. Any ratio calculated hereunder that includes Consolidated EBITDA shall look to Consolidated EBITDA for the most recently completed Measurement Period.</w:t>
      </w:r>
    </w:p>
    <w:p>
      <w:pPr>
        <w:spacing w:after="0" w:line="150" w:lineRule="exact"/>
        <w:rPr>
          <w:rFonts w:ascii="Times New Roman" w:cs="Times New Roman" w:eastAsia="Times New Roman" w:hAnsi="Times New Roman"/>
          <w:sz w:val="21"/>
          <w:szCs w:val="21"/>
          <w:color w:val="auto"/>
        </w:rPr>
      </w:pPr>
    </w:p>
    <w:p>
      <w:pPr>
        <w:ind w:firstLine="1278"/>
        <w:spacing w:after="0" w:line="245" w:lineRule="auto"/>
        <w:tabs>
          <w:tab w:leader="none" w:pos="1903"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pro forma Secured Net Leverage Ratio, Total Net Leverage Ratio and Consolidated Interest Coverage Ratio shall be calculated as follows:</w:t>
      </w:r>
    </w:p>
    <w:p>
      <w:pPr>
        <w:spacing w:after="0" w:line="142" w:lineRule="exact"/>
        <w:rPr>
          <w:rFonts w:ascii="Times New Roman" w:cs="Times New Roman" w:eastAsia="Times New Roman" w:hAnsi="Times New Roman"/>
          <w:sz w:val="21"/>
          <w:szCs w:val="21"/>
          <w:color w:val="auto"/>
        </w:rPr>
      </w:pPr>
    </w:p>
    <w:p>
      <w:pPr>
        <w:jc w:val="both"/>
        <w:ind w:left="640" w:firstLine="1274"/>
        <w:spacing w:after="0" w:line="219" w:lineRule="auto"/>
        <w:tabs>
          <w:tab w:leader="none" w:pos="2536" w:val="left"/>
        </w:tabs>
        <w:numPr>
          <w:ilvl w:val="1"/>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the Borrower or any Restricted Subsidiary incurs, assumes, guarantees, redeems, retires or extinguishes any Indebtedness subsequent to the last day of the Measurement Period for which such pro forma ratio is being calculated but on or prior to the date of the event for which the calculation of such pro forma ratio is being made (a “</w:t>
      </w:r>
      <w:r>
        <w:rPr>
          <w:rFonts w:ascii="Times New Roman" w:cs="Times New Roman" w:eastAsia="Times New Roman" w:hAnsi="Times New Roman"/>
          <w:sz w:val="21"/>
          <w:szCs w:val="21"/>
          <w:b w:val="1"/>
          <w:bCs w:val="1"/>
          <w:color w:val="auto"/>
        </w:rPr>
        <w:t>Ratio Calculation Date</w:t>
      </w:r>
      <w:r>
        <w:rPr>
          <w:rFonts w:ascii="Times New Roman" w:cs="Times New Roman" w:eastAsia="Times New Roman" w:hAnsi="Times New Roman"/>
          <w:sz w:val="21"/>
          <w:szCs w:val="21"/>
          <w:color w:val="auto"/>
        </w:rPr>
        <w:t>”), then such pro forma ratio shall be calculated as if such incurrence, assumption, guarantee, redemption, retirement or extinguishment of Indebtedness (and all other incurrences, assumptions, guarantees, redemptions, retirements or extinguishments of Indebtedness consummated since the last day of the applicable Measurement Period but on or prior to the Ratio Calculation Date) had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71</w:t>
      </w:r>
    </w:p>
    <w:p>
      <w:pPr>
        <w:sectPr>
          <w:pgSz w:w="11900" w:h="16838" w:orient="portrait"/>
          <w:cols w:equalWidth="0" w:num="1">
            <w:col w:w="11240"/>
          </w:cols>
          <w:pgMar w:left="320" w:top="1398" w:right="339" w:bottom="1440" w:gutter="0" w:footer="0" w:header="0"/>
        </w:sectPr>
      </w:pPr>
    </w:p>
    <w:bookmarkStart w:id="177" w:name="page178"/>
    <w:bookmarkEnd w:id="177"/>
    <w:p>
      <w:pPr>
        <w:jc w:val="both"/>
        <w:ind w:left="640"/>
        <w:spacing w:after="0" w:line="219" w:lineRule="auto"/>
        <w:rPr>
          <w:sz w:val="20"/>
          <w:szCs w:val="20"/>
          <w:color w:val="auto"/>
        </w:rPr>
      </w:pPr>
      <w:r>
        <w:rPr>
          <w:rFonts w:ascii="Times New Roman" w:cs="Times New Roman" w:eastAsia="Times New Roman" w:hAnsi="Times New Roman"/>
          <w:sz w:val="21"/>
          <w:szCs w:val="21"/>
          <w:color w:val="auto"/>
        </w:rPr>
        <w:t xml:space="preserve">occurred at the last day of the applicable Measurement Period;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 in the case of any incurrence of Indebtedness or establishment of any revolving credit or delayed draw commitments, (x) a borrowing of the maximum amount of Indebtedness available under such revolving credit or delayed draw commitments shall be assumed and (y) the cash proceeds of such incurred Indebtedness shall be excluded from amounts that may be netted in the calculation of the pro forma Secured Net Leverage Ratio or the pro forma Total Net Leverage Ratio, as applicable and (ii) the pro forma Consolidated Interest Charges for the applicable Measurement Period shall be calculated assuming such Indebtedness had been outstanding or repaid, as the case may be, since the first day and through the end of the applicable Measurement Period (taking into account any interest rate Swap Contracts applicable to such Indebtedness);</w:t>
      </w:r>
    </w:p>
    <w:p>
      <w:pPr>
        <w:spacing w:after="0" w:line="147" w:lineRule="exact"/>
        <w:rPr>
          <w:sz w:val="20"/>
          <w:szCs w:val="20"/>
          <w:color w:val="auto"/>
        </w:rPr>
      </w:pPr>
    </w:p>
    <w:p>
      <w:pPr>
        <w:jc w:val="both"/>
        <w:ind w:left="640" w:firstLine="1274"/>
        <w:spacing w:after="0"/>
        <w:tabs>
          <w:tab w:leader="none" w:pos="2542" w:val="left"/>
        </w:tabs>
        <w:numPr>
          <w:ilvl w:val="1"/>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any Permitted Acquisitions or other permitted Investments in the nature of an acquisition are made subsequent to the last day of the applicable Measurement Period for which such pro forma ratio is being calculated but on or prior to the Ratio Calculation Date, then Consolidated EBITDA shall be (x) increased by an amount equal to the Consolidated EBITDA attributable to the property or Investment that is the subject of such Permitted Acquisition or other permitted Investment in the nature of an acquisition, in each case assuming such Permitted Acquisition or other permitted Investment in the nature of an acquisition had been made on the first day of the applicable Measurement Period and (y) otherwise calculated as set forth in the third paragraph of the definition of “Consolidated EBITDA” on a Pro Forma Basis;</w:t>
      </w:r>
    </w:p>
    <w:p>
      <w:pPr>
        <w:spacing w:after="0" w:line="217" w:lineRule="exact"/>
        <w:rPr>
          <w:rFonts w:ascii="Times New Roman" w:cs="Times New Roman" w:eastAsia="Times New Roman" w:hAnsi="Times New Roman"/>
          <w:sz w:val="21"/>
          <w:szCs w:val="21"/>
          <w:color w:val="auto"/>
        </w:rPr>
      </w:pPr>
    </w:p>
    <w:p>
      <w:pPr>
        <w:jc w:val="both"/>
        <w:ind w:left="640" w:firstLine="1274"/>
        <w:spacing w:after="0" w:line="221" w:lineRule="auto"/>
        <w:tabs>
          <w:tab w:leader="none" w:pos="2548" w:val="left"/>
        </w:tabs>
        <w:numPr>
          <w:ilvl w:val="1"/>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Dispositions are made subsequent to the last day of the applicable Measurement Period for which such pro forma ratio is being calculated but on or prior to the relevant Ratio Calculation Date, then Consolidated EBITDA shall be reduced by an amount equal to the Consolidated EBITDA (if positive) attributable to the property that is the subject of such Disposition or increased by an amount equal to the Consolidated EBITDA (if negative) attributable thereto, in each case assuming such Disposition had been made on the first day of the applicable Measurement Period; and</w:t>
      </w:r>
    </w:p>
    <w:p>
      <w:pPr>
        <w:spacing w:after="0" w:line="149" w:lineRule="exact"/>
        <w:rPr>
          <w:rFonts w:ascii="Times New Roman" w:cs="Times New Roman" w:eastAsia="Times New Roman" w:hAnsi="Times New Roman"/>
          <w:sz w:val="21"/>
          <w:szCs w:val="21"/>
          <w:color w:val="auto"/>
        </w:rPr>
      </w:pPr>
    </w:p>
    <w:p>
      <w:pPr>
        <w:jc w:val="both"/>
        <w:ind w:left="640" w:firstLine="1274"/>
        <w:spacing w:after="0" w:line="232" w:lineRule="auto"/>
        <w:tabs>
          <w:tab w:leader="none" w:pos="2536" w:val="left"/>
        </w:tabs>
        <w:numPr>
          <w:ilvl w:val="1"/>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the avoidance of doubt, the cash used in connection with any transaction specified above shall be excluded from amounts that may be netted in the calculation of pro forma Secured Net Leverage Ratio or the pro forma Total Net Leverage Ratio, as applicable.</w:t>
      </w:r>
    </w:p>
    <w:p>
      <w:pPr>
        <w:spacing w:after="0" w:line="147" w:lineRule="exact"/>
        <w:rPr>
          <w:rFonts w:ascii="Times New Roman" w:cs="Times New Roman" w:eastAsia="Times New Roman" w:hAnsi="Times New Roman"/>
          <w:sz w:val="21"/>
          <w:szCs w:val="21"/>
          <w:color w:val="auto"/>
        </w:rPr>
      </w:pPr>
    </w:p>
    <w:p>
      <w:pPr>
        <w:jc w:val="both"/>
        <w:ind w:firstLine="1278"/>
        <w:spacing w:after="0" w:line="215" w:lineRule="auto"/>
        <w:tabs>
          <w:tab w:leader="none" w:pos="1905"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in this Agreement, solely for the purpose of (A) measuring the relevant financial ratios and basket availability or pro forma compliance with any covenant with respect to the incurrence of any Indebtedness (including any Incremental Term Loans, Incremental Revolving Loans, Incremental Term Loan Commitments or Incremental Revolving Credit Commitments) or Liens or the making of any Investments (including the determination of whether an acquisition is a Permitted Acquisition) or Dispositions or the designation of any Subsidiary as a Restricted Subsidiary or an Unrestricted Subsidiary or (B) other than in connection with the incurrence of any Incremental Revolving Credit Commitments, any Other Revolving Commitments or any Revolving Credit Loans, determining compliance with representations and warranties or the occurrence of any Default or Event of Default, in each case, in connection with a Limited Condition Acquisition or the incurrence or payment of Indebtedness or incurrence of Liens in connection therewith, if the Borrower has made an LCA Election with respect to such Limited Condition Acquisition, the date of determination of whether any such action is permitted hereunder shall be deemed to be the date on which the definitive agreements for such Limited Condition Acquisition are entered into (the “</w:t>
      </w:r>
      <w:r>
        <w:rPr>
          <w:rFonts w:ascii="Times New Roman" w:cs="Times New Roman" w:eastAsia="Times New Roman" w:hAnsi="Times New Roman"/>
          <w:sz w:val="21"/>
          <w:szCs w:val="21"/>
          <w:b w:val="1"/>
          <w:bCs w:val="1"/>
          <w:color w:val="auto"/>
        </w:rPr>
        <w:t>LCA Test Date</w:t>
      </w:r>
      <w:r>
        <w:rPr>
          <w:rFonts w:ascii="Times New Roman" w:cs="Times New Roman" w:eastAsia="Times New Roman" w:hAnsi="Times New Roman"/>
          <w:sz w:val="21"/>
          <w:szCs w:val="21"/>
          <w:color w:val="auto"/>
        </w:rPr>
        <w:t>”), and if, after giving effect on a Pro Forma Basis to the Limited Condition Acquisition and the other transactions to be entered into in connection therewith as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72</w:t>
      </w:r>
    </w:p>
    <w:p>
      <w:pPr>
        <w:sectPr>
          <w:pgSz w:w="11900" w:h="16838" w:orient="portrait"/>
          <w:cols w:equalWidth="0" w:num="1">
            <w:col w:w="11240"/>
          </w:cols>
          <w:pgMar w:left="320" w:top="1369" w:right="339" w:bottom="1440" w:gutter="0" w:footer="0" w:header="0"/>
        </w:sectPr>
      </w:pPr>
    </w:p>
    <w:bookmarkStart w:id="178" w:name="page179"/>
    <w:bookmarkEnd w:id="178"/>
    <w:p>
      <w:pPr>
        <w:jc w:val="both"/>
        <w:spacing w:after="0" w:line="215" w:lineRule="auto"/>
        <w:rPr>
          <w:sz w:val="20"/>
          <w:szCs w:val="20"/>
          <w:color w:val="auto"/>
        </w:rPr>
      </w:pPr>
      <w:r>
        <w:rPr>
          <w:rFonts w:ascii="Times New Roman" w:cs="Times New Roman" w:eastAsia="Times New Roman" w:hAnsi="Times New Roman"/>
          <w:sz w:val="21"/>
          <w:szCs w:val="21"/>
          <w:color w:val="auto"/>
        </w:rPr>
        <w:t>they had occurred at the beginning of the most recently completed Measurement Period ending prior to the LCA Test Date, the Borrower could have taken such action on the relevant LCA Test Date in compliance with such financial ratio or basket, such financial ratio or basket shall be deemed to have been complied with. If the Borrower has made an LCA Election for any Limited Condition Acquisition, then in connection with any subsequent calculation of any financial ratio or basket availability on or following the relevant LCA Test Date and prior to the earlier of (x) the date on which such Limited Condition Acquisition is consummated or (y) the date that the definitive agreement for such Limited Condition Acquisition is terminated or expires without consummation of such Limited Condition Acquisition, any such financial ratio or basket availability shall be calculated (and tested) on (A) a Pro Forma Basis assuming such Limited Condition Acquisition and other transactions in connection therewith (including any incurrence or payment of Indebtedness (and the use of proceeds of such Indebtedness) or the incurrence of any Liens in connection therewith) have been consummated until such time as the applicable Limited Condition Acquisition has actually closed or the definitive agreement with respect thereto has been terminated and (B) solely with respect to the making of any Restricted Payments, on a standalone basis without giving effect to such Limited Condition Acquisition and the other transactions in connection therewith.</w:t>
      </w:r>
    </w:p>
    <w:p>
      <w:pPr>
        <w:spacing w:after="0" w:line="156" w:lineRule="exact"/>
        <w:rPr>
          <w:sz w:val="20"/>
          <w:szCs w:val="20"/>
          <w:color w:val="auto"/>
        </w:rPr>
      </w:pPr>
    </w:p>
    <w:p>
      <w:pPr>
        <w:jc w:val="both"/>
        <w:ind w:firstLine="1278"/>
        <w:spacing w:after="0" w:line="221" w:lineRule="auto"/>
        <w:tabs>
          <w:tab w:leader="none" w:pos="1903"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For purposes of determining compliance with </w:t>
      </w:r>
      <w:r>
        <w:rPr>
          <w:rFonts w:ascii="Times New Roman" w:cs="Times New Roman" w:eastAsia="Times New Roman" w:hAnsi="Times New Roman"/>
          <w:sz w:val="21"/>
          <w:szCs w:val="21"/>
          <w:u w:val="single" w:color="auto"/>
          <w:color w:val="auto"/>
        </w:rPr>
        <w:t>Sections 7.01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7.02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7.03</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7.06</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7.14</w:t>
      </w:r>
      <w:r>
        <w:rPr>
          <w:rFonts w:ascii="Times New Roman" w:cs="Times New Roman" w:eastAsia="Times New Roman" w:hAnsi="Times New Roman"/>
          <w:sz w:val="21"/>
          <w:szCs w:val="21"/>
          <w:color w:val="auto"/>
        </w:rPr>
        <w:t>, with respect to any grant of any Lien, the making of any Investment, the incurrence of any Indebtedness, the making of any Restricted Payment, or the prepayment, redemption, purchase, defeasement or satisfaction of Restricted Indebtedness (each, a “</w:t>
      </w:r>
      <w:r>
        <w:rPr>
          <w:rFonts w:ascii="Times New Roman" w:cs="Times New Roman" w:eastAsia="Times New Roman" w:hAnsi="Times New Roman"/>
          <w:sz w:val="21"/>
          <w:szCs w:val="21"/>
          <w:b w:val="1"/>
          <w:bCs w:val="1"/>
          <w:color w:val="auto"/>
        </w:rPr>
        <w:t>Covenant Transaction</w:t>
      </w:r>
      <w:r>
        <w:rPr>
          <w:rFonts w:ascii="Times New Roman" w:cs="Times New Roman" w:eastAsia="Times New Roman" w:hAnsi="Times New Roman"/>
          <w:sz w:val="21"/>
          <w:szCs w:val="21"/>
          <w:color w:val="auto"/>
        </w:rPr>
        <w:t>”) in reliance on a “basket” that makes reference to a percentage of Consolidated EBITDA, no Default or Event of Default shall be deemed to have occurred solely as a result of changes in the amount of Consolidated EBITDA occurring after the time such Covenant Transaction is incurred, granted or made in reliance on such provision.</w:t>
      </w:r>
    </w:p>
    <w:p>
      <w:pPr>
        <w:spacing w:after="0" w:line="149" w:lineRule="exact"/>
        <w:rPr>
          <w:rFonts w:ascii="Times New Roman" w:cs="Times New Roman" w:eastAsia="Times New Roman" w:hAnsi="Times New Roman"/>
          <w:sz w:val="21"/>
          <w:szCs w:val="21"/>
          <w:color w:val="auto"/>
        </w:rPr>
      </w:pPr>
    </w:p>
    <w:p>
      <w:pPr>
        <w:jc w:val="both"/>
        <w:ind w:firstLine="1278"/>
        <w:spacing w:after="0" w:line="218" w:lineRule="auto"/>
        <w:tabs>
          <w:tab w:leader="none" w:pos="1905"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For purposes of calculating any “net” ratio test utilized in any debt incurrence test (including any amounts permitted to be incurred pursuant to </w:t>
      </w:r>
      <w:r>
        <w:rPr>
          <w:rFonts w:ascii="Times New Roman" w:cs="Times New Roman" w:eastAsia="Times New Roman" w:hAnsi="Times New Roman"/>
          <w:sz w:val="21"/>
          <w:szCs w:val="21"/>
          <w:u w:val="single" w:color="auto"/>
          <w:color w:val="auto"/>
        </w:rPr>
        <w:t>Section 2.14</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7.03(s)</w:t>
      </w:r>
      <w:r>
        <w:rPr>
          <w:rFonts w:ascii="Times New Roman" w:cs="Times New Roman" w:eastAsia="Times New Roman" w:hAnsi="Times New Roman"/>
          <w:sz w:val="21"/>
          <w:szCs w:val="21"/>
          <w:color w:val="auto"/>
        </w:rPr>
        <w:t>), such ratio shall be calculated after giving effect to any such incurrence on a pro forma basis, and, in each case, with respect to any revolving credit or delayed draw commitments being established utilizing a debt incurrence test (including any Incremental Revolving Commitment), assuming a borrowing of the maximum amount of such revolving credit or delayed draw commitment (but for the avoidance of doubt, no other previously established revolving commitment), and such calculation shall be made excluding the cash proceeds from such incurrence from the amount of cash and Cash Equivalents that may be netted in the calculation of the pro forma Secured Net Leverage Ratio or the pro forma Total Net Leverage Ratio, as applicable.</w:t>
      </w:r>
    </w:p>
    <w:p>
      <w:pPr>
        <w:spacing w:after="0" w:line="153" w:lineRule="exact"/>
        <w:rPr>
          <w:rFonts w:ascii="Times New Roman" w:cs="Times New Roman" w:eastAsia="Times New Roman" w:hAnsi="Times New Roman"/>
          <w:sz w:val="21"/>
          <w:szCs w:val="21"/>
          <w:color w:val="auto"/>
        </w:rPr>
      </w:pPr>
    </w:p>
    <w:p>
      <w:pPr>
        <w:jc w:val="both"/>
        <w:ind w:firstLine="1278"/>
        <w:spacing w:after="0" w:line="216" w:lineRule="auto"/>
        <w:tabs>
          <w:tab w:leader="none" w:pos="1908"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For purposes of determining compliance at any time with </w:t>
      </w:r>
      <w:r>
        <w:rPr>
          <w:rFonts w:ascii="Times New Roman" w:cs="Times New Roman" w:eastAsia="Times New Roman" w:hAnsi="Times New Roman"/>
          <w:sz w:val="21"/>
          <w:szCs w:val="21"/>
          <w:u w:val="single" w:color="auto"/>
          <w:color w:val="auto"/>
        </w:rPr>
        <w:t>Section 7.01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7.02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7.03, 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7.06</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7.14</w:t>
      </w:r>
      <w:r>
        <w:rPr>
          <w:rFonts w:ascii="Times New Roman" w:cs="Times New Roman" w:eastAsia="Times New Roman" w:hAnsi="Times New Roman"/>
          <w:sz w:val="21"/>
          <w:szCs w:val="21"/>
          <w:color w:val="auto"/>
        </w:rPr>
        <w:t xml:space="preserve">, in the event that any Lien, Investment, Indebtedness, Restricted Payment or payment of Restricted Indebtedness, as applicable, meets the criteria of more than one of the categories of transactions within such covenant or items permitted pursuant to any clause of such </w:t>
      </w:r>
      <w:r>
        <w:rPr>
          <w:rFonts w:ascii="Times New Roman" w:cs="Times New Roman" w:eastAsia="Times New Roman" w:hAnsi="Times New Roman"/>
          <w:sz w:val="21"/>
          <w:szCs w:val="21"/>
          <w:u w:val="single" w:color="auto"/>
          <w:color w:val="auto"/>
        </w:rPr>
        <w:t>Sections 7.01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7.02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7.03</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7.06</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7.14</w:t>
      </w:r>
      <w:r>
        <w:rPr>
          <w:rFonts w:ascii="Times New Roman" w:cs="Times New Roman" w:eastAsia="Times New Roman" w:hAnsi="Times New Roman"/>
          <w:sz w:val="21"/>
          <w:szCs w:val="21"/>
          <w:color w:val="auto"/>
        </w:rPr>
        <w:t xml:space="preserve">, the Borrower, in its sole discretion, from time to time, may classify or reclassify such transaction or item (or portion thereof) within the applicable covenant and will only be required to include the amount and type of such transaction (or portion thereof) in any one category within the applicable covenant; </w:t>
      </w: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21"/>
          <w:szCs w:val="21"/>
          <w:color w:val="auto"/>
        </w:rPr>
        <w:t>that, notwithstanding the foregoing, Liens of the nature described in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u w:val="single" w:color="auto"/>
          <w:color w:val="auto"/>
        </w:rPr>
        <w:t>Sections 7.01(a)</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u w:val="single" w:color="auto"/>
          <w:color w:val="auto"/>
        </w:rPr>
        <w:t>(y)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may only be incurred and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exist under such respective sections, Indebtedness of the nature described in </w:t>
      </w:r>
      <w:r>
        <w:rPr>
          <w:rFonts w:ascii="Times New Roman" w:cs="Times New Roman" w:eastAsia="Times New Roman" w:hAnsi="Times New Roman"/>
          <w:sz w:val="21"/>
          <w:szCs w:val="21"/>
          <w:u w:val="single" w:color="auto"/>
          <w:color w:val="auto"/>
        </w:rPr>
        <w:t>Section 7.03(a)(A)</w:t>
      </w:r>
      <w:r>
        <w:rPr>
          <w:rFonts w:ascii="Times New Roman" w:cs="Times New Roman" w:eastAsia="Times New Roman" w:hAnsi="Times New Roman"/>
          <w:sz w:val="21"/>
          <w:szCs w:val="21"/>
          <w:color w:val="auto"/>
        </w:rPr>
        <w:t xml:space="preserve"> may only be incurred and exist under such Section, any of the Senior Notes described in </w:t>
      </w:r>
      <w:r>
        <w:rPr>
          <w:rFonts w:ascii="Times New Roman" w:cs="Times New Roman" w:eastAsia="Times New Roman" w:hAnsi="Times New Roman"/>
          <w:sz w:val="21"/>
          <w:szCs w:val="21"/>
          <w:u w:val="single" w:color="auto"/>
          <w:color w:val="auto"/>
        </w:rPr>
        <w:t>Section 7.03(a)(B)</w:t>
      </w:r>
      <w:r>
        <w:rPr>
          <w:rFonts w:ascii="Times New Roman" w:cs="Times New Roman" w:eastAsia="Times New Roman" w:hAnsi="Times New Roman"/>
          <w:sz w:val="21"/>
          <w:szCs w:val="21"/>
          <w:color w:val="auto"/>
        </w:rPr>
        <w:t xml:space="preserve"> may only be incurred and exist under such Section, Indebtedness of the nature described in </w:t>
      </w:r>
      <w:r>
        <w:rPr>
          <w:rFonts w:ascii="Times New Roman" w:cs="Times New Roman" w:eastAsia="Times New Roman" w:hAnsi="Times New Roman"/>
          <w:sz w:val="21"/>
          <w:szCs w:val="21"/>
          <w:u w:val="single" w:color="auto"/>
          <w:color w:val="auto"/>
        </w:rPr>
        <w:t>Section 7.03(d)</w:t>
      </w:r>
      <w:r>
        <w:rPr>
          <w:rFonts w:ascii="Times New Roman" w:cs="Times New Roman" w:eastAsia="Times New Roman" w:hAnsi="Times New Roman"/>
          <w:sz w:val="21"/>
          <w:szCs w:val="21"/>
          <w:color w:val="auto"/>
        </w:rPr>
        <w:t xml:space="preserve"> may only be incurred and exist under such Section and Incremental Equivalent Debt may only be incurred and exist under </w:t>
      </w:r>
      <w:r>
        <w:rPr>
          <w:rFonts w:ascii="Times New Roman" w:cs="Times New Roman" w:eastAsia="Times New Roman" w:hAnsi="Times New Roman"/>
          <w:sz w:val="21"/>
          <w:szCs w:val="21"/>
          <w:u w:val="single" w:color="auto"/>
          <w:color w:val="auto"/>
        </w:rPr>
        <w:t>Section 7.03(s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73</w:t>
      </w:r>
    </w:p>
    <w:p>
      <w:pPr>
        <w:sectPr>
          <w:pgSz w:w="11900" w:h="16838" w:orient="portrait"/>
          <w:cols w:equalWidth="0" w:num="1">
            <w:col w:w="11240"/>
          </w:cols>
          <w:pgMar w:left="320" w:top="1371" w:right="339" w:bottom="1440" w:gutter="0" w:footer="0" w:header="0"/>
        </w:sectPr>
      </w:pPr>
    </w:p>
    <w:bookmarkStart w:id="179" w:name="page180"/>
    <w:bookmarkEnd w:id="179"/>
    <w:p>
      <w:pPr>
        <w:ind w:left="640"/>
        <w:spacing w:after="0"/>
        <w:tabs>
          <w:tab w:leader="none" w:pos="1900" w:val="left"/>
        </w:tabs>
        <w:rPr>
          <w:sz w:val="20"/>
          <w:szCs w:val="20"/>
          <w:color w:val="auto"/>
        </w:rPr>
      </w:pPr>
      <w:r>
        <w:rPr>
          <w:rFonts w:ascii="Times New Roman" w:cs="Times New Roman" w:eastAsia="Times New Roman" w:hAnsi="Times New Roman"/>
          <w:sz w:val="21"/>
          <w:szCs w:val="21"/>
          <w:b w:val="1"/>
          <w:bCs w:val="1"/>
          <w:u w:val="single" w:color="auto"/>
          <w:color w:val="0000FF"/>
        </w:rPr>
        <w:t>Section 1.10</w:t>
      </w:r>
      <w:r>
        <w:rPr>
          <w:sz w:val="20"/>
          <w:szCs w:val="20"/>
          <w:color w:val="auto"/>
        </w:rPr>
        <w:tab/>
      </w:r>
      <w:r>
        <w:rPr>
          <w:rFonts w:ascii="Times New Roman" w:cs="Times New Roman" w:eastAsia="Times New Roman" w:hAnsi="Times New Roman"/>
          <w:sz w:val="20"/>
          <w:szCs w:val="20"/>
          <w:b w:val="1"/>
          <w:bCs w:val="1"/>
          <w:i w:val="1"/>
          <w:iCs w:val="1"/>
          <w:u w:val="single" w:color="auto"/>
          <w:color w:val="0000FF"/>
        </w:rPr>
        <w:t>Rates.</w:t>
      </w:r>
    </w:p>
    <w:p>
      <w:pPr>
        <w:spacing w:after="0" w:line="209"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21"/>
          <w:szCs w:val="21"/>
          <w:b w:val="1"/>
          <w:bCs w:val="1"/>
          <w:u w:val="single" w:color="auto"/>
          <w:color w:val="0000FF"/>
        </w:rPr>
        <w:t>The Administrative Agent does not warrant, nor accept responsibility, nor shall the Administrative Agent have any liability with respect to the administration, submission or any other matter related to the rates in the definition of “Eurodollar Rate”, “Term SOFR”, “Daily Simple RFR” or with respect to any comparable or successor rates.</w:t>
      </w:r>
    </w:p>
    <w:p>
      <w:pPr>
        <w:spacing w:after="0" w:line="142" w:lineRule="exact"/>
        <w:rPr>
          <w:sz w:val="20"/>
          <w:szCs w:val="20"/>
          <w:color w:val="auto"/>
        </w:rPr>
      </w:pPr>
    </w:p>
    <w:p>
      <w:pPr>
        <w:ind w:left="640"/>
        <w:spacing w:after="0"/>
        <w:tabs>
          <w:tab w:leader="none" w:pos="1880" w:val="left"/>
        </w:tabs>
        <w:rPr>
          <w:sz w:val="20"/>
          <w:szCs w:val="20"/>
          <w:color w:val="auto"/>
        </w:rPr>
      </w:pPr>
      <w:r>
        <w:rPr>
          <w:rFonts w:ascii="Times New Roman" w:cs="Times New Roman" w:eastAsia="Times New Roman" w:hAnsi="Times New Roman"/>
          <w:sz w:val="21"/>
          <w:szCs w:val="21"/>
          <w:b w:val="1"/>
          <w:bCs w:val="1"/>
          <w:u w:val="single" w:color="auto"/>
          <w:color w:val="0000FF"/>
        </w:rPr>
        <w:t>Section 1.11</w:t>
      </w:r>
      <w:r>
        <w:rPr>
          <w:sz w:val="20"/>
          <w:szCs w:val="20"/>
          <w:color w:val="auto"/>
        </w:rPr>
        <w:tab/>
      </w:r>
      <w:r>
        <w:rPr>
          <w:rFonts w:ascii="Times New Roman" w:cs="Times New Roman" w:eastAsia="Times New Roman" w:hAnsi="Times New Roman"/>
          <w:sz w:val="21"/>
          <w:szCs w:val="21"/>
          <w:b w:val="1"/>
          <w:bCs w:val="1"/>
          <w:color w:val="FF0000"/>
          <w:strike w:val="1"/>
        </w:rPr>
        <w:t xml:space="preserve">Section 1.10 </w:t>
      </w:r>
      <w:r>
        <w:rPr>
          <w:rFonts w:ascii="Times New Roman" w:cs="Times New Roman" w:eastAsia="Times New Roman" w:hAnsi="Times New Roman"/>
          <w:sz w:val="21"/>
          <w:szCs w:val="21"/>
          <w:i w:val="1"/>
          <w:iCs w:val="1"/>
          <w:color w:val="000000"/>
          <w:strike w:val="1"/>
        </w:rPr>
        <w:t>Divisions</w:t>
      </w:r>
    </w:p>
    <w:p>
      <w:pPr>
        <w:spacing w:after="0" w:line="213" w:lineRule="exact"/>
        <w:rPr>
          <w:sz w:val="20"/>
          <w:szCs w:val="20"/>
          <w:color w:val="auto"/>
        </w:rPr>
      </w:pPr>
    </w:p>
    <w:p>
      <w:pPr>
        <w:jc w:val="both"/>
        <w:ind w:firstLine="642"/>
        <w:spacing w:after="0" w:line="259" w:lineRule="auto"/>
        <w:tabs>
          <w:tab w:leader="none" w:pos="755"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51"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b w:val="1"/>
          <w:bCs w:val="1"/>
          <w:u w:val="single" w:color="auto"/>
          <w:color w:val="0000FF"/>
        </w:rPr>
        <w:t>Section 1.12</w:t>
      </w:r>
      <w:r>
        <w:rPr>
          <w:sz w:val="20"/>
          <w:szCs w:val="20"/>
          <w:color w:val="auto"/>
        </w:rPr>
        <w:tab/>
      </w:r>
      <w:r>
        <w:rPr>
          <w:rFonts w:ascii="Times New Roman" w:cs="Times New Roman" w:eastAsia="Times New Roman" w:hAnsi="Times New Roman"/>
          <w:sz w:val="21"/>
          <w:szCs w:val="21"/>
          <w:b w:val="1"/>
          <w:bCs w:val="1"/>
          <w:color w:val="FF0000"/>
          <w:strike w:val="1"/>
        </w:rPr>
        <w:t xml:space="preserve">Section 1.11 </w:t>
      </w:r>
      <w:r>
        <w:rPr>
          <w:rFonts w:ascii="Times New Roman" w:cs="Times New Roman" w:eastAsia="Times New Roman" w:hAnsi="Times New Roman"/>
          <w:sz w:val="21"/>
          <w:szCs w:val="21"/>
          <w:i w:val="1"/>
          <w:iCs w:val="1"/>
          <w:color w:val="000000"/>
          <w:strike w:val="1"/>
        </w:rPr>
        <w:t>Interest Rates; Benchmark Notification</w:t>
      </w:r>
    </w:p>
    <w:p>
      <w:pPr>
        <w:spacing w:after="0" w:line="213" w:lineRule="exact"/>
        <w:rPr>
          <w:sz w:val="20"/>
          <w:szCs w:val="20"/>
          <w:color w:val="auto"/>
        </w:rPr>
      </w:pPr>
    </w:p>
    <w:p>
      <w:pPr>
        <w:jc w:val="both"/>
        <w:ind w:firstLine="642"/>
        <w:spacing w:after="0" w:line="254" w:lineRule="auto"/>
        <w:tabs>
          <w:tab w:leader="none" w:pos="755"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interest rate on a Loan denominated in U.S. Dollars or an Alternative Currency may be derived from an interest rate benchmark that may be discontinued or that is, or may in the future become, the subject of regulatory reform. Upon the occurrence of a Benchmark Transition Event, Section 3.08(a)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 Wherever in this Agreement in connection with a Borrowing, conversion, continuation or prepayment of a Loan or the issuance, amendment or extension of a Letter of Credit, an amount, such as a required minimum or multiple amount, is expressed in U.S. Dollars, but such Borrowing, Loan or Letter of Credit is denominated in an Alternative Currency, such amount shall be the U.S. Dollar Equivalent of such amount (rounded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74</w:t>
      </w:r>
    </w:p>
    <w:p>
      <w:pPr>
        <w:sectPr>
          <w:pgSz w:w="11900" w:h="16838" w:orient="portrait"/>
          <w:cols w:equalWidth="0" w:num="1">
            <w:col w:w="11240"/>
          </w:cols>
          <w:pgMar w:left="320" w:top="1367" w:right="339" w:bottom="1440" w:gutter="0" w:footer="0" w:header="0"/>
        </w:sectPr>
      </w:pPr>
    </w:p>
    <w:bookmarkStart w:id="180" w:name="page181"/>
    <w:bookmarkEnd w:id="180"/>
    <w:p>
      <w:pPr>
        <w:spacing w:after="0" w:line="285" w:lineRule="auto"/>
        <w:rPr>
          <w:sz w:val="20"/>
          <w:szCs w:val="20"/>
          <w:color w:val="auto"/>
        </w:rPr>
      </w:pPr>
      <w:r>
        <w:rPr>
          <w:rFonts w:ascii="Times New Roman" w:cs="Times New Roman" w:eastAsia="Times New Roman" w:hAnsi="Times New Roman"/>
          <w:sz w:val="21"/>
          <w:szCs w:val="21"/>
          <w:color w:val="auto"/>
        </w:rPr>
        <w:t>nearest unit of such Alternative Currency, with 0.5 of a unit being rounded upward), as reasonably determined by the Administrative Agent or L/C Issuer, as the case may be.</w:t>
      </w:r>
    </w:p>
    <w:p>
      <w:pPr>
        <w:spacing w:after="0" w:line="111"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b w:val="1"/>
          <w:bCs w:val="1"/>
          <w:u w:val="single" w:color="auto"/>
          <w:color w:val="0000FF"/>
        </w:rPr>
        <w:t>Section 1.13</w:t>
      </w:r>
      <w:r>
        <w:rPr>
          <w:sz w:val="20"/>
          <w:szCs w:val="20"/>
          <w:color w:val="auto"/>
        </w:rPr>
        <w:tab/>
      </w:r>
      <w:r>
        <w:rPr>
          <w:rFonts w:ascii="Times New Roman" w:cs="Times New Roman" w:eastAsia="Times New Roman" w:hAnsi="Times New Roman"/>
          <w:sz w:val="21"/>
          <w:szCs w:val="21"/>
          <w:b w:val="1"/>
          <w:bCs w:val="1"/>
          <w:color w:val="FF0000"/>
          <w:strike w:val="1"/>
        </w:rPr>
        <w:t xml:space="preserve">Section 1.12 </w:t>
      </w:r>
      <w:r>
        <w:rPr>
          <w:rFonts w:ascii="Times New Roman" w:cs="Times New Roman" w:eastAsia="Times New Roman" w:hAnsi="Times New Roman"/>
          <w:sz w:val="21"/>
          <w:szCs w:val="21"/>
          <w:i w:val="1"/>
          <w:iCs w:val="1"/>
          <w:color w:val="000000"/>
          <w:strike w:val="1"/>
        </w:rPr>
        <w:t>The Transactions</w:t>
      </w:r>
    </w:p>
    <w:p>
      <w:pPr>
        <w:spacing w:after="0" w:line="213" w:lineRule="exact"/>
        <w:rPr>
          <w:sz w:val="20"/>
          <w:szCs w:val="20"/>
          <w:color w:val="auto"/>
        </w:rPr>
      </w:pPr>
    </w:p>
    <w:p>
      <w:pPr>
        <w:jc w:val="both"/>
        <w:ind w:firstLine="642"/>
        <w:spacing w:after="0" w:line="266" w:lineRule="auto"/>
        <w:tabs>
          <w:tab w:leader="none" w:pos="742"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set forth herein or in any other Loan Document, no provision of this Agreement or any other Loan Document shall prevent the consummation of any of the Transactions, the consummation of the Transactions shall not give rise to any Default or Event of Default and the consummation of any of the Transactions shall not constitute usage of any baskets hereunder or under any of the other Loan Documents.</w:t>
      </w:r>
    </w:p>
    <w:p>
      <w:pPr>
        <w:spacing w:after="0" w:line="13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b w:val="1"/>
          <w:bCs w:val="1"/>
          <w:color w:val="auto"/>
        </w:rPr>
        <w:t>Article 2.</w:t>
      </w:r>
    </w:p>
    <w:p>
      <w:pPr>
        <w:ind w:left="3120"/>
        <w:spacing w:after="0"/>
        <w:rPr>
          <w:sz w:val="20"/>
          <w:szCs w:val="20"/>
          <w:color w:val="auto"/>
        </w:rPr>
      </w:pPr>
      <w:r>
        <w:rPr>
          <w:rFonts w:ascii="Times New Roman" w:cs="Times New Roman" w:eastAsia="Times New Roman" w:hAnsi="Times New Roman"/>
          <w:sz w:val="21"/>
          <w:szCs w:val="21"/>
          <w:b w:val="1"/>
          <w:bCs w:val="1"/>
          <w:color w:val="auto"/>
        </w:rPr>
        <w:t>THE COMMITMENTS AND CREDIT EXTENSIONS</w:t>
      </w:r>
    </w:p>
    <w:p>
      <w:pPr>
        <w:spacing w:after="0" w:line="157"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2.01</w:t>
      </w:r>
      <w:r>
        <w:rPr>
          <w:sz w:val="20"/>
          <w:szCs w:val="20"/>
          <w:color w:val="auto"/>
        </w:rPr>
        <w:tab/>
      </w:r>
      <w:r>
        <w:rPr>
          <w:rFonts w:ascii="Times New Roman" w:cs="Times New Roman" w:eastAsia="Times New Roman" w:hAnsi="Times New Roman"/>
          <w:sz w:val="20"/>
          <w:szCs w:val="20"/>
          <w:i w:val="1"/>
          <w:iCs w:val="1"/>
          <w:color w:val="auto"/>
        </w:rPr>
        <w:t>The Revolving Credit Borrowings</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p>
    <w:p>
      <w:pPr>
        <w:spacing w:after="0" w:line="222" w:lineRule="exact"/>
        <w:rPr>
          <w:sz w:val="20"/>
          <w:szCs w:val="20"/>
          <w:color w:val="auto"/>
        </w:rPr>
      </w:pPr>
    </w:p>
    <w:p>
      <w:pPr>
        <w:jc w:val="both"/>
        <w:ind w:firstLine="1278"/>
        <w:spacing w:after="0" w:line="256" w:lineRule="auto"/>
        <w:tabs>
          <w:tab w:leader="none" w:pos="1905" w:val="left"/>
        </w:tabs>
        <w:numPr>
          <w:ilvl w:val="0"/>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terms and conditions set forth herein, each Revolving Credit Lender severally agrees to make loans (each such loan, a “</w:t>
      </w:r>
      <w:r>
        <w:rPr>
          <w:rFonts w:ascii="Times New Roman" w:cs="Times New Roman" w:eastAsia="Times New Roman" w:hAnsi="Times New Roman"/>
          <w:sz w:val="21"/>
          <w:szCs w:val="21"/>
          <w:b w:val="1"/>
          <w:bCs w:val="1"/>
          <w:color w:val="auto"/>
        </w:rPr>
        <w:t>Revolving Credit Loan</w:t>
      </w:r>
      <w:r>
        <w:rPr>
          <w:rFonts w:ascii="Times New Roman" w:cs="Times New Roman" w:eastAsia="Times New Roman" w:hAnsi="Times New Roman"/>
          <w:sz w:val="21"/>
          <w:szCs w:val="21"/>
          <w:color w:val="auto"/>
        </w:rPr>
        <w:t xml:space="preserve">”) to the Borrower in U.S. Dollars or an Alternative Currency, in each case, from time to time, on any Business Day during the applicable Availability Period for the Revolving Credit Facility under which such Revolving Credit Lender has a Revolving Credit Commitment, in an aggregate amount not to exceed at any time outstanding the amount of such Revolving Credit Lender’s Revolving Credit Commitment;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after giving effect to any Revolving Credit Borrowing, (i) the Total Revolving Credit Outstandings shall not exceed the aggregate amount of the Revolving Credit Lenders’ Revolving Credit Commitments at such time and (ii) the aggregate Outstanding Amount of the Revolving Credit Loans of any Revolving Credit Lender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such Revolving Credit Lender’s Applicable Revolving Credit Percentage of the Outstanding Amount of all L/C Obligations shall not exceed such Revolving Credit Lender’s Revolving Credit Commitment. Within the limits of each Revolving Credit Lender’s Revolving Credit Commitment, and subject to the other terms and conditions hereof, the Borrower may borrow under this </w:t>
      </w:r>
      <w:r>
        <w:rPr>
          <w:rFonts w:ascii="Times New Roman" w:cs="Times New Roman" w:eastAsia="Times New Roman" w:hAnsi="Times New Roman"/>
          <w:sz w:val="21"/>
          <w:szCs w:val="21"/>
          <w:u w:val="single" w:color="auto"/>
          <w:color w:val="auto"/>
        </w:rPr>
        <w:t>Section 2.01</w:t>
      </w:r>
      <w:r>
        <w:rPr>
          <w:rFonts w:ascii="Times New Roman" w:cs="Times New Roman" w:eastAsia="Times New Roman" w:hAnsi="Times New Roman"/>
          <w:sz w:val="21"/>
          <w:szCs w:val="21"/>
          <w:color w:val="auto"/>
        </w:rPr>
        <w:t xml:space="preserve">, prepay under </w:t>
      </w:r>
      <w:r>
        <w:rPr>
          <w:rFonts w:ascii="Times New Roman" w:cs="Times New Roman" w:eastAsia="Times New Roman" w:hAnsi="Times New Roman"/>
          <w:sz w:val="21"/>
          <w:szCs w:val="21"/>
          <w:u w:val="single" w:color="auto"/>
          <w:color w:val="auto"/>
        </w:rPr>
        <w:t>Section 2.05</w:t>
      </w:r>
      <w:r>
        <w:rPr>
          <w:rFonts w:ascii="Times New Roman" w:cs="Times New Roman" w:eastAsia="Times New Roman" w:hAnsi="Times New Roman"/>
          <w:sz w:val="21"/>
          <w:szCs w:val="21"/>
          <w:color w:val="auto"/>
        </w:rPr>
        <w:t xml:space="preserve">, and reborrow under this </w:t>
      </w:r>
      <w:r>
        <w:rPr>
          <w:rFonts w:ascii="Times New Roman" w:cs="Times New Roman" w:eastAsia="Times New Roman" w:hAnsi="Times New Roman"/>
          <w:sz w:val="21"/>
          <w:szCs w:val="21"/>
          <w:u w:val="single" w:color="auto"/>
          <w:color w:val="auto"/>
        </w:rPr>
        <w:t>Section 2.01</w:t>
      </w:r>
      <w:r>
        <w:rPr>
          <w:rFonts w:ascii="Times New Roman" w:cs="Times New Roman" w:eastAsia="Times New Roman" w:hAnsi="Times New Roman"/>
          <w:sz w:val="21"/>
          <w:szCs w:val="21"/>
          <w:color w:val="auto"/>
        </w:rPr>
        <w:t>. Revolving Credit Loans (x) denominated in U.S. Dollars may be Base Rate Loans or Term SOFR Loans, (y) denominated in Euros, shall be Eurodollar Rate Loans and (z) denominated in Sterling shall be RFR Loans, in each case, as further provided herein.</w:t>
      </w:r>
    </w:p>
    <w:p>
      <w:pPr>
        <w:spacing w:after="0" w:line="147" w:lineRule="exact"/>
        <w:rPr>
          <w:sz w:val="20"/>
          <w:szCs w:val="20"/>
          <w:color w:val="auto"/>
        </w:rPr>
      </w:pPr>
    </w:p>
    <w:p>
      <w:pPr>
        <w:ind w:left="640" w:right="4760"/>
        <w:spacing w:after="0" w:line="362" w:lineRule="auto"/>
        <w:rPr>
          <w:sz w:val="20"/>
          <w:szCs w:val="20"/>
          <w:color w:val="auto"/>
        </w:rPr>
      </w:pPr>
      <w:r>
        <w:rPr>
          <w:rFonts w:ascii="Times New Roman" w:cs="Times New Roman" w:eastAsia="Times New Roman" w:hAnsi="Times New Roman"/>
          <w:sz w:val="21"/>
          <w:szCs w:val="21"/>
          <w:color w:val="auto"/>
        </w:rPr>
        <w:t xml:space="preserve">Section 2.02 </w:t>
      </w:r>
      <w:r>
        <w:rPr>
          <w:rFonts w:ascii="Times New Roman" w:cs="Times New Roman" w:eastAsia="Times New Roman" w:hAnsi="Times New Roman"/>
          <w:sz w:val="21"/>
          <w:szCs w:val="21"/>
          <w:i w:val="1"/>
          <w:iCs w:val="1"/>
          <w:color w:val="auto"/>
        </w:rPr>
        <w:t>Borrowings, Conversions and Continuations of Loans</w:t>
      </w:r>
      <w:r>
        <w:rPr>
          <w:rFonts w:ascii="Times New Roman" w:cs="Times New Roman" w:eastAsia="Times New Roman" w:hAnsi="Times New Roman"/>
          <w:sz w:val="21"/>
          <w:szCs w:val="21"/>
          <w:color w:val="auto"/>
        </w:rPr>
        <w:t xml:space="preserve"> .</w:t>
      </w:r>
    </w:p>
    <w:p>
      <w:pPr>
        <w:spacing w:after="0" w:line="200" w:lineRule="exact"/>
        <w:rPr>
          <w:sz w:val="20"/>
          <w:szCs w:val="20"/>
          <w:color w:val="auto"/>
        </w:rPr>
      </w:pPr>
    </w:p>
    <w:p>
      <w:pPr>
        <w:spacing w:after="0" w:line="326" w:lineRule="exact"/>
        <w:rPr>
          <w:sz w:val="20"/>
          <w:szCs w:val="20"/>
          <w:color w:val="auto"/>
        </w:rPr>
      </w:pPr>
    </w:p>
    <w:p>
      <w:pPr>
        <w:jc w:val="both"/>
        <w:ind w:firstLine="1278"/>
        <w:spacing w:after="0"/>
        <w:tabs>
          <w:tab w:leader="none" w:pos="1905"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Borrowing, each conversion of Term Loans or Revolving Credit Loans from one Type to the other, and each continuation of Term SOFR Loans, Eurodollar Rate Loans or RFR Loans shall be made upon the Borrower’s irrevocable notice to the Administrative Agent, which may be given by “pdf” or similar electronic format, in the form of a Committed Loan Notice or a Conversion/Continuation Notice, as applicable (each, a “</w:t>
      </w:r>
      <w:r>
        <w:rPr>
          <w:rFonts w:ascii="Times New Roman" w:cs="Times New Roman" w:eastAsia="Times New Roman" w:hAnsi="Times New Roman"/>
          <w:sz w:val="21"/>
          <w:szCs w:val="21"/>
          <w:b w:val="1"/>
          <w:bCs w:val="1"/>
          <w:color w:val="auto"/>
        </w:rPr>
        <w:t>Notice</w:t>
      </w:r>
      <w:r>
        <w:rPr>
          <w:rFonts w:ascii="Times New Roman" w:cs="Times New Roman" w:eastAsia="Times New Roman" w:hAnsi="Times New Roman"/>
          <w:sz w:val="21"/>
          <w:szCs w:val="21"/>
          <w:color w:val="auto"/>
        </w:rPr>
        <w:t>”). Each such Notice must be received by the Administrative Agent not later than (i) 11:00 a.m. three Business Days prior to the requested date of any Borrowing or continuation of Term SOFR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75</w:t>
      </w:r>
    </w:p>
    <w:p>
      <w:pPr>
        <w:sectPr>
          <w:pgSz w:w="11900" w:h="16838" w:orient="portrait"/>
          <w:cols w:equalWidth="0" w:num="1">
            <w:col w:w="11240"/>
          </w:cols>
          <w:pgMar w:left="320" w:top="1398" w:right="339" w:bottom="1440" w:gutter="0" w:footer="0" w:header="0"/>
        </w:sectPr>
      </w:pPr>
    </w:p>
    <w:bookmarkStart w:id="181" w:name="page182"/>
    <w:bookmarkEnd w:id="181"/>
    <w:p>
      <w:pPr>
        <w:jc w:val="both"/>
        <w:spacing w:after="0" w:line="213" w:lineRule="auto"/>
        <w:rPr>
          <w:sz w:val="20"/>
          <w:szCs w:val="20"/>
          <w:color w:val="auto"/>
        </w:rPr>
      </w:pPr>
      <w:r>
        <w:rPr>
          <w:rFonts w:ascii="Times New Roman" w:cs="Times New Roman" w:eastAsia="Times New Roman" w:hAnsi="Times New Roman"/>
          <w:sz w:val="21"/>
          <w:szCs w:val="21"/>
          <w:color w:val="auto"/>
        </w:rPr>
        <w:t xml:space="preserve">Eurodollar Rate Loans or of any conversion of or conversion to Term SOFR Loans or Eurodollar Rate Loans, (ii) 11:00 a.m. five Business Days prior to the requested date of any Borrowing or continuation of RFR Loans, and (iii) 11:00 a.m. on the requested date of any Borrowing of Base Rate Loans. Each Borrowing of, conversion to or continuation of, as applicable, Term SOFR Loans, Eurodollar Rate Loans or RFR Loans shall be in a minimum principal amount of $5,000,000 and whole multiples of $1,000,000 in excess thereof. Except as provided in </w:t>
      </w:r>
      <w:r>
        <w:rPr>
          <w:rFonts w:ascii="Times New Roman" w:cs="Times New Roman" w:eastAsia="Times New Roman" w:hAnsi="Times New Roman"/>
          <w:sz w:val="21"/>
          <w:szCs w:val="21"/>
          <w:u w:val="single" w:color="auto"/>
          <w:color w:val="auto"/>
        </w:rPr>
        <w:t>Section 2.03(c)</w:t>
      </w:r>
      <w:r>
        <w:rPr>
          <w:rFonts w:ascii="Times New Roman" w:cs="Times New Roman" w:eastAsia="Times New Roman" w:hAnsi="Times New Roman"/>
          <w:sz w:val="21"/>
          <w:szCs w:val="21"/>
          <w:color w:val="auto"/>
        </w:rPr>
        <w:t>, each Borrowing of or conversion to Base Rate Loans shall be in a minimum principal amount of $1,000,000 or a whole multiple of $500,000 in excess thereof. Each Notice shall specify, as applicable, (1) whether the Borrower is requesting a Term Borrowing, a Revolving Credit Borrowing, a conversion of Term Loans or Revolving Credit Loans from one Type to the other, or a continuation of Term SOFR Loans or Eurodollar Rate Loans, and in each case, the Class of the relevant Loans and Borrowings, (2) the requested date of the Borrowing, conversion or continuation, as the case may be (which shall be a Business Day), (3) the principal amount of Loans to be borrowed, converted or continued, (4) the Type of Loans to be borrowed or to which existing Term Loans or Revolving Credit Loans are to be converted, (5) if applicable, the duration of the applicable Interest Period with respect thereto and (6) in the case of Revolving Credit Borrowings or Revolving Credit Loans, the currency of the Loans to be borrowed, continued or converted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if the Borrower shall fail to so specify, the applicable Revolving Credit Borrowing shall be denominated in U.S. Dollars). With respect to Loans denominated in U.S. Dollars, if the Borrower fails to specify a Type of Loan in a Committed Loan Notice or if the Borrower fails to give a timely notice requesting a conversion or continuation, then the applicable Loans shall be made as, or converted to, Base Rate Loans. Any such automatic conversion to Base Rate Loans shall be effective as of the last day of the Interest Period then in effect with respect to the applicable Term SOFR Loans. If the Borrower requests a Borrowing of, conversion to, or continuation of Eurodollar Rate Loans or Term SOFR Loans in any such Committed Loan Notice or Conversion/Continuation Notice, as applicable, but fails to specify an Interest Period, it will be deemed to have specified an Interest Period of one month. If the Borrower fails to give a timely notice requesting a continuation of Term SOFR Loans or Eurodollar Rate Loans, then the Interest Period applicable to the Loans will be deemed to be an Interest Period of one month. No Loan may be converted into or continued as a Loan denominated in a different currency, but instead must be repaid or prepaid in the original currency of such Loan and reborrowed in such other currency.</w:t>
      </w:r>
    </w:p>
    <w:p>
      <w:pPr>
        <w:spacing w:after="0" w:line="159" w:lineRule="exact"/>
        <w:rPr>
          <w:sz w:val="20"/>
          <w:szCs w:val="20"/>
          <w:color w:val="auto"/>
        </w:rPr>
      </w:pPr>
    </w:p>
    <w:p>
      <w:pPr>
        <w:jc w:val="both"/>
        <w:ind w:firstLine="1278"/>
        <w:spacing w:after="0" w:line="215" w:lineRule="auto"/>
        <w:tabs>
          <w:tab w:leader="none" w:pos="1903"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Following receipt of a Committed Loan Notice, the Administrative Agent shall promptly notify each Appropriate Lender of the amount of its Applicable Percentage under the applicable Facility of the applicable Term Loans or Revolving Credit Loans, and if no timely notice of a conversion or continuation is provided by the Borrower, the Administrative Agent shall notify each Lender of the details of any automatic conversion to Base Rate Loans described in </w:t>
      </w:r>
      <w:r>
        <w:rPr>
          <w:rFonts w:ascii="Times New Roman" w:cs="Times New Roman" w:eastAsia="Times New Roman" w:hAnsi="Times New Roman"/>
          <w:sz w:val="21"/>
          <w:szCs w:val="21"/>
          <w:u w:val="single" w:color="auto"/>
          <w:color w:val="auto"/>
        </w:rPr>
        <w:t>Section 2.02(a)</w:t>
      </w:r>
      <w:r>
        <w:rPr>
          <w:rFonts w:ascii="Times New Roman" w:cs="Times New Roman" w:eastAsia="Times New Roman" w:hAnsi="Times New Roman"/>
          <w:sz w:val="21"/>
          <w:szCs w:val="21"/>
          <w:color w:val="auto"/>
        </w:rPr>
        <w:t xml:space="preserve">. In the case of a Borrowing, each Appropriate Lender shall make the amount of its Loan available to the Administrative Agent in Same Day Funds at the Administrative Agent’s Office not later than 12:00 p.m., in the case of any Term SOFR Loan, Eurodollar Rate Loan, RFR Loan or Base Rate Loan on the Business Day specified in the applicable Committed Loan Notice. Upon satisfaction of the applicable conditions set forth in </w:t>
      </w:r>
      <w:r>
        <w:rPr>
          <w:rFonts w:ascii="Times New Roman" w:cs="Times New Roman" w:eastAsia="Times New Roman" w:hAnsi="Times New Roman"/>
          <w:sz w:val="21"/>
          <w:szCs w:val="21"/>
          <w:u w:val="single" w:color="auto"/>
          <w:color w:val="auto"/>
        </w:rPr>
        <w:t>Section 4.02</w:t>
      </w:r>
      <w:r>
        <w:rPr>
          <w:rFonts w:ascii="Times New Roman" w:cs="Times New Roman" w:eastAsia="Times New Roman" w:hAnsi="Times New Roman"/>
          <w:sz w:val="21"/>
          <w:szCs w:val="21"/>
          <w:color w:val="auto"/>
        </w:rPr>
        <w:t xml:space="preserve"> (or, if such Borrowing is to be made on the Closing Date, </w:t>
      </w:r>
      <w:r>
        <w:rPr>
          <w:rFonts w:ascii="Times New Roman" w:cs="Times New Roman" w:eastAsia="Times New Roman" w:hAnsi="Times New Roman"/>
          <w:sz w:val="21"/>
          <w:szCs w:val="21"/>
          <w:u w:val="single" w:color="auto"/>
          <w:color w:val="auto"/>
        </w:rPr>
        <w:t>Section 4.01</w:t>
      </w:r>
      <w:r>
        <w:rPr>
          <w:rFonts w:ascii="Times New Roman" w:cs="Times New Roman" w:eastAsia="Times New Roman" w:hAnsi="Times New Roman"/>
          <w:sz w:val="21"/>
          <w:szCs w:val="21"/>
          <w:color w:val="auto"/>
        </w:rPr>
        <w:t xml:space="preserve">), the Administrative Agent shall make all funds so received available to the Borrower in like funds as received by the Administrative Agent by wire transfer of such funds in accordance with instructions provided to (and reasonably acceptable to) the Administrative Agent by the Borrower;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if, on the date a Committed Loan Notice with respect to a Revolving Credit Borrowing is given by the Borrower, there are L/C Borrowings outstanding, then the proceeds of such Revolving Credit Borrowing, first, shall be applied to the payment in full of any such L/C Borrowings, and second, shall be made available to the Borrower as provided above.</w:t>
      </w:r>
    </w:p>
    <w:p>
      <w:pPr>
        <w:spacing w:after="0" w:line="151" w:lineRule="exact"/>
        <w:rPr>
          <w:rFonts w:ascii="Times New Roman" w:cs="Times New Roman" w:eastAsia="Times New Roman" w:hAnsi="Times New Roman"/>
          <w:sz w:val="21"/>
          <w:szCs w:val="21"/>
          <w:color w:val="auto"/>
        </w:rPr>
      </w:pPr>
    </w:p>
    <w:p>
      <w:pPr>
        <w:ind w:firstLine="1278"/>
        <w:spacing w:after="0" w:line="245" w:lineRule="auto"/>
        <w:tabs>
          <w:tab w:leader="none" w:pos="1905"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otherwise provided herein, a Eurodollar Rate Loan may be continued or converted or a Term SOFR Loan may be continued or converted, in each case,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76</w:t>
      </w:r>
    </w:p>
    <w:p>
      <w:pPr>
        <w:sectPr>
          <w:pgSz w:w="11900" w:h="16838" w:orient="portrait"/>
          <w:cols w:equalWidth="0" w:num="1">
            <w:col w:w="11240"/>
          </w:cols>
          <w:pgMar w:left="320" w:top="1371" w:right="339" w:bottom="1440" w:gutter="0" w:footer="0" w:header="0"/>
        </w:sectPr>
      </w:pPr>
    </w:p>
    <w:bookmarkStart w:id="182" w:name="page183"/>
    <w:bookmarkEnd w:id="182"/>
    <w:p>
      <w:pPr>
        <w:jc w:val="both"/>
        <w:spacing w:after="0" w:line="232" w:lineRule="auto"/>
        <w:rPr>
          <w:sz w:val="20"/>
          <w:szCs w:val="20"/>
          <w:color w:val="auto"/>
        </w:rPr>
      </w:pPr>
      <w:r>
        <w:rPr>
          <w:rFonts w:ascii="Times New Roman" w:cs="Times New Roman" w:eastAsia="Times New Roman" w:hAnsi="Times New Roman"/>
          <w:sz w:val="21"/>
          <w:szCs w:val="21"/>
          <w:color w:val="auto"/>
        </w:rPr>
        <w:t>on the last day of an Interest Period for such Eurodollar Rate Loan or such Term SOFR Loan, as applicable. During the existence of an Event of Default, no Loans may be requested as, converted to or continued as Term SOFR Loans or Eurodollar Rate Loans without the consent of the Required Facility Lenders with respect to the relevant Facility.</w:t>
      </w:r>
    </w:p>
    <w:p>
      <w:pPr>
        <w:spacing w:after="0" w:line="148" w:lineRule="exact"/>
        <w:rPr>
          <w:sz w:val="20"/>
          <w:szCs w:val="20"/>
          <w:color w:val="auto"/>
        </w:rPr>
      </w:pPr>
    </w:p>
    <w:p>
      <w:pPr>
        <w:jc w:val="both"/>
        <w:ind w:firstLine="1278"/>
        <w:spacing w:after="0" w:line="226" w:lineRule="auto"/>
        <w:tabs>
          <w:tab w:leader="none" w:pos="1903"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shall promptly notify the Borrower and the Lenders of the interest rate applicable to any Interest Period for Term SOFR Loans or Eurodollar Rate Loans upon determination of such interest rate. At any time that Base Rate Loans are outstanding, the Administrative Agent shall notify the Borrower and the Lenders of any change in the Prime Rate used in determining the Base Rate promptly following the public announcement of such change.</w:t>
      </w:r>
    </w:p>
    <w:p>
      <w:pPr>
        <w:spacing w:after="0" w:line="150" w:lineRule="exact"/>
        <w:rPr>
          <w:rFonts w:ascii="Times New Roman" w:cs="Times New Roman" w:eastAsia="Times New Roman" w:hAnsi="Times New Roman"/>
          <w:sz w:val="21"/>
          <w:szCs w:val="21"/>
          <w:color w:val="auto"/>
        </w:rPr>
      </w:pPr>
    </w:p>
    <w:p>
      <w:pPr>
        <w:ind w:firstLine="1278"/>
        <w:spacing w:after="0" w:line="245" w:lineRule="auto"/>
        <w:tabs>
          <w:tab w:leader="none" w:pos="1905"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After giving effect to all Borrowings, all conversions of Loans from one Type to the other, and all continuations of Loans as the same Type, there shall not be more than ten (10) Interest Periods in effect at any one time.</w:t>
      </w:r>
    </w:p>
    <w:p>
      <w:pPr>
        <w:spacing w:after="0" w:line="141"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2.03</w:t>
      </w:r>
      <w:r>
        <w:rPr>
          <w:sz w:val="20"/>
          <w:szCs w:val="20"/>
          <w:color w:val="auto"/>
        </w:rPr>
        <w:tab/>
      </w:r>
      <w:r>
        <w:rPr>
          <w:rFonts w:ascii="Times New Roman" w:cs="Times New Roman" w:eastAsia="Times New Roman" w:hAnsi="Times New Roman"/>
          <w:sz w:val="20"/>
          <w:szCs w:val="20"/>
          <w:i w:val="1"/>
          <w:iCs w:val="1"/>
          <w:color w:val="auto"/>
        </w:rPr>
        <w:t>Letters of Credit.</w:t>
      </w:r>
    </w:p>
    <w:p>
      <w:pPr>
        <w:spacing w:after="0" w:line="183" w:lineRule="exact"/>
        <w:rPr>
          <w:sz w:val="20"/>
          <w:szCs w:val="20"/>
          <w:color w:val="auto"/>
        </w:rPr>
      </w:pPr>
    </w:p>
    <w:p>
      <w:pPr>
        <w:ind w:left="1920" w:hanging="642"/>
        <w:spacing w:after="0"/>
        <w:tabs>
          <w:tab w:leader="none" w:pos="1920" w:val="left"/>
        </w:tabs>
        <w:numPr>
          <w:ilvl w:val="0"/>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The Letter of Credit Commitment</w:t>
      </w:r>
      <w:r>
        <w:rPr>
          <w:rFonts w:ascii="Times New Roman" w:cs="Times New Roman" w:eastAsia="Times New Roman" w:hAnsi="Times New Roman"/>
          <w:sz w:val="21"/>
          <w:szCs w:val="21"/>
          <w:color w:val="auto"/>
        </w:rPr>
        <w:t>.</w:t>
      </w:r>
    </w:p>
    <w:p>
      <w:pPr>
        <w:spacing w:after="0" w:line="184" w:lineRule="exact"/>
        <w:rPr>
          <w:rFonts w:ascii="Times New Roman" w:cs="Times New Roman" w:eastAsia="Times New Roman" w:hAnsi="Times New Roman"/>
          <w:sz w:val="21"/>
          <w:szCs w:val="21"/>
          <w:color w:val="auto"/>
        </w:rPr>
      </w:pPr>
    </w:p>
    <w:p>
      <w:pPr>
        <w:jc w:val="both"/>
        <w:ind w:left="640" w:firstLine="1274"/>
        <w:spacing w:after="0" w:line="223" w:lineRule="auto"/>
        <w:tabs>
          <w:tab w:leader="none" w:pos="2536" w:val="left"/>
        </w:tabs>
        <w:numPr>
          <w:ilvl w:val="1"/>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the terms and conditions set forth herein, (A) each L/C Issuer agrees, in reliance upon (among other things) the agreements of the Revolving Credit Lenders set forth in this </w:t>
      </w:r>
      <w:r>
        <w:rPr>
          <w:rFonts w:ascii="Times New Roman" w:cs="Times New Roman" w:eastAsia="Times New Roman" w:hAnsi="Times New Roman"/>
          <w:sz w:val="21"/>
          <w:szCs w:val="21"/>
          <w:u w:val="single" w:color="auto"/>
          <w:color w:val="auto"/>
        </w:rPr>
        <w:t>Section 2.03</w:t>
      </w:r>
      <w:r>
        <w:rPr>
          <w:rFonts w:ascii="Times New Roman" w:cs="Times New Roman" w:eastAsia="Times New Roman" w:hAnsi="Times New Roman"/>
          <w:sz w:val="21"/>
          <w:szCs w:val="21"/>
          <w:color w:val="auto"/>
        </w:rPr>
        <w:t xml:space="preserve">, (1) from time to time on any Business Day during the period from the Closing Date until the Letter of Credit Expiration Date, to issue Letters of Credit denominated in U.S. Dollars or, if the applicable L/C Issuer shall agree, in one or more Alternative Currencies for the account of the Borrower (or any of its Restricted Subsidiaries (i) so long as (x) the Borrower is a joint and several co-applicant and (y) the applicable L/C Issuer shall have received all documentation and other information with respect to such Restricted Subsidiary that such L/C Issuer reasonably determines is necessary in order to allow such L/C Issuer to comply with applicable “know your customer” and anti-money laundering rules and regulations, including the Act and (ii) references to the “Borrower” in this </w:t>
      </w:r>
      <w:r>
        <w:rPr>
          <w:rFonts w:ascii="Times New Roman" w:cs="Times New Roman" w:eastAsia="Times New Roman" w:hAnsi="Times New Roman"/>
          <w:sz w:val="21"/>
          <w:szCs w:val="21"/>
          <w:u w:val="single" w:color="auto"/>
          <w:color w:val="auto"/>
        </w:rPr>
        <w:t>Section 2.03</w:t>
      </w:r>
      <w:r>
        <w:rPr>
          <w:rFonts w:ascii="Times New Roman" w:cs="Times New Roman" w:eastAsia="Times New Roman" w:hAnsi="Times New Roman"/>
          <w:sz w:val="21"/>
          <w:szCs w:val="21"/>
          <w:color w:val="auto"/>
        </w:rPr>
        <w:t xml:space="preserve"> and elsewhere in this Agreement with respect to requests for Letters of Credit (including extensions or continuations thereof) shall be deemed to include any such Restricted Subsidiary), and to amend or extend Letters of Credit previously issued by it, in accordance with </w:t>
      </w:r>
      <w:r>
        <w:rPr>
          <w:rFonts w:ascii="Times New Roman" w:cs="Times New Roman" w:eastAsia="Times New Roman" w:hAnsi="Times New Roman"/>
          <w:sz w:val="21"/>
          <w:szCs w:val="21"/>
          <w:u w:val="single" w:color="auto"/>
          <w:color w:val="auto"/>
        </w:rPr>
        <w:t>Section 2.03(b)</w:t>
      </w:r>
      <w:r>
        <w:rPr>
          <w:rFonts w:ascii="Times New Roman" w:cs="Times New Roman" w:eastAsia="Times New Roman" w:hAnsi="Times New Roman"/>
          <w:sz w:val="21"/>
          <w:szCs w:val="21"/>
          <w:color w:val="auto"/>
        </w:rPr>
        <w:t xml:space="preserve">, and (2) to honor drawings under the Letters of Credit issued by it; and (B) the Revolving Credit Lenders severally agree to participate in Letters of Credit issued for the account of the Borrower and any drawings thereunder;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after giving effect to any L/C Credit Extension with respect to any Letter of Credit, (w) the Total Revolving Credit Outstandings shall not exceed the aggregate amount of the Revolving Credit Lenders’ Revolving Credit Commitments at such time, (x) the aggregate Outstanding Amount of the Revolving Credit Loans of any Revolving Credit Lender,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such Revolving Credit Lender’s Applicable Revolving Credit Percentage of the Outstanding Amount of all L/C Obligations shall not exceed such Revolving Credit Lender’s Revolving Credit Commitment, (y) the Outstanding Amount of the L/C Obligations shall not exceed the Letter of Credit Sublimit and (z) the aggregate amount of L/C Obligations owing to an L/C Issuer shall not exceed the amount set forth opposite such L/C Issuer’s name on </w:t>
      </w:r>
      <w:r>
        <w:rPr>
          <w:rFonts w:ascii="Times New Roman" w:cs="Times New Roman" w:eastAsia="Times New Roman" w:hAnsi="Times New Roman"/>
          <w:sz w:val="21"/>
          <w:szCs w:val="21"/>
          <w:u w:val="single" w:color="auto"/>
          <w:color w:val="auto"/>
        </w:rPr>
        <w:t>Schedule 2.01</w:t>
      </w:r>
      <w:r>
        <w:rPr>
          <w:rFonts w:ascii="Times New Roman" w:cs="Times New Roman" w:eastAsia="Times New Roman" w:hAnsi="Times New Roman"/>
          <w:sz w:val="21"/>
          <w:szCs w:val="21"/>
          <w:color w:val="auto"/>
        </w:rPr>
        <w:t xml:space="preserve"> (as such Schedule may be amended with the consent of each affected L/C Issuer and the Borrower from time to time) under the caption “Letter of Credit Commitments” and no L/C Issuer shall be required to issue Letters of Credit in excess of its applicable amount so set forth;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it is understood and agreed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77</w:t>
      </w:r>
    </w:p>
    <w:p>
      <w:pPr>
        <w:sectPr>
          <w:pgSz w:w="11900" w:h="16838" w:orient="portrait"/>
          <w:cols w:equalWidth="0" w:num="1">
            <w:col w:w="11240"/>
          </w:cols>
          <w:pgMar w:left="320" w:top="1371" w:right="339" w:bottom="1440" w:gutter="0" w:footer="0" w:header="0"/>
        </w:sectPr>
      </w:pPr>
    </w:p>
    <w:bookmarkStart w:id="183" w:name="page184"/>
    <w:bookmarkEnd w:id="183"/>
    <w:p>
      <w:pPr>
        <w:jc w:val="both"/>
        <w:spacing w:after="0" w:line="218" w:lineRule="auto"/>
        <w:rPr>
          <w:sz w:val="20"/>
          <w:szCs w:val="20"/>
          <w:color w:val="auto"/>
        </w:rPr>
      </w:pPr>
      <w:r>
        <w:rPr>
          <w:rFonts w:ascii="Times New Roman" w:cs="Times New Roman" w:eastAsia="Times New Roman" w:hAnsi="Times New Roman"/>
          <w:sz w:val="21"/>
          <w:szCs w:val="21"/>
          <w:color w:val="auto"/>
        </w:rPr>
        <w:t xml:space="preserve">each L/C Issuer may, in its sole discretion, make L/C Credit Extensions in an aggregate amount above its respective share of the Letter of Credit Sublimit; and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xml:space="preserve"> that the issuance of any Bank Guarantee hereunder shall be in the sole discretion of each Bank Guarantee Issuer. Each request by the Borrower for the issuance or amendment of a Letter of Credit shall be deemed to be a representation by the Borrower that the L/C Credit Extension so requested complies with the conditions set forth in the proviso to the preceding sentence. Within the foregoing limits, and subject to the terms and conditions hereof, the Borrower’s ability to obtain Letters of Credit shall be fully revolving, and accordingly the Borrower may, during the foregoing period, obtain Letters of Credit to replace Letters of Credit that have expired or that have been drawn upon and reimbursed.</w:t>
      </w:r>
    </w:p>
    <w:p>
      <w:pPr>
        <w:spacing w:after="0" w:line="153" w:lineRule="exact"/>
        <w:rPr>
          <w:sz w:val="20"/>
          <w:szCs w:val="20"/>
          <w:color w:val="auto"/>
        </w:rPr>
      </w:pPr>
    </w:p>
    <w:p>
      <w:pPr>
        <w:ind w:left="1900" w:hanging="626"/>
        <w:spacing w:after="0"/>
        <w:tabs>
          <w:tab w:leader="none" w:pos="1900"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L/C Issuer shall issue any Letter of Credit if:</w:t>
      </w:r>
    </w:p>
    <w:p>
      <w:pPr>
        <w:spacing w:after="0" w:line="182" w:lineRule="exact"/>
        <w:rPr>
          <w:rFonts w:ascii="Times New Roman" w:cs="Times New Roman" w:eastAsia="Times New Roman" w:hAnsi="Times New Roman"/>
          <w:sz w:val="21"/>
          <w:szCs w:val="21"/>
          <w:color w:val="auto"/>
        </w:rPr>
      </w:pPr>
    </w:p>
    <w:p>
      <w:pPr>
        <w:jc w:val="both"/>
        <w:ind w:left="640" w:firstLine="1143"/>
        <w:spacing w:after="0" w:line="232" w:lineRule="auto"/>
        <w:tabs>
          <w:tab w:leader="none" w:pos="2544" w:val="left"/>
        </w:tabs>
        <w:numPr>
          <w:ilvl w:val="1"/>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 xml:space="preserve">subject to </w:t>
      </w:r>
      <w:r>
        <w:rPr>
          <w:rFonts w:ascii="Times New Roman" w:cs="Times New Roman" w:eastAsia="Times New Roman" w:hAnsi="Times New Roman"/>
          <w:sz w:val="21"/>
          <w:szCs w:val="21"/>
          <w:u w:val="single" w:color="auto"/>
          <w:color w:val="auto"/>
        </w:rPr>
        <w:t>Section 2.03(b)(iii)</w:t>
      </w:r>
      <w:r>
        <w:rPr>
          <w:rFonts w:ascii="Times New Roman" w:cs="Times New Roman" w:eastAsia="Times New Roman" w:hAnsi="Times New Roman"/>
          <w:sz w:val="21"/>
          <w:szCs w:val="21"/>
          <w:color w:val="auto"/>
        </w:rPr>
        <w:t>, the expiry date of such requested Letter of Credit would occur more than twelve months after the date of issuance or last extension thereof, unless the Required Revolving Credit Lenders have approved such expiry date; or</w:t>
      </w:r>
    </w:p>
    <w:p>
      <w:pPr>
        <w:spacing w:after="0" w:line="147" w:lineRule="exact"/>
        <w:rPr>
          <w:rFonts w:ascii="Times New Roman" w:cs="Times New Roman" w:eastAsia="Times New Roman" w:hAnsi="Times New Roman"/>
          <w:sz w:val="19"/>
          <w:szCs w:val="19"/>
          <w:color w:val="auto"/>
        </w:rPr>
      </w:pPr>
    </w:p>
    <w:p>
      <w:pPr>
        <w:jc w:val="both"/>
        <w:ind w:left="640" w:firstLine="1143"/>
        <w:spacing w:after="0" w:line="232" w:lineRule="auto"/>
        <w:tabs>
          <w:tab w:leader="none" w:pos="2547" w:val="left"/>
        </w:tabs>
        <w:numPr>
          <w:ilvl w:val="1"/>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the expiry date of such requested Letter of Credit would occur after the Letter of Credit Expiration Date, unless such Letter of Credit is Cash Collateralized no less than fifteen (15) days prior to the Letter of Credit Expiration Date at 105% of the face amount thereof.</w:t>
      </w:r>
    </w:p>
    <w:p>
      <w:pPr>
        <w:spacing w:after="0" w:line="147" w:lineRule="exact"/>
        <w:rPr>
          <w:rFonts w:ascii="Times New Roman" w:cs="Times New Roman" w:eastAsia="Times New Roman" w:hAnsi="Times New Roman"/>
          <w:sz w:val="19"/>
          <w:szCs w:val="19"/>
          <w:color w:val="auto"/>
        </w:rPr>
      </w:pPr>
    </w:p>
    <w:p>
      <w:pPr>
        <w:ind w:left="1900" w:hanging="626"/>
        <w:spacing w:after="0"/>
        <w:tabs>
          <w:tab w:leader="none" w:pos="1900"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L/C Issuer shall be under any obligation to issue any Letter of Credit if:</w:t>
      </w:r>
    </w:p>
    <w:p>
      <w:pPr>
        <w:spacing w:after="0" w:line="182" w:lineRule="exact"/>
        <w:rPr>
          <w:rFonts w:ascii="Times New Roman" w:cs="Times New Roman" w:eastAsia="Times New Roman" w:hAnsi="Times New Roman"/>
          <w:sz w:val="21"/>
          <w:szCs w:val="21"/>
          <w:color w:val="auto"/>
        </w:rPr>
      </w:pPr>
    </w:p>
    <w:p>
      <w:pPr>
        <w:jc w:val="both"/>
        <w:ind w:left="640" w:firstLine="1143"/>
        <w:spacing w:after="0" w:line="218" w:lineRule="auto"/>
        <w:tabs>
          <w:tab w:leader="none" w:pos="2544" w:val="left"/>
        </w:tabs>
        <w:numPr>
          <w:ilvl w:val="1"/>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any order, judgment or decree of any Governmental Authority or arbitrator shall by its terms purport to enjoin or restrain such L/C Issuer from issuing such Letter of Credit, or any Law applicable to such L/C Issuer or any request or directive (whether or not having the force of law) from any Governmental Authority with jurisdiction over such L/C Issuer shall prohibit, or request that such L/C Issuer refrain from, the issuance of letters of credit generally or such Letter of Credit in particular or shall impose upon such L/C Issuer with respect to such Letter of Credit any restriction, reserve or capital requirement (for which such L/C Issuer is not otherwise compensated hereunder) not in effect on the Closing Date, or shall impose upon such L/C Issuer any unreimbursed loss, cost or expense which was not applicable on the Closing Date and which such L/C Issuer in good faith deems material to it;</w:t>
      </w:r>
    </w:p>
    <w:p>
      <w:pPr>
        <w:spacing w:after="0" w:line="153" w:lineRule="exact"/>
        <w:rPr>
          <w:rFonts w:ascii="Times New Roman" w:cs="Times New Roman" w:eastAsia="Times New Roman" w:hAnsi="Times New Roman"/>
          <w:sz w:val="19"/>
          <w:szCs w:val="19"/>
          <w:color w:val="auto"/>
        </w:rPr>
      </w:pPr>
    </w:p>
    <w:p>
      <w:pPr>
        <w:ind w:left="640" w:firstLine="1143"/>
        <w:spacing w:after="0" w:line="245" w:lineRule="auto"/>
        <w:tabs>
          <w:tab w:leader="none" w:pos="2547" w:val="left"/>
        </w:tabs>
        <w:numPr>
          <w:ilvl w:val="1"/>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the issuance of such Letter of Credit would violate one or more policies of such L/C Issuer applicable to letters of credit generally;</w:t>
      </w:r>
    </w:p>
    <w:p>
      <w:pPr>
        <w:spacing w:after="0" w:line="142" w:lineRule="exact"/>
        <w:rPr>
          <w:rFonts w:ascii="Times New Roman" w:cs="Times New Roman" w:eastAsia="Times New Roman" w:hAnsi="Times New Roman"/>
          <w:sz w:val="19"/>
          <w:szCs w:val="19"/>
          <w:color w:val="auto"/>
        </w:rPr>
      </w:pPr>
    </w:p>
    <w:p>
      <w:pPr>
        <w:ind w:left="640" w:firstLine="1143"/>
        <w:spacing w:after="0" w:line="245" w:lineRule="auto"/>
        <w:tabs>
          <w:tab w:leader="none" w:pos="2547" w:val="left"/>
        </w:tabs>
        <w:numPr>
          <w:ilvl w:val="1"/>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except as otherwise agreed by the Administrative Agent and such L/C Issuer, such Letter of Credit is in an initial amount less than $100,000;</w:t>
      </w:r>
    </w:p>
    <w:p>
      <w:pPr>
        <w:spacing w:after="0" w:line="142" w:lineRule="exact"/>
        <w:rPr>
          <w:rFonts w:ascii="Times New Roman" w:cs="Times New Roman" w:eastAsia="Times New Roman" w:hAnsi="Times New Roman"/>
          <w:sz w:val="19"/>
          <w:szCs w:val="19"/>
          <w:color w:val="auto"/>
        </w:rPr>
      </w:pPr>
    </w:p>
    <w:p>
      <w:pPr>
        <w:ind w:left="640" w:firstLine="1143"/>
        <w:spacing w:after="0" w:line="245" w:lineRule="auto"/>
        <w:tabs>
          <w:tab w:leader="none" w:pos="2544" w:val="left"/>
        </w:tabs>
        <w:numPr>
          <w:ilvl w:val="1"/>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except as otherwise agreed by such L/C Issuer, such Letter of Credit is to be denominated in a currency other than U.S. Dollars or an Alternative Currency; or</w:t>
      </w:r>
    </w:p>
    <w:p>
      <w:pPr>
        <w:spacing w:after="0" w:line="142" w:lineRule="exact"/>
        <w:rPr>
          <w:rFonts w:ascii="Times New Roman" w:cs="Times New Roman" w:eastAsia="Times New Roman" w:hAnsi="Times New Roman"/>
          <w:sz w:val="19"/>
          <w:szCs w:val="19"/>
          <w:color w:val="auto"/>
        </w:rPr>
      </w:pPr>
    </w:p>
    <w:p>
      <w:pPr>
        <w:jc w:val="both"/>
        <w:ind w:left="640" w:firstLine="1143"/>
        <w:spacing w:after="0" w:line="232" w:lineRule="auto"/>
        <w:tabs>
          <w:tab w:leader="none" w:pos="2762" w:val="left"/>
        </w:tabs>
        <w:numPr>
          <w:ilvl w:val="1"/>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any Revolving Credit Lender is at that time a Defaulting Lender, unless such L/C Issuer has entered into arrangements, including the delivery of Cash Collateral, satisfactory to such L/C Issuer (in its sole discretion) with the Borrower or such Revolving Credit Lender to eliminate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1"/>
          <w:szCs w:val="21"/>
          <w:color w:val="auto"/>
        </w:rPr>
        <w:t>78</w:t>
      </w:r>
    </w:p>
    <w:p>
      <w:pPr>
        <w:sectPr>
          <w:pgSz w:w="11900" w:h="16838" w:orient="portrait"/>
          <w:cols w:equalWidth="0" w:num="1">
            <w:col w:w="10600"/>
          </w:cols>
          <w:pgMar w:left="960" w:top="1371" w:right="339" w:bottom="1440" w:gutter="0" w:footer="0" w:header="0"/>
        </w:sectPr>
      </w:pPr>
    </w:p>
    <w:bookmarkStart w:id="184" w:name="page185"/>
    <w:bookmarkEnd w:id="184"/>
    <w:p>
      <w:pPr>
        <w:jc w:val="both"/>
        <w:ind w:left="1280"/>
        <w:spacing w:after="0" w:line="226" w:lineRule="auto"/>
        <w:rPr>
          <w:sz w:val="20"/>
          <w:szCs w:val="20"/>
          <w:color w:val="auto"/>
        </w:rPr>
      </w:pPr>
      <w:r>
        <w:rPr>
          <w:rFonts w:ascii="Times New Roman" w:cs="Times New Roman" w:eastAsia="Times New Roman" w:hAnsi="Times New Roman"/>
          <w:sz w:val="21"/>
          <w:szCs w:val="21"/>
          <w:color w:val="auto"/>
        </w:rPr>
        <w:t xml:space="preserve">such L/C Issuer’s actual or potential Fronting Exposure (after giving effect to any required adjustment pursuant to </w:t>
      </w:r>
      <w:r>
        <w:rPr>
          <w:rFonts w:ascii="Times New Roman" w:cs="Times New Roman" w:eastAsia="Times New Roman" w:hAnsi="Times New Roman"/>
          <w:sz w:val="21"/>
          <w:szCs w:val="21"/>
          <w:u w:val="single" w:color="auto"/>
          <w:color w:val="auto"/>
        </w:rPr>
        <w:t>Section 2.16(a)(iv)</w:t>
      </w:r>
      <w:r>
        <w:rPr>
          <w:rFonts w:ascii="Times New Roman" w:cs="Times New Roman" w:eastAsia="Times New Roman" w:hAnsi="Times New Roman"/>
          <w:sz w:val="21"/>
          <w:szCs w:val="21"/>
          <w:color w:val="auto"/>
        </w:rPr>
        <w:t>) with respect to the Defaulting Lender arising from the Letter of Credit then proposed to be issued and all other L/C Obligations as to which such L/C Issuer has actual or potential Fronting Exposure, as it may elect in its sole discretion.</w:t>
      </w:r>
    </w:p>
    <w:p>
      <w:pPr>
        <w:spacing w:after="0" w:line="150" w:lineRule="exact"/>
        <w:rPr>
          <w:sz w:val="20"/>
          <w:szCs w:val="20"/>
          <w:color w:val="auto"/>
        </w:rPr>
      </w:pPr>
    </w:p>
    <w:p>
      <w:pPr>
        <w:ind w:left="640" w:firstLine="1274"/>
        <w:spacing w:after="0" w:line="245" w:lineRule="auto"/>
        <w:tabs>
          <w:tab w:leader="none" w:pos="2536" w:val="left"/>
        </w:tabs>
        <w:numPr>
          <w:ilvl w:val="2"/>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L/C Issuer shall amend any Letter of Credit if such L/C Issuer would not be permitted at such time to issue such Letter of Credit in its amended form under the terms hereof.</w:t>
      </w:r>
    </w:p>
    <w:p>
      <w:pPr>
        <w:spacing w:after="0" w:line="142" w:lineRule="exact"/>
        <w:rPr>
          <w:rFonts w:ascii="Times New Roman" w:cs="Times New Roman" w:eastAsia="Times New Roman" w:hAnsi="Times New Roman"/>
          <w:sz w:val="21"/>
          <w:szCs w:val="21"/>
          <w:color w:val="auto"/>
        </w:rPr>
      </w:pPr>
    </w:p>
    <w:p>
      <w:pPr>
        <w:jc w:val="both"/>
        <w:ind w:left="640" w:firstLine="1274"/>
        <w:spacing w:after="0" w:line="232" w:lineRule="auto"/>
        <w:tabs>
          <w:tab w:leader="none" w:pos="2543" w:val="left"/>
        </w:tabs>
        <w:numPr>
          <w:ilvl w:val="2"/>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L/C Issuer shall be under any obligation to amend any Letter of Credit if (A) such L/C Issuer would have no obligation at such time to issue such Letter of Credit in its amended form under the terms hereof, or (B) the beneficiary of such Letter of Credit does not accept the proposed amendment to such Letter of Credit.</w:t>
      </w:r>
    </w:p>
    <w:p>
      <w:pPr>
        <w:spacing w:after="0" w:line="147" w:lineRule="exact"/>
        <w:rPr>
          <w:rFonts w:ascii="Times New Roman" w:cs="Times New Roman" w:eastAsia="Times New Roman" w:hAnsi="Times New Roman"/>
          <w:sz w:val="21"/>
          <w:szCs w:val="21"/>
          <w:color w:val="auto"/>
        </w:rPr>
      </w:pPr>
    </w:p>
    <w:p>
      <w:pPr>
        <w:jc w:val="both"/>
        <w:ind w:left="640" w:firstLine="1274"/>
        <w:spacing w:after="0" w:line="222" w:lineRule="auto"/>
        <w:tabs>
          <w:tab w:leader="none" w:pos="2536" w:val="left"/>
        </w:tabs>
        <w:numPr>
          <w:ilvl w:val="2"/>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L/C Issuer shall act on behalf of the Revolving Credit Lenders with respect to any Letters of Credit issued by it and the documents associated therewith, and each L/C Issuer shall have all of the benefits and immunities</w:t>
      </w:r>
    </w:p>
    <w:p>
      <w:pPr>
        <w:spacing w:after="0" w:line="1" w:lineRule="exact"/>
        <w:rPr>
          <w:rFonts w:ascii="Times New Roman" w:cs="Times New Roman" w:eastAsia="Times New Roman" w:hAnsi="Times New Roman"/>
          <w:sz w:val="21"/>
          <w:szCs w:val="21"/>
          <w:color w:val="auto"/>
        </w:rPr>
      </w:pPr>
    </w:p>
    <w:p>
      <w:pPr>
        <w:jc w:val="both"/>
        <w:ind w:left="640" w:firstLine="2"/>
        <w:spacing w:after="0" w:line="216" w:lineRule="auto"/>
        <w:tabs>
          <w:tab w:leader="none" w:pos="989" w:val="left"/>
        </w:tabs>
        <w:numPr>
          <w:ilvl w:val="0"/>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provided to the Administrative Agent in </w:t>
      </w:r>
      <w:r>
        <w:rPr>
          <w:rFonts w:ascii="Times New Roman" w:cs="Times New Roman" w:eastAsia="Times New Roman" w:hAnsi="Times New Roman"/>
          <w:sz w:val="21"/>
          <w:szCs w:val="21"/>
          <w:u w:val="single" w:color="auto"/>
          <w:color w:val="auto"/>
        </w:rPr>
        <w:t>Article 9</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10.4(c)</w:t>
      </w:r>
      <w:r>
        <w:rPr>
          <w:rFonts w:ascii="Times New Roman" w:cs="Times New Roman" w:eastAsia="Times New Roman" w:hAnsi="Times New Roman"/>
          <w:sz w:val="21"/>
          <w:szCs w:val="21"/>
          <w:color w:val="auto"/>
        </w:rPr>
        <w:t xml:space="preserve"> hereof with respect to any acts taken or omissions suffered by such L/C Issuer in connection with Letters of Credit issued by it or proposed to be issued by it and the Issuer Documents pertaining to such Letters of Credit as fully as if the term “</w:t>
      </w:r>
      <w:r>
        <w:rPr>
          <w:rFonts w:ascii="Times New Roman" w:cs="Times New Roman" w:eastAsia="Times New Roman" w:hAnsi="Times New Roman"/>
          <w:sz w:val="21"/>
          <w:szCs w:val="21"/>
          <w:b w:val="1"/>
          <w:bCs w:val="1"/>
          <w:color w:val="auto"/>
        </w:rPr>
        <w:t>Administrative Agent</w:t>
      </w:r>
      <w:r>
        <w:rPr>
          <w:rFonts w:ascii="Times New Roman" w:cs="Times New Roman" w:eastAsia="Times New Roman" w:hAnsi="Times New Roman"/>
          <w:sz w:val="21"/>
          <w:szCs w:val="21"/>
          <w:color w:val="auto"/>
        </w:rPr>
        <w:t xml:space="preserve">” as used in </w:t>
      </w:r>
      <w:r>
        <w:rPr>
          <w:rFonts w:ascii="Times New Roman" w:cs="Times New Roman" w:eastAsia="Times New Roman" w:hAnsi="Times New Roman"/>
          <w:sz w:val="21"/>
          <w:szCs w:val="21"/>
          <w:u w:val="single" w:color="auto"/>
          <w:color w:val="auto"/>
        </w:rPr>
        <w:t>Article 9</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10.4(c)</w:t>
      </w:r>
      <w:r>
        <w:rPr>
          <w:rFonts w:ascii="Times New Roman" w:cs="Times New Roman" w:eastAsia="Times New Roman" w:hAnsi="Times New Roman"/>
          <w:sz w:val="21"/>
          <w:szCs w:val="21"/>
          <w:color w:val="auto"/>
        </w:rPr>
        <w:t xml:space="preserve"> hereof included such L/C Issuer with respect to such acts or omissions, and (B) as additionally provided herein with respect to the L/C Issuers;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to the extent an L/C Issuer is entitled to indemnification under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10.4(c)</w:t>
      </w:r>
      <w:r>
        <w:rPr>
          <w:rFonts w:ascii="Times New Roman" w:cs="Times New Roman" w:eastAsia="Times New Roman" w:hAnsi="Times New Roman"/>
          <w:sz w:val="21"/>
          <w:szCs w:val="21"/>
          <w:color w:val="auto"/>
        </w:rPr>
        <w:t xml:space="preserve"> solely in connection with its role as an L/C Issuer, only the Revolving Credit Lenders shall be required to indemnify such L/C Issuer in accordance with </w:t>
      </w:r>
      <w:r>
        <w:rPr>
          <w:rFonts w:ascii="Times New Roman" w:cs="Times New Roman" w:eastAsia="Times New Roman" w:hAnsi="Times New Roman"/>
          <w:sz w:val="21"/>
          <w:szCs w:val="21"/>
          <w:u w:val="single" w:color="auto"/>
          <w:color w:val="auto"/>
        </w:rPr>
        <w:t>Section 10.4(c).</w:t>
      </w:r>
    </w:p>
    <w:p>
      <w:pPr>
        <w:spacing w:after="0" w:line="146" w:lineRule="exact"/>
        <w:rPr>
          <w:rFonts w:ascii="Times New Roman" w:cs="Times New Roman" w:eastAsia="Times New Roman" w:hAnsi="Times New Roman"/>
          <w:sz w:val="21"/>
          <w:szCs w:val="21"/>
          <w:color w:val="auto"/>
        </w:rPr>
      </w:pPr>
    </w:p>
    <w:p>
      <w:pPr>
        <w:jc w:val="both"/>
        <w:ind w:firstLine="1278"/>
        <w:spacing w:after="0" w:line="217" w:lineRule="auto"/>
        <w:tabs>
          <w:tab w:leader="none" w:pos="1903" w:val="left"/>
        </w:tabs>
        <w:numPr>
          <w:ilvl w:val="1"/>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Procedures for Issuance and Amendment of Letters of Credit</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Auto-Extension Letters of Credit</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b w:val="1"/>
          <w:bCs w:val="1"/>
          <w:color w:val="FF0000"/>
          <w:strike w:val="1"/>
        </w:rPr>
        <w:t>(i)</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Each</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Letter of Credit shall be issued or amended, as the case may be, upon the request of the Borrower delivered to the applicable L/C Issuer (with a copy to the Administrative Agent) in the form of a Letter of Credit Application, appropriately completed and signed by a Responsible Officer of the Borrower </w:t>
      </w:r>
      <w:r>
        <w:rPr>
          <w:rFonts w:ascii="Times New Roman" w:cs="Times New Roman" w:eastAsia="Times New Roman" w:hAnsi="Times New Roman"/>
          <w:sz w:val="21"/>
          <w:szCs w:val="21"/>
          <w:b w:val="1"/>
          <w:bCs w:val="1"/>
          <w:u w:val="single" w:color="auto"/>
          <w:color w:val="0000FF"/>
        </w:rPr>
        <w:t>(provided that, if such Letter of Credit Application is submitted through an</w:t>
      </w:r>
    </w:p>
    <w:p>
      <w:pPr>
        <w:spacing w:after="0" w:line="2" w:lineRule="exact"/>
        <w:rPr>
          <w:rFonts w:ascii="Times New Roman" w:cs="Times New Roman" w:eastAsia="Times New Roman" w:hAnsi="Times New Roman"/>
          <w:sz w:val="21"/>
          <w:szCs w:val="21"/>
          <w:color w:val="auto"/>
        </w:rPr>
      </w:pPr>
    </w:p>
    <w:p>
      <w:pPr>
        <w:jc w:val="both"/>
        <w:spacing w:after="0" w:line="22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0000FF"/>
        </w:rPr>
        <w:t>Approved Borrower Portal, the foregoing signature requirement may be waived at the sole discretion of the Administrative Agent)</w:t>
      </w:r>
      <w:r>
        <w:rPr>
          <w:rFonts w:ascii="Times New Roman" w:cs="Times New Roman" w:eastAsia="Times New Roman" w:hAnsi="Times New Roman"/>
          <w:sz w:val="21"/>
          <w:szCs w:val="21"/>
          <w:color w:val="000000"/>
        </w:rPr>
        <w:t>. Such Letter of Credit Application must be received by the applicable L/C Issuer and the Administrative Agent not later</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 xml:space="preserve">than (x) in the case of Letters of Credit denominated in U.S. Dollars, 12:00 p.m. at least three Business Days (or such other date and time as the Administrative Agent and the applicable L/C Issuer may agree in a particular instance in their sole discretion) prior to the proposed issuance date or date of amendment, as the case may be and (y) in the case of Letters of Credit denominated in an Alternative Currency, 12:00 p.m. at least five Business Days (or such other date and time as the Administrative Agent and the applicable L/C Issuer may agree in a particular instance in their sole discretion) prior to the proposed issuance date or date of amendment, as the case may be. In the case of a request for the issuance of a Letter of Credit, such Letter of Credit Application shall specify in form and detail reasonably satisfactory to the applicable L/C Issuer: (A) the proposed issuance date of the requested Letter of Credit (which shall be a Business Day); (B) the amount thereof; (C) the expiry date thereof; (D) the name and address of the beneficiary thereof; (E) the documents to be presented by such beneficiary in case of any drawing thereunder; (F) the full text of any certificate to be presented by such beneficiary in case of any drawing thereunder; (G) the purpose and nature of the requested Letter of Credit; (H) the requested currency of the requested Letter of Credit (which shall be U.S. Dollars or an Alternative Currency); </w:t>
      </w:r>
      <w:r>
        <w:rPr>
          <w:rFonts w:ascii="Times New Roman" w:cs="Times New Roman" w:eastAsia="Times New Roman" w:hAnsi="Times New Roman"/>
          <w:sz w:val="21"/>
          <w:szCs w:val="21"/>
          <w:i w:val="1"/>
          <w:iCs w:val="1"/>
          <w:color w:val="000000"/>
        </w:rPr>
        <w:t>provided</w:t>
      </w:r>
      <w:r>
        <w:rPr>
          <w:rFonts w:ascii="Times New Roman" w:cs="Times New Roman" w:eastAsia="Times New Roman" w:hAnsi="Times New Roman"/>
          <w:sz w:val="21"/>
          <w:szCs w:val="21"/>
          <w:color w:val="000000"/>
        </w:rPr>
        <w:t xml:space="preserve"> that if the currency is not specified, the requested currency of the requested Letter of Credit shall be deemed to be U.S. Dollars; and (I) such other matters as the applicable L/C Issuer may reasonably require. In the case of a request for an amendment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79</w:t>
      </w:r>
    </w:p>
    <w:p>
      <w:pPr>
        <w:sectPr>
          <w:pgSz w:w="11900" w:h="16838" w:orient="portrait"/>
          <w:cols w:equalWidth="0" w:num="1">
            <w:col w:w="11240"/>
          </w:cols>
          <w:pgMar w:left="320" w:top="1371" w:right="339" w:bottom="1440" w:gutter="0" w:footer="0" w:header="0"/>
        </w:sectPr>
      </w:pPr>
    </w:p>
    <w:bookmarkStart w:id="185" w:name="page186"/>
    <w:bookmarkEnd w:id="185"/>
    <w:p>
      <w:pPr>
        <w:jc w:val="both"/>
        <w:spacing w:after="0" w:line="221" w:lineRule="auto"/>
        <w:rPr>
          <w:sz w:val="20"/>
          <w:szCs w:val="20"/>
          <w:color w:val="auto"/>
        </w:rPr>
      </w:pPr>
      <w:r>
        <w:rPr>
          <w:rFonts w:ascii="Times New Roman" w:cs="Times New Roman" w:eastAsia="Times New Roman" w:hAnsi="Times New Roman"/>
          <w:sz w:val="21"/>
          <w:szCs w:val="21"/>
          <w:color w:val="auto"/>
        </w:rPr>
        <w:t>any outstanding Letter of Credit, such Letter of Credit Application shall specify in form and detail reasonably satisfactory to the applicable L/C Issuer: (A) the Letter of Credit to be amended; (B) the proposed date of issuance of the amendment (which shall be a Business Day); (C) the nature of the proposed amendment; and (D) such other matters as the applicable L/C Issuer may reasonably require. Additionally, the Borrower shall furnish to the applicable L/C Issuer and the Administrative Agent such other documents and information pertaining to such requested Letter of Credit issuance or amendment, including any Issuer Documents, as the applicable L/C Issuer or the Administrative Agent may reasonably require.</w:t>
      </w:r>
    </w:p>
    <w:p>
      <w:pPr>
        <w:spacing w:after="0" w:line="146" w:lineRule="exact"/>
        <w:rPr>
          <w:sz w:val="20"/>
          <w:szCs w:val="20"/>
          <w:color w:val="auto"/>
        </w:rPr>
      </w:pPr>
    </w:p>
    <w:p>
      <w:pPr>
        <w:jc w:val="both"/>
        <w:ind w:left="640" w:firstLine="1274"/>
        <w:spacing w:after="0" w:line="215" w:lineRule="auto"/>
        <w:tabs>
          <w:tab w:leader="none" w:pos="2536" w:val="left"/>
        </w:tabs>
        <w:numPr>
          <w:ilvl w:val="0"/>
          <w:numId w:val="117"/>
        </w:numPr>
        <w:rPr>
          <w:rFonts w:ascii="Times New Roman" w:cs="Times New Roman" w:eastAsia="Times New Roman" w:hAnsi="Times New Roman"/>
          <w:sz w:val="21"/>
          <w:szCs w:val="21"/>
          <w:b w:val="1"/>
          <w:bCs w:val="1"/>
          <w:u w:val="single" w:color="auto"/>
          <w:color w:val="0000FF"/>
        </w:rPr>
      </w:pPr>
      <w:r>
        <w:rPr>
          <w:rFonts w:ascii="Times New Roman" w:cs="Times New Roman" w:eastAsia="Times New Roman" w:hAnsi="Times New Roman"/>
          <w:sz w:val="21"/>
          <w:szCs w:val="21"/>
          <w:b w:val="1"/>
          <w:bCs w:val="1"/>
          <w:color w:val="FF0000"/>
          <w:strike w:val="1"/>
        </w:rPr>
        <w:t>(ii)</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color w:val="000000"/>
        </w:rPr>
        <w:t>Promptly after receipt of any Letter of Credit Application, the applicable L/C Issuer will confirm</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color w:val="000000"/>
        </w:rPr>
        <w:t xml:space="preserve">with the Administrative Agent (in writing) that the Administrative Agent has received a copy of such Letter of Credit Application from the Borrower and, if not, the applicable L/C Issuer will provide the Administrative Agent with a copy thereof. Unless the applicable L/C Issuer has received written notice from any Revolving Credit Lender, the Administrative Agent or any Loan Party, at least one Business Day prior to the requested date of issuance or amendment of the applicable Letter of Credit, that one or more applicable conditions contained in </w:t>
      </w:r>
      <w:r>
        <w:rPr>
          <w:rFonts w:ascii="Times New Roman" w:cs="Times New Roman" w:eastAsia="Times New Roman" w:hAnsi="Times New Roman"/>
          <w:sz w:val="21"/>
          <w:szCs w:val="21"/>
          <w:u w:val="single" w:color="auto"/>
          <w:color w:val="000000"/>
        </w:rPr>
        <w:t>Article 4</w:t>
      </w:r>
      <w:r>
        <w:rPr>
          <w:rFonts w:ascii="Times New Roman" w:cs="Times New Roman" w:eastAsia="Times New Roman" w:hAnsi="Times New Roman"/>
          <w:sz w:val="21"/>
          <w:szCs w:val="21"/>
          <w:color w:val="000000"/>
        </w:rPr>
        <w:t xml:space="preserve"> hereof shall not then be satisfied, then, subject to the terms and conditions hereof, the applicable L/C Issuer shall, on the requested date, issue a Letter of Credit for the account of the Borrower or enter into the applicable amendment, as the case may be, in each case in accordance with the applicable L/C Issuer’s usual and customary business practices. Immediately upon the issuance of each Letter of Credit and each amendment increasing the amount of a Letter of Credit, each Revolving Credit Lender shall be deemed to, and hereby irrevocably and unconditionally agrees to, purchase from the applicable L/C Issuer a risk participation in such Letter of Credit in an amount equal to the product of such Revolving Credit Lender’s Applicable Revolving Credit Percentage </w:t>
      </w:r>
      <w:r>
        <w:rPr>
          <w:rFonts w:ascii="Times New Roman" w:cs="Times New Roman" w:eastAsia="Times New Roman" w:hAnsi="Times New Roman"/>
          <w:sz w:val="21"/>
          <w:szCs w:val="21"/>
          <w:i w:val="1"/>
          <w:iCs w:val="1"/>
          <w:color w:val="000000"/>
        </w:rPr>
        <w:t>times</w:t>
      </w:r>
      <w:r>
        <w:rPr>
          <w:rFonts w:ascii="Times New Roman" w:cs="Times New Roman" w:eastAsia="Times New Roman" w:hAnsi="Times New Roman"/>
          <w:sz w:val="21"/>
          <w:szCs w:val="21"/>
          <w:color w:val="000000"/>
        </w:rPr>
        <w:t xml:space="preserve"> the amount of such Letter of Credit.</w:t>
      </w:r>
    </w:p>
    <w:p>
      <w:pPr>
        <w:spacing w:after="0" w:line="155" w:lineRule="exact"/>
        <w:rPr>
          <w:rFonts w:ascii="Times New Roman" w:cs="Times New Roman" w:eastAsia="Times New Roman" w:hAnsi="Times New Roman"/>
          <w:sz w:val="21"/>
          <w:szCs w:val="21"/>
          <w:b w:val="1"/>
          <w:bCs w:val="1"/>
          <w:u w:val="single" w:color="auto"/>
          <w:color w:val="0000FF"/>
        </w:rPr>
      </w:pPr>
    </w:p>
    <w:p>
      <w:pPr>
        <w:jc w:val="both"/>
        <w:ind w:left="640" w:firstLine="1274"/>
        <w:spacing w:after="0" w:line="214" w:lineRule="auto"/>
        <w:tabs>
          <w:tab w:leader="none" w:pos="2542" w:val="left"/>
        </w:tabs>
        <w:numPr>
          <w:ilvl w:val="0"/>
          <w:numId w:val="117"/>
        </w:numPr>
        <w:rPr>
          <w:rFonts w:ascii="Times New Roman" w:cs="Times New Roman" w:eastAsia="Times New Roman" w:hAnsi="Times New Roman"/>
          <w:sz w:val="21"/>
          <w:szCs w:val="21"/>
          <w:b w:val="1"/>
          <w:bCs w:val="1"/>
          <w:u w:val="single" w:color="auto"/>
          <w:color w:val="0000FF"/>
        </w:rPr>
      </w:pPr>
      <w:r>
        <w:rPr>
          <w:rFonts w:ascii="Times New Roman" w:cs="Times New Roman" w:eastAsia="Times New Roman" w:hAnsi="Times New Roman"/>
          <w:sz w:val="21"/>
          <w:szCs w:val="21"/>
          <w:b w:val="1"/>
          <w:bCs w:val="1"/>
          <w:color w:val="FF0000"/>
          <w:strike w:val="1"/>
        </w:rPr>
        <w:t>(iii)</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color w:val="000000"/>
        </w:rPr>
        <w:t>If the Borrower so requests in any applicable Letter of Credit Application, the applicable L/C</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color w:val="000000"/>
        </w:rPr>
        <w:t>Issuer may, in its sole and absolute discretion, agree to issue a Letter of Credit that has automatic extension provisions (each, an “</w:t>
      </w:r>
      <w:r>
        <w:rPr>
          <w:rFonts w:ascii="Times New Roman" w:cs="Times New Roman" w:eastAsia="Times New Roman" w:hAnsi="Times New Roman"/>
          <w:sz w:val="21"/>
          <w:szCs w:val="21"/>
          <w:b w:val="1"/>
          <w:bCs w:val="1"/>
          <w:color w:val="000000"/>
        </w:rPr>
        <w:t>Auto-Extension Letter of Credit</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i w:val="1"/>
          <w:iCs w:val="1"/>
          <w:color w:val="000000"/>
        </w:rPr>
        <w:t>provided</w:t>
      </w:r>
      <w:r>
        <w:rPr>
          <w:rFonts w:ascii="Times New Roman" w:cs="Times New Roman" w:eastAsia="Times New Roman" w:hAnsi="Times New Roman"/>
          <w:sz w:val="21"/>
          <w:szCs w:val="21"/>
          <w:color w:val="000000"/>
        </w:rPr>
        <w:t xml:space="preserve"> that, unless otherwise agreed to by the applicable L/C Issuer, any such Auto-Extension Letter of Credit must permit the applicable L/C Issuer to prevent any such extension at least once in each twelve-month period (commencing with the date of issuance of such Letter of Credit) by giving prior notice to the beneficiary thereof not later than a day (the “</w:t>
      </w:r>
      <w:r>
        <w:rPr>
          <w:rFonts w:ascii="Times New Roman" w:cs="Times New Roman" w:eastAsia="Times New Roman" w:hAnsi="Times New Roman"/>
          <w:sz w:val="21"/>
          <w:szCs w:val="21"/>
          <w:b w:val="1"/>
          <w:bCs w:val="1"/>
          <w:color w:val="000000"/>
        </w:rPr>
        <w:t>Non-Extension Notice Date</w:t>
      </w:r>
      <w:r>
        <w:rPr>
          <w:rFonts w:ascii="Times New Roman" w:cs="Times New Roman" w:eastAsia="Times New Roman" w:hAnsi="Times New Roman"/>
          <w:sz w:val="21"/>
          <w:szCs w:val="21"/>
          <w:color w:val="000000"/>
        </w:rPr>
        <w:t xml:space="preserve">”) in each such twelve-month period to be agreed upon at the time such Letter of Credit is issued. Unless otherwise directed by the applicable L/C Issuer, the Borrower shall not be required to make a specific request to the applicable L/C Issuer for any such extension. Once an Auto-Extension Letter of Credit has been issued, the Revolving Credit Lenders shall be deemed to have authorized (but may not require) the applicable L/C Issuer to permit the extension of such Letter of Credit at any time to an expiry date not later than the Letter of Credit Expiration Date unless such Letter of Credit is Cash Collateralized at 105% of the face amount thereof in accordance with this Agreement; </w:t>
      </w:r>
      <w:r>
        <w:rPr>
          <w:rFonts w:ascii="Times New Roman" w:cs="Times New Roman" w:eastAsia="Times New Roman" w:hAnsi="Times New Roman"/>
          <w:sz w:val="21"/>
          <w:szCs w:val="21"/>
          <w:i w:val="1"/>
          <w:iCs w:val="1"/>
          <w:color w:val="000000"/>
        </w:rPr>
        <w:t>provided, however,</w:t>
      </w:r>
      <w:r>
        <w:rPr>
          <w:rFonts w:ascii="Times New Roman" w:cs="Times New Roman" w:eastAsia="Times New Roman" w:hAnsi="Times New Roman"/>
          <w:sz w:val="21"/>
          <w:szCs w:val="21"/>
          <w:color w:val="000000"/>
        </w:rPr>
        <w:t xml:space="preserve"> that the applicable L/C Issuer shall not permit any such extension if (A) the applicable L/C Issuer has determined that it would not be permitted, or would have no obligation at such time to issue such Letter of Credit in its revised form (as extended) under the terms hereof (by reason of the provisions of </w:t>
      </w:r>
      <w:r>
        <w:rPr>
          <w:rFonts w:ascii="Times New Roman" w:cs="Times New Roman" w:eastAsia="Times New Roman" w:hAnsi="Times New Roman"/>
          <w:sz w:val="21"/>
          <w:szCs w:val="21"/>
          <w:u w:val="single" w:color="auto"/>
          <w:color w:val="000000"/>
        </w:rPr>
        <w:t>clause (i)</w:t>
      </w:r>
      <w:r>
        <w:rPr>
          <w:rFonts w:ascii="Times New Roman" w:cs="Times New Roman" w:eastAsia="Times New Roman" w:hAnsi="Times New Roman"/>
          <w:sz w:val="21"/>
          <w:szCs w:val="21"/>
          <w:color w:val="000000"/>
        </w:rPr>
        <w:t xml:space="preserve"> or </w:t>
      </w:r>
      <w:r>
        <w:rPr>
          <w:rFonts w:ascii="Times New Roman" w:cs="Times New Roman" w:eastAsia="Times New Roman" w:hAnsi="Times New Roman"/>
          <w:sz w:val="21"/>
          <w:szCs w:val="21"/>
          <w:u w:val="single" w:color="auto"/>
          <w:color w:val="000000"/>
        </w:rPr>
        <w:t>(ii)</w:t>
      </w:r>
      <w:r>
        <w:rPr>
          <w:rFonts w:ascii="Times New Roman" w:cs="Times New Roman" w:eastAsia="Times New Roman" w:hAnsi="Times New Roman"/>
          <w:sz w:val="21"/>
          <w:szCs w:val="21"/>
          <w:color w:val="000000"/>
        </w:rPr>
        <w:t xml:space="preserve"> of </w:t>
      </w:r>
      <w:r>
        <w:rPr>
          <w:rFonts w:ascii="Times New Roman" w:cs="Times New Roman" w:eastAsia="Times New Roman" w:hAnsi="Times New Roman"/>
          <w:sz w:val="21"/>
          <w:szCs w:val="21"/>
          <w:u w:val="single" w:color="auto"/>
          <w:color w:val="000000"/>
        </w:rPr>
        <w:t>Section 2.03(a)</w:t>
      </w:r>
      <w:r>
        <w:rPr>
          <w:rFonts w:ascii="Times New Roman" w:cs="Times New Roman" w:eastAsia="Times New Roman" w:hAnsi="Times New Roman"/>
          <w:sz w:val="21"/>
          <w:szCs w:val="21"/>
          <w:color w:val="000000"/>
        </w:rPr>
        <w:t xml:space="preserve"> or otherwise), or (B) it has received notice (in writing) on or before the day that is seven days before the Non-Extension Notice Date (1) from the Administrative Agent that the Required Revolving Credit Lenders have elected not to permit such extension or (2) from the Administrative Agent, any Revolving Credit Lender or the Borrower that one or more of the applicable conditions specified in </w:t>
      </w:r>
      <w:r>
        <w:rPr>
          <w:rFonts w:ascii="Times New Roman" w:cs="Times New Roman" w:eastAsia="Times New Roman" w:hAnsi="Times New Roman"/>
          <w:sz w:val="21"/>
          <w:szCs w:val="21"/>
          <w:u w:val="single" w:color="auto"/>
          <w:color w:val="000000"/>
        </w:rPr>
        <w:t>Section 4.02</w:t>
      </w:r>
      <w:r>
        <w:rPr>
          <w:rFonts w:ascii="Times New Roman" w:cs="Times New Roman" w:eastAsia="Times New Roman" w:hAnsi="Times New Roman"/>
          <w:sz w:val="21"/>
          <w:szCs w:val="21"/>
          <w:color w:val="000000"/>
        </w:rPr>
        <w:t xml:space="preserve"> is not then satisfied, and in each such case directing the applicable L/C Issuer not to permit such extension.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80</w:t>
      </w:r>
    </w:p>
    <w:p>
      <w:pPr>
        <w:sectPr>
          <w:pgSz w:w="11900" w:h="16838" w:orient="portrait"/>
          <w:cols w:equalWidth="0" w:num="1">
            <w:col w:w="11240"/>
          </w:cols>
          <w:pgMar w:left="320" w:top="1371" w:right="339" w:bottom="1440" w:gutter="0" w:footer="0" w:header="0"/>
        </w:sectPr>
      </w:pPr>
    </w:p>
    <w:bookmarkStart w:id="186" w:name="page187"/>
    <w:bookmarkEnd w:id="186"/>
    <w:p>
      <w:pPr>
        <w:jc w:val="both"/>
        <w:ind w:left="-480" w:firstLine="1274"/>
        <w:spacing w:after="0" w:line="233" w:lineRule="auto"/>
        <w:tabs>
          <w:tab w:leader="none" w:pos="1428" w:val="left"/>
        </w:tabs>
        <w:numPr>
          <w:ilvl w:val="1"/>
          <w:numId w:val="118"/>
        </w:numPr>
        <w:rPr>
          <w:rFonts w:ascii="Times New Roman" w:cs="Times New Roman" w:eastAsia="Times New Roman" w:hAnsi="Times New Roman"/>
          <w:sz w:val="21"/>
          <w:szCs w:val="21"/>
          <w:b w:val="1"/>
          <w:bCs w:val="1"/>
          <w:u w:val="single" w:color="auto"/>
          <w:color w:val="0000FF"/>
        </w:rPr>
      </w:pPr>
      <w:r>
        <w:rPr>
          <w:rFonts w:ascii="Times New Roman" w:cs="Times New Roman" w:eastAsia="Times New Roman" w:hAnsi="Times New Roman"/>
          <w:sz w:val="21"/>
          <w:szCs w:val="21"/>
          <w:b w:val="1"/>
          <w:bCs w:val="1"/>
          <w:color w:val="FF0000"/>
          <w:strike w:val="1"/>
        </w:rPr>
        <w:t>(iv)</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color w:val="000000"/>
        </w:rPr>
        <w:t>Promptly after its delivery of any Letter of Credit or any amendment to a Letter of Credit to an</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color w:val="000000"/>
        </w:rPr>
        <w:t>advising bank with respect thereto or to the beneficiary thereof, the applicable L/C Issuer will also deliver to the Borrower and the Administrative Agent a true and complete copy of such Letter of Credit or amendment.</w:t>
      </w:r>
    </w:p>
    <w:p>
      <w:pPr>
        <w:spacing w:after="0" w:line="146" w:lineRule="exact"/>
        <w:rPr>
          <w:rFonts w:ascii="Times New Roman" w:cs="Times New Roman" w:eastAsia="Times New Roman" w:hAnsi="Times New Roman"/>
          <w:sz w:val="21"/>
          <w:szCs w:val="21"/>
          <w:b w:val="1"/>
          <w:bCs w:val="1"/>
          <w:u w:val="single" w:color="auto"/>
          <w:color w:val="0000FF"/>
        </w:rPr>
      </w:pPr>
    </w:p>
    <w:p>
      <w:pPr>
        <w:ind w:left="800" w:hanging="642"/>
        <w:spacing w:after="0"/>
        <w:tabs>
          <w:tab w:leader="none" w:pos="800"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Drawings and Reimbursements</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Funding of Participations</w:t>
      </w:r>
      <w:r>
        <w:rPr>
          <w:rFonts w:ascii="Times New Roman" w:cs="Times New Roman" w:eastAsia="Times New Roman" w:hAnsi="Times New Roman"/>
          <w:sz w:val="21"/>
          <w:szCs w:val="21"/>
          <w:color w:val="auto"/>
        </w:rPr>
        <w:t>.</w:t>
      </w:r>
    </w:p>
    <w:p>
      <w:pPr>
        <w:spacing w:after="0" w:line="184" w:lineRule="exact"/>
        <w:rPr>
          <w:rFonts w:ascii="Times New Roman" w:cs="Times New Roman" w:eastAsia="Times New Roman" w:hAnsi="Times New Roman"/>
          <w:sz w:val="21"/>
          <w:szCs w:val="21"/>
          <w:color w:val="auto"/>
        </w:rPr>
      </w:pPr>
    </w:p>
    <w:p>
      <w:pPr>
        <w:jc w:val="both"/>
        <w:ind w:left="-480" w:firstLine="1274"/>
        <w:spacing w:after="0" w:line="225" w:lineRule="auto"/>
        <w:tabs>
          <w:tab w:leader="none" w:pos="1416" w:val="left"/>
        </w:tabs>
        <w:numPr>
          <w:ilvl w:val="1"/>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receipt from the beneficiary of any Letter of Credit of a drawing made under, and in compliance with, such Letter of Credit, the applicable L/C Issuer shall notify the Borrower and the Administrative Agent thereof. In the case of a Letter of Credit denominated in an Alternative Currency, the Borrower shall reimburse the applicable L/C Issuer in U.S. Dollars. In the case of any such reimbursement in U.S. Dollars of a drawing as of the applicable Valuation Date under a Letter of Credit denominated in an Alternative Currency, the applicable L/C Issuer shall notify the Borrower of the U.S. Dollar Equivalent of the amount of the drawing promptly following the determination thereof. Not later than 11:00 a.m. on the next Business Day following any payment by the applicable L/C Issuer under a Letter of Credit (or on the second Business Day following any payment by the applicable L/C Issuer if such notice is delivered to the Borrower after 11:00 a.m. on the date of any such payment) (each such applicable date, an “</w:t>
      </w:r>
      <w:r>
        <w:rPr>
          <w:rFonts w:ascii="Times New Roman" w:cs="Times New Roman" w:eastAsia="Times New Roman" w:hAnsi="Times New Roman"/>
          <w:sz w:val="21"/>
          <w:szCs w:val="21"/>
          <w:b w:val="1"/>
          <w:bCs w:val="1"/>
          <w:color w:val="auto"/>
        </w:rPr>
        <w:t>Honor Date</w:t>
      </w:r>
      <w:r>
        <w:rPr>
          <w:rFonts w:ascii="Times New Roman" w:cs="Times New Roman" w:eastAsia="Times New Roman" w:hAnsi="Times New Roman"/>
          <w:sz w:val="21"/>
          <w:szCs w:val="21"/>
          <w:color w:val="auto"/>
        </w:rPr>
        <w:t xml:space="preserve">”), the Borrower shall reimburse the applicable L/C Issuer through the Administrative Agent in an amount equal to the amount of such drawing as provided in this </w:t>
      </w:r>
      <w:r>
        <w:rPr>
          <w:rFonts w:ascii="Times New Roman" w:cs="Times New Roman" w:eastAsia="Times New Roman" w:hAnsi="Times New Roman"/>
          <w:sz w:val="21"/>
          <w:szCs w:val="21"/>
          <w:u w:val="single" w:color="auto"/>
          <w:color w:val="auto"/>
        </w:rPr>
        <w:t>Section 2.03(c)</w:t>
      </w:r>
      <w:r>
        <w:rPr>
          <w:rFonts w:ascii="Times New Roman" w:cs="Times New Roman" w:eastAsia="Times New Roman" w:hAnsi="Times New Roman"/>
          <w:sz w:val="21"/>
          <w:szCs w:val="21"/>
          <w:color w:val="auto"/>
        </w:rPr>
        <w:t>. If the Borrower fails to so reimburse the applicable L/C Issuer by such time, the Administrative Agent shall promptly notify each Revolving Credit Lender of the Honor Date, the amount of the unreimbursed drawing (in U.S. Dollars in the case of a Letter of Credit denominated in U.S. Dollars, and expressed, in the case of a Letter of Credit denominated in an Alternative Currency, in U.S. Dollars in the amount of the U.S. Dollar Equivalent thereof (the “</w:t>
      </w:r>
      <w:r>
        <w:rPr>
          <w:rFonts w:ascii="Times New Roman" w:cs="Times New Roman" w:eastAsia="Times New Roman" w:hAnsi="Times New Roman"/>
          <w:sz w:val="21"/>
          <w:szCs w:val="21"/>
          <w:b w:val="1"/>
          <w:bCs w:val="1"/>
          <w:color w:val="auto"/>
        </w:rPr>
        <w:t>Unreimbursed Amount</w:t>
      </w:r>
      <w:r>
        <w:rPr>
          <w:rFonts w:ascii="Times New Roman" w:cs="Times New Roman" w:eastAsia="Times New Roman" w:hAnsi="Times New Roman"/>
          <w:sz w:val="21"/>
          <w:szCs w:val="21"/>
          <w:color w:val="auto"/>
        </w:rPr>
        <w:t xml:space="preserve">”)), and the amount of such Revolving Credit Lender’s Applicable Revolving Credit Percentage thereof. In such event, the Borrower shall be deemed to have requested a Revolving Credit Borrowing of Base Rate Loans to be disbursed on the Honor Date in an amount equal to the Unreimbursed Amount, without regard to the minimum and multiples specified in </w:t>
      </w:r>
      <w:r>
        <w:rPr>
          <w:rFonts w:ascii="Times New Roman" w:cs="Times New Roman" w:eastAsia="Times New Roman" w:hAnsi="Times New Roman"/>
          <w:sz w:val="21"/>
          <w:szCs w:val="21"/>
          <w:u w:val="single" w:color="auto"/>
          <w:color w:val="auto"/>
        </w:rPr>
        <w:t>Section 2.02</w:t>
      </w:r>
      <w:r>
        <w:rPr>
          <w:rFonts w:ascii="Times New Roman" w:cs="Times New Roman" w:eastAsia="Times New Roman" w:hAnsi="Times New Roman"/>
          <w:sz w:val="21"/>
          <w:szCs w:val="21"/>
          <w:color w:val="auto"/>
        </w:rPr>
        <w:t xml:space="preserve"> for the principal amount of Base Rate Loans, but subject to the amount of the unutilized portion of the Revolving Credit Commitments and the conditions set forth in </w:t>
      </w:r>
      <w:r>
        <w:rPr>
          <w:rFonts w:ascii="Times New Roman" w:cs="Times New Roman" w:eastAsia="Times New Roman" w:hAnsi="Times New Roman"/>
          <w:sz w:val="21"/>
          <w:szCs w:val="21"/>
          <w:u w:val="single" w:color="auto"/>
          <w:color w:val="auto"/>
        </w:rPr>
        <w:t>Section 4.02</w:t>
      </w:r>
      <w:r>
        <w:rPr>
          <w:rFonts w:ascii="Times New Roman" w:cs="Times New Roman" w:eastAsia="Times New Roman" w:hAnsi="Times New Roman"/>
          <w:sz w:val="21"/>
          <w:szCs w:val="21"/>
          <w:color w:val="auto"/>
        </w:rPr>
        <w:t xml:space="preserve"> (other than the delivery of a Committed Loan Notice).</w:t>
      </w:r>
    </w:p>
    <w:p>
      <w:pPr>
        <w:spacing w:after="0" w:line="151" w:lineRule="exact"/>
        <w:rPr>
          <w:sz w:val="20"/>
          <w:szCs w:val="20"/>
          <w:color w:val="auto"/>
        </w:rPr>
      </w:pPr>
    </w:p>
    <w:p>
      <w:pPr>
        <w:jc w:val="both"/>
        <w:ind w:left="-480" w:firstLine="1274"/>
        <w:spacing w:after="0" w:line="219" w:lineRule="auto"/>
        <w:tabs>
          <w:tab w:leader="none" w:pos="1422" w:val="left"/>
        </w:tabs>
        <w:numPr>
          <w:ilvl w:val="0"/>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Revolving Credit Lender shall upon any notice pursuant to </w:t>
      </w:r>
      <w:r>
        <w:rPr>
          <w:rFonts w:ascii="Times New Roman" w:cs="Times New Roman" w:eastAsia="Times New Roman" w:hAnsi="Times New Roman"/>
          <w:sz w:val="21"/>
          <w:szCs w:val="21"/>
          <w:u w:val="single" w:color="auto"/>
          <w:color w:val="auto"/>
        </w:rPr>
        <w:t>Section 2.03(c)(i)</w:t>
      </w:r>
      <w:r>
        <w:rPr>
          <w:rFonts w:ascii="Times New Roman" w:cs="Times New Roman" w:eastAsia="Times New Roman" w:hAnsi="Times New Roman"/>
          <w:sz w:val="21"/>
          <w:szCs w:val="21"/>
          <w:color w:val="auto"/>
        </w:rPr>
        <w:t xml:space="preserve"> make funds available (and the Administrative Agent may apply Cash Collateral provided for this purpose) for the account of the applicable L/C Issuer at the Administrative Agent’s Office in an amount equal to its Applicable Revolving Credit Percentage of the Unreimbursed Amount not later than 12:00 p.m. on the Business Day specified in such notice by the Administrative Agent, whereupon, subject to the provisions of </w:t>
      </w:r>
      <w:r>
        <w:rPr>
          <w:rFonts w:ascii="Times New Roman" w:cs="Times New Roman" w:eastAsia="Times New Roman" w:hAnsi="Times New Roman"/>
          <w:sz w:val="21"/>
          <w:szCs w:val="21"/>
          <w:u w:val="single" w:color="auto"/>
          <w:color w:val="auto"/>
        </w:rPr>
        <w:t>Section 2.03(c)(iii)</w:t>
      </w:r>
      <w:r>
        <w:rPr>
          <w:rFonts w:ascii="Times New Roman" w:cs="Times New Roman" w:eastAsia="Times New Roman" w:hAnsi="Times New Roman"/>
          <w:sz w:val="21"/>
          <w:szCs w:val="21"/>
          <w:color w:val="auto"/>
        </w:rPr>
        <w:t>, each Revolving Credit Lender that so makes funds available shall be deemed to have made a Base Rate Loan to the Borrower in such amount. The Administrative Agent shall remit the funds so received to the applicable L/C Issuer in U.S. Dollars.</w:t>
      </w:r>
    </w:p>
    <w:p>
      <w:pPr>
        <w:spacing w:after="0" w:line="153" w:lineRule="exact"/>
        <w:rPr>
          <w:rFonts w:ascii="Times New Roman" w:cs="Times New Roman" w:eastAsia="Times New Roman" w:hAnsi="Times New Roman"/>
          <w:sz w:val="21"/>
          <w:szCs w:val="21"/>
          <w:color w:val="auto"/>
        </w:rPr>
      </w:pPr>
    </w:p>
    <w:p>
      <w:pPr>
        <w:jc w:val="both"/>
        <w:ind w:left="-480" w:firstLine="1274"/>
        <w:spacing w:after="0"/>
        <w:tabs>
          <w:tab w:leader="none" w:pos="1428" w:val="left"/>
        </w:tabs>
        <w:numPr>
          <w:ilvl w:val="0"/>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 respect to any Unreimbursed Amount that is not fully refinanced by a Revolving Credit Borrowing of Base Rate Loans because the conditions set forth in </w:t>
      </w:r>
      <w:r>
        <w:rPr>
          <w:rFonts w:ascii="Times New Roman" w:cs="Times New Roman" w:eastAsia="Times New Roman" w:hAnsi="Times New Roman"/>
          <w:sz w:val="21"/>
          <w:szCs w:val="21"/>
          <w:u w:val="single" w:color="auto"/>
          <w:color w:val="auto"/>
        </w:rPr>
        <w:t>Section 4.02</w:t>
      </w:r>
      <w:r>
        <w:rPr>
          <w:rFonts w:ascii="Times New Roman" w:cs="Times New Roman" w:eastAsia="Times New Roman" w:hAnsi="Times New Roman"/>
          <w:sz w:val="21"/>
          <w:szCs w:val="21"/>
          <w:color w:val="auto"/>
        </w:rPr>
        <w:t xml:space="preserve"> (other than the delivery of a Committed Loan Notice) cannot be satisfied or for any other reason, the Borrower shall be deemed to have incurred from the applicable L/C Issuer an L/C Borrowing in the amount of the Unreimbursed Amount that is not so refinanced, which L/C Borrowing shall be due and payable on demand (together with interest) and shall bear interest at the Default Rate. In such event, each Revolving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81</w:t>
      </w:r>
    </w:p>
    <w:p>
      <w:pPr>
        <w:sectPr>
          <w:pgSz w:w="11900" w:h="16838" w:orient="portrait"/>
          <w:cols w:equalWidth="0" w:num="1">
            <w:col w:w="10120"/>
          </w:cols>
          <w:pgMar w:left="1440" w:top="1367" w:right="339" w:bottom="1440" w:gutter="0" w:footer="0" w:header="0"/>
        </w:sectPr>
      </w:pPr>
    </w:p>
    <w:bookmarkStart w:id="187" w:name="page188"/>
    <w:bookmarkEnd w:id="187"/>
    <w:p>
      <w:pPr>
        <w:jc w:val="both"/>
        <w:spacing w:after="0" w:line="232" w:lineRule="auto"/>
        <w:rPr>
          <w:sz w:val="20"/>
          <w:szCs w:val="20"/>
          <w:color w:val="auto"/>
        </w:rPr>
      </w:pPr>
      <w:r>
        <w:rPr>
          <w:rFonts w:ascii="Times New Roman" w:cs="Times New Roman" w:eastAsia="Times New Roman" w:hAnsi="Times New Roman"/>
          <w:sz w:val="21"/>
          <w:szCs w:val="21"/>
          <w:color w:val="auto"/>
        </w:rPr>
        <w:t xml:space="preserve">Credit Lender’s payment to the Administrative Agent for the account of the applicable L/C Issuer pursuant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2.03(c)(ii)</w:t>
      </w:r>
      <w:r>
        <w:rPr>
          <w:rFonts w:ascii="Times New Roman" w:cs="Times New Roman" w:eastAsia="Times New Roman" w:hAnsi="Times New Roman"/>
          <w:sz w:val="21"/>
          <w:szCs w:val="21"/>
          <w:color w:val="auto"/>
        </w:rPr>
        <w:t xml:space="preserve"> shall be deemed payment in respect of its participation in such L/C Borrowing and shall constitute an L/C Advance from such Revolving Credit Lender in satisfaction of its participation obligation under this </w:t>
      </w:r>
      <w:r>
        <w:rPr>
          <w:rFonts w:ascii="Times New Roman" w:cs="Times New Roman" w:eastAsia="Times New Roman" w:hAnsi="Times New Roman"/>
          <w:sz w:val="21"/>
          <w:szCs w:val="21"/>
          <w:u w:val="single" w:color="auto"/>
          <w:color w:val="auto"/>
        </w:rPr>
        <w:t>Section 2.03</w:t>
      </w:r>
      <w:r>
        <w:rPr>
          <w:rFonts w:ascii="Times New Roman" w:cs="Times New Roman" w:eastAsia="Times New Roman" w:hAnsi="Times New Roman"/>
          <w:sz w:val="21"/>
          <w:szCs w:val="21"/>
          <w:color w:val="auto"/>
        </w:rPr>
        <w:t>.</w:t>
      </w:r>
    </w:p>
    <w:p>
      <w:pPr>
        <w:spacing w:after="0" w:line="148" w:lineRule="exact"/>
        <w:rPr>
          <w:sz w:val="20"/>
          <w:szCs w:val="20"/>
          <w:color w:val="auto"/>
        </w:rPr>
      </w:pPr>
    </w:p>
    <w:p>
      <w:pPr>
        <w:jc w:val="both"/>
        <w:ind w:firstLine="1274"/>
        <w:spacing w:after="0" w:line="226" w:lineRule="auto"/>
        <w:tabs>
          <w:tab w:leader="none" w:pos="1896" w:val="left"/>
        </w:tabs>
        <w:numPr>
          <w:ilvl w:val="1"/>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Until each Revolving Credit Lender funds its Revolving Credit Loan or L/C Advance pursuant to this </w:t>
      </w:r>
      <w:r>
        <w:rPr>
          <w:rFonts w:ascii="Times New Roman" w:cs="Times New Roman" w:eastAsia="Times New Roman" w:hAnsi="Times New Roman"/>
          <w:sz w:val="21"/>
          <w:szCs w:val="21"/>
          <w:u w:val="single" w:color="auto"/>
          <w:color w:val="auto"/>
        </w:rPr>
        <w:t>Section 2.03(c)</w:t>
      </w:r>
      <w:r>
        <w:rPr>
          <w:rFonts w:ascii="Times New Roman" w:cs="Times New Roman" w:eastAsia="Times New Roman" w:hAnsi="Times New Roman"/>
          <w:sz w:val="21"/>
          <w:szCs w:val="21"/>
          <w:color w:val="auto"/>
        </w:rPr>
        <w:t xml:space="preserve"> to reimburse the applicable L/C Issuer for any amount drawn under any Letter of Credit, interest in respect of such Revolving Credit Lender’s Applicable Revolving Credit Percentage of such amount shall be solely for the account of the applicable L/C Issuer.</w:t>
      </w:r>
    </w:p>
    <w:p>
      <w:pPr>
        <w:spacing w:after="0" w:line="150" w:lineRule="exact"/>
        <w:rPr>
          <w:rFonts w:ascii="Times New Roman" w:cs="Times New Roman" w:eastAsia="Times New Roman" w:hAnsi="Times New Roman"/>
          <w:sz w:val="21"/>
          <w:szCs w:val="21"/>
          <w:color w:val="auto"/>
        </w:rPr>
      </w:pPr>
    </w:p>
    <w:p>
      <w:pPr>
        <w:jc w:val="both"/>
        <w:ind w:firstLine="1274"/>
        <w:spacing w:after="0" w:line="238" w:lineRule="auto"/>
        <w:tabs>
          <w:tab w:leader="none" w:pos="1903" w:val="left"/>
        </w:tabs>
        <w:numPr>
          <w:ilvl w:val="1"/>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Revolving Credit Lender’s obligation to make Revolving Credit Loans or L/C Advances to reimburse the applicable L/C Issuer for amounts drawn under Letters of Credit issued by it, as contemplated by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2.03(c)</w:t>
      </w:r>
      <w:r>
        <w:rPr>
          <w:rFonts w:ascii="Times New Roman" w:cs="Times New Roman" w:eastAsia="Times New Roman" w:hAnsi="Times New Roman"/>
          <w:sz w:val="21"/>
          <w:szCs w:val="21"/>
          <w:color w:val="auto"/>
        </w:rPr>
        <w:t xml:space="preserve">, shall be absolute and unconditional and shall not be affected by any circumstance, including (A) any setoff, counterclaim, recoupment, defense or other right which such Lender may have against the applicable L/C Issuer, the Borrower or any other Person for any reason whatsoever; (B) the occurrence or continuance of a Default; or (C) any other occurrence, event or condition, whether or not similar to any of the foregoing;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each Revolving Credit Lender’s obligation to make Revolving Credit Loans pursuant to this </w:t>
      </w:r>
      <w:r>
        <w:rPr>
          <w:rFonts w:ascii="Times New Roman" w:cs="Times New Roman" w:eastAsia="Times New Roman" w:hAnsi="Times New Roman"/>
          <w:sz w:val="21"/>
          <w:szCs w:val="21"/>
          <w:u w:val="single" w:color="auto"/>
          <w:color w:val="auto"/>
        </w:rPr>
        <w:t>Section 2.03(c)</w:t>
      </w:r>
      <w:r>
        <w:rPr>
          <w:rFonts w:ascii="Times New Roman" w:cs="Times New Roman" w:eastAsia="Times New Roman" w:hAnsi="Times New Roman"/>
          <w:sz w:val="21"/>
          <w:szCs w:val="21"/>
          <w:color w:val="auto"/>
        </w:rPr>
        <w:t xml:space="preserve"> is subject to the conditions set forth in </w:t>
      </w:r>
      <w:r>
        <w:rPr>
          <w:rFonts w:ascii="Times New Roman" w:cs="Times New Roman" w:eastAsia="Times New Roman" w:hAnsi="Times New Roman"/>
          <w:sz w:val="21"/>
          <w:szCs w:val="21"/>
          <w:u w:val="single" w:color="auto"/>
          <w:color w:val="auto"/>
        </w:rPr>
        <w:t>Section 4.02</w:t>
      </w:r>
      <w:r>
        <w:rPr>
          <w:rFonts w:ascii="Times New Roman" w:cs="Times New Roman" w:eastAsia="Times New Roman" w:hAnsi="Times New Roman"/>
          <w:sz w:val="21"/>
          <w:szCs w:val="21"/>
          <w:color w:val="auto"/>
        </w:rPr>
        <w:t xml:space="preserve"> (other than delivery by the Borrower of a Committed Loan Notice). No such making of an L/C Advance shall relieve or otherwise impair the obligation of the Borrower to reimburse the applicable L/C Issuer for the amount of any payment made by the applicable L/C Issuer under any Letter of Credit, together with interest as provided herein.</w:t>
      </w:r>
    </w:p>
    <w:p>
      <w:pPr>
        <w:spacing w:after="0" w:line="149" w:lineRule="exact"/>
        <w:rPr>
          <w:rFonts w:ascii="Times New Roman" w:cs="Times New Roman" w:eastAsia="Times New Roman" w:hAnsi="Times New Roman"/>
          <w:sz w:val="21"/>
          <w:szCs w:val="21"/>
          <w:color w:val="auto"/>
        </w:rPr>
      </w:pPr>
    </w:p>
    <w:p>
      <w:pPr>
        <w:jc w:val="both"/>
        <w:ind w:firstLine="1274"/>
        <w:spacing w:after="0" w:line="215" w:lineRule="auto"/>
        <w:tabs>
          <w:tab w:leader="none" w:pos="1896" w:val="left"/>
        </w:tabs>
        <w:numPr>
          <w:ilvl w:val="1"/>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any Revolving Credit Lender fails to make available to the Administrative Agent for the account of the applicable L/C Issuer any amount required to be paid by such Revolving Credit Lender pursuant to the foregoing provisions of this </w:t>
      </w:r>
      <w:r>
        <w:rPr>
          <w:rFonts w:ascii="Times New Roman" w:cs="Times New Roman" w:eastAsia="Times New Roman" w:hAnsi="Times New Roman"/>
          <w:sz w:val="21"/>
          <w:szCs w:val="21"/>
          <w:u w:val="single" w:color="auto"/>
          <w:color w:val="auto"/>
        </w:rPr>
        <w:t>Section 2.03(c)</w:t>
      </w:r>
      <w:r>
        <w:rPr>
          <w:rFonts w:ascii="Times New Roman" w:cs="Times New Roman" w:eastAsia="Times New Roman" w:hAnsi="Times New Roman"/>
          <w:sz w:val="21"/>
          <w:szCs w:val="21"/>
          <w:color w:val="auto"/>
        </w:rPr>
        <w:t xml:space="preserve"> by the time specified in </w:t>
      </w:r>
      <w:r>
        <w:rPr>
          <w:rFonts w:ascii="Times New Roman" w:cs="Times New Roman" w:eastAsia="Times New Roman" w:hAnsi="Times New Roman"/>
          <w:sz w:val="21"/>
          <w:szCs w:val="21"/>
          <w:u w:val="single" w:color="auto"/>
          <w:color w:val="auto"/>
        </w:rPr>
        <w:t>Section 2.03(c)(ii)</w:t>
      </w:r>
      <w:r>
        <w:rPr>
          <w:rFonts w:ascii="Times New Roman" w:cs="Times New Roman" w:eastAsia="Times New Roman" w:hAnsi="Times New Roman"/>
          <w:sz w:val="21"/>
          <w:szCs w:val="21"/>
          <w:color w:val="auto"/>
        </w:rPr>
        <w:t xml:space="preserve">, the applicable L/C Issuer shall be entitled to recover from such Revolving Credit Lender (acting through the Administrative Agent), on demand, such amount with interest thereon for the period from the date such payment is required to the date on which such payment is immediately available to the applicable L/C Issuer at a rate per annum equal to the greater of the Federal Funds Effective Rate and a rate determined by the applicable L/C Issuer in accordance with banking industry rules on interbank compensation,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any administrative, processing or similar fees customarily charged by the applicable L/C Issuer in connection with the foregoing. If such Revolving Credit Lender pays such amount (with interest and fees as aforesaid), the amount so paid shall constitute such Revolving Credit Lender’s Revolving Credit Loan included in the relevant Revolving Credit Borrowing or L/C Advance in respect of the relevant L/C Borrowing, as the case may be. A certificate of the applicable L/C Issuer submitted to any Revolving Credit Lender (through the Administrative Agent) with respect to any amounts owing under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2.03(c)(vi)</w:t>
      </w:r>
      <w:r>
        <w:rPr>
          <w:rFonts w:ascii="Times New Roman" w:cs="Times New Roman" w:eastAsia="Times New Roman" w:hAnsi="Times New Roman"/>
          <w:sz w:val="21"/>
          <w:szCs w:val="21"/>
          <w:color w:val="auto"/>
        </w:rPr>
        <w:t xml:space="preserve"> shall be conclusive absent manifest error.</w:t>
      </w:r>
    </w:p>
    <w:p>
      <w:pPr>
        <w:spacing w:after="0" w:line="153" w:lineRule="exact"/>
        <w:rPr>
          <w:rFonts w:ascii="Times New Roman" w:cs="Times New Roman" w:eastAsia="Times New Roman" w:hAnsi="Times New Roman"/>
          <w:sz w:val="21"/>
          <w:szCs w:val="21"/>
          <w:color w:val="auto"/>
        </w:rPr>
      </w:pPr>
    </w:p>
    <w:p>
      <w:pPr>
        <w:ind w:left="1260" w:hanging="622"/>
        <w:spacing w:after="0"/>
        <w:tabs>
          <w:tab w:leader="none" w:pos="1260"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Repayment of Participations</w:t>
      </w:r>
      <w:r>
        <w:rPr>
          <w:rFonts w:ascii="Times New Roman" w:cs="Times New Roman" w:eastAsia="Times New Roman" w:hAnsi="Times New Roman"/>
          <w:sz w:val="21"/>
          <w:szCs w:val="21"/>
          <w:color w:val="auto"/>
        </w:rPr>
        <w:t>.</w:t>
      </w:r>
    </w:p>
    <w:p>
      <w:pPr>
        <w:spacing w:after="0" w:line="184" w:lineRule="exact"/>
        <w:rPr>
          <w:rFonts w:ascii="Times New Roman" w:cs="Times New Roman" w:eastAsia="Times New Roman" w:hAnsi="Times New Roman"/>
          <w:sz w:val="21"/>
          <w:szCs w:val="21"/>
          <w:color w:val="auto"/>
        </w:rPr>
      </w:pPr>
    </w:p>
    <w:p>
      <w:pPr>
        <w:jc w:val="both"/>
        <w:ind w:firstLine="1274"/>
        <w:spacing w:after="0" w:line="223" w:lineRule="auto"/>
        <w:tabs>
          <w:tab w:leader="none" w:pos="1896" w:val="left"/>
        </w:tabs>
        <w:numPr>
          <w:ilvl w:val="1"/>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At any time after the applicable L/C Issuer has made a payment under any Letter of Credit and has received from any Revolving Credit Lender such Revolving Credit Lender’s L/C Advance in respect of such payment in accordance with </w:t>
      </w:r>
      <w:r>
        <w:rPr>
          <w:rFonts w:ascii="Times New Roman" w:cs="Times New Roman" w:eastAsia="Times New Roman" w:hAnsi="Times New Roman"/>
          <w:sz w:val="21"/>
          <w:szCs w:val="21"/>
          <w:u w:val="single" w:color="auto"/>
          <w:color w:val="auto"/>
        </w:rPr>
        <w:t>Section 2.03(c)</w:t>
      </w:r>
      <w:r>
        <w:rPr>
          <w:rFonts w:ascii="Times New Roman" w:cs="Times New Roman" w:eastAsia="Times New Roman" w:hAnsi="Times New Roman"/>
          <w:sz w:val="21"/>
          <w:szCs w:val="21"/>
          <w:color w:val="auto"/>
        </w:rPr>
        <w:t>, if the Administrative Agent receives for the account of the applicable L/C Issuer any payment in respect of the related Unreimbursed Amount or interest thereon (whether directly from the Borrower or otherwise, including proceeds of Cash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1"/>
          <w:szCs w:val="21"/>
          <w:color w:val="auto"/>
        </w:rPr>
        <w:t>82</w:t>
      </w:r>
    </w:p>
    <w:p>
      <w:pPr>
        <w:sectPr>
          <w:pgSz w:w="11900" w:h="16838" w:orient="portrait"/>
          <w:cols w:equalWidth="0" w:num="1">
            <w:col w:w="10600"/>
          </w:cols>
          <w:pgMar w:left="960" w:top="1371" w:right="339" w:bottom="1440" w:gutter="0" w:footer="0" w:header="0"/>
        </w:sectPr>
      </w:pPr>
    </w:p>
    <w:bookmarkStart w:id="188" w:name="page189"/>
    <w:bookmarkEnd w:id="188"/>
    <w:p>
      <w:pPr>
        <w:jc w:val="both"/>
        <w:ind w:left="640"/>
        <w:spacing w:after="0" w:line="245" w:lineRule="auto"/>
        <w:rPr>
          <w:sz w:val="20"/>
          <w:szCs w:val="20"/>
          <w:color w:val="auto"/>
        </w:rPr>
      </w:pPr>
      <w:r>
        <w:rPr>
          <w:rFonts w:ascii="Times New Roman" w:cs="Times New Roman" w:eastAsia="Times New Roman" w:hAnsi="Times New Roman"/>
          <w:sz w:val="21"/>
          <w:szCs w:val="21"/>
          <w:color w:val="auto"/>
        </w:rPr>
        <w:t>applied thereto by the Administrative Agent), the Administrative Agent will promptly distribute to such Revolving Credit Lender its Applicable Revolving Credit Percentage thereof in the same funds as those received by the Administrative Agent.</w:t>
      </w:r>
    </w:p>
    <w:p>
      <w:pPr>
        <w:spacing w:after="0" w:line="143" w:lineRule="exact"/>
        <w:rPr>
          <w:sz w:val="20"/>
          <w:szCs w:val="20"/>
          <w:color w:val="auto"/>
        </w:rPr>
      </w:pPr>
    </w:p>
    <w:p>
      <w:pPr>
        <w:jc w:val="both"/>
        <w:ind w:left="640" w:firstLine="1274"/>
        <w:spacing w:after="0" w:line="218" w:lineRule="auto"/>
        <w:tabs>
          <w:tab w:leader="none" w:pos="2542" w:val="left"/>
        </w:tabs>
        <w:numPr>
          <w:ilvl w:val="1"/>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any payment received by the Administrative Agent for the account of the applicable L/C Issuer pursuant to </w:t>
      </w:r>
      <w:r>
        <w:rPr>
          <w:rFonts w:ascii="Times New Roman" w:cs="Times New Roman" w:eastAsia="Times New Roman" w:hAnsi="Times New Roman"/>
          <w:sz w:val="21"/>
          <w:szCs w:val="21"/>
          <w:u w:val="single" w:color="auto"/>
          <w:color w:val="auto"/>
        </w:rPr>
        <w:t>Section 2.03(c)(i)</w:t>
      </w:r>
      <w:r>
        <w:rPr>
          <w:rFonts w:ascii="Times New Roman" w:cs="Times New Roman" w:eastAsia="Times New Roman" w:hAnsi="Times New Roman"/>
          <w:sz w:val="21"/>
          <w:szCs w:val="21"/>
          <w:color w:val="auto"/>
        </w:rPr>
        <w:t xml:space="preserve"> is required to be returned under any of the circumstances described in </w:t>
      </w:r>
      <w:r>
        <w:rPr>
          <w:rFonts w:ascii="Times New Roman" w:cs="Times New Roman" w:eastAsia="Times New Roman" w:hAnsi="Times New Roman"/>
          <w:sz w:val="21"/>
          <w:szCs w:val="21"/>
          <w:u w:val="single" w:color="auto"/>
          <w:color w:val="auto"/>
        </w:rPr>
        <w:t>Section 10.05</w:t>
      </w:r>
      <w:r>
        <w:rPr>
          <w:rFonts w:ascii="Times New Roman" w:cs="Times New Roman" w:eastAsia="Times New Roman" w:hAnsi="Times New Roman"/>
          <w:sz w:val="21"/>
          <w:szCs w:val="21"/>
          <w:color w:val="auto"/>
        </w:rPr>
        <w:t xml:space="preserve"> (including pursuant to any settlement entered into by the applicable L/C Issuer in its discretion), each Revolving Credit Lender shall pay to the Administrative Agent for the account of the applicable L/C Issuer its Applicable Revolving Credit Percentage thereof on demand of the Administrative Agent,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interest thereon from the date of such demand to the date such amount is returned by such Revolving Credit Lender, at a rate per annum equal to the Federal Funds Effective Rate from time to time in effect. The obligations of the Revolving Credit Lenders under this clause shall survive the payment in full of the Obligations, the termination of the Commitments and the termination of this Agreement.</w:t>
      </w:r>
    </w:p>
    <w:p>
      <w:pPr>
        <w:spacing w:after="0" w:line="151" w:lineRule="exact"/>
        <w:rPr>
          <w:rFonts w:ascii="Times New Roman" w:cs="Times New Roman" w:eastAsia="Times New Roman" w:hAnsi="Times New Roman"/>
          <w:sz w:val="21"/>
          <w:szCs w:val="21"/>
          <w:color w:val="auto"/>
        </w:rPr>
      </w:pPr>
    </w:p>
    <w:p>
      <w:pPr>
        <w:jc w:val="both"/>
        <w:ind w:firstLine="1278"/>
        <w:spacing w:after="0" w:line="232" w:lineRule="auto"/>
        <w:tabs>
          <w:tab w:leader="none" w:pos="1905" w:val="left"/>
        </w:tabs>
        <w:numPr>
          <w:ilvl w:val="0"/>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Obligations Absolute</w:t>
      </w:r>
      <w:r>
        <w:rPr>
          <w:rFonts w:ascii="Times New Roman" w:cs="Times New Roman" w:eastAsia="Times New Roman" w:hAnsi="Times New Roman"/>
          <w:sz w:val="21"/>
          <w:szCs w:val="21"/>
          <w:color w:val="auto"/>
        </w:rPr>
        <w:t>. The obligation of the Borrower to reimburse the applicable L/C Issuer for each</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drawing under each Letter of Credit and to repay each L/C Borrowing shall be absolute, unconditional and irrevocable, and shall be paid strictly in accordance with the terms of this Agreement under all circumstances, including the following:</w:t>
      </w:r>
    </w:p>
    <w:p>
      <w:pPr>
        <w:spacing w:after="0" w:line="144" w:lineRule="exact"/>
        <w:rPr>
          <w:rFonts w:ascii="Times New Roman" w:cs="Times New Roman" w:eastAsia="Times New Roman" w:hAnsi="Times New Roman"/>
          <w:sz w:val="21"/>
          <w:szCs w:val="21"/>
          <w:color w:val="auto"/>
        </w:rPr>
      </w:pPr>
    </w:p>
    <w:p>
      <w:pPr>
        <w:ind w:left="2540" w:hanging="626"/>
        <w:spacing w:after="0"/>
        <w:tabs>
          <w:tab w:leader="none" w:pos="2540" w:val="left"/>
        </w:tabs>
        <w:numPr>
          <w:ilvl w:val="1"/>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lack of validity or enforceability of such Letter of Credit, this Agreement, or any other Loan</w:t>
      </w:r>
    </w:p>
    <w:p>
      <w:pPr>
        <w:ind w:left="6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Document;</w:t>
      </w:r>
    </w:p>
    <w:p>
      <w:pPr>
        <w:spacing w:after="0" w:line="159" w:lineRule="exact"/>
        <w:rPr>
          <w:sz w:val="20"/>
          <w:szCs w:val="20"/>
          <w:color w:val="auto"/>
        </w:rPr>
      </w:pPr>
    </w:p>
    <w:p>
      <w:pPr>
        <w:jc w:val="both"/>
        <w:ind w:left="640" w:firstLine="1274"/>
        <w:spacing w:after="0" w:line="223" w:lineRule="auto"/>
        <w:tabs>
          <w:tab w:leader="none" w:pos="2542" w:val="left"/>
        </w:tabs>
        <w:numPr>
          <w:ilvl w:val="0"/>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existence of any claim, counterclaim, setoff, defense or other right that the Borrower or any Subsidiary may have at any time against any beneficiary or any transferee of such Letter of Credit (or any Person for whom any such beneficiary or any such transferee may be acting), the applicable L/C Issuer or any other Person, whether in connection with this Agreement, the transactions contemplated hereby or by such Letter of Credit or any agreement or instrument relating thereto, or any unrelated transaction;</w:t>
      </w:r>
    </w:p>
    <w:p>
      <w:pPr>
        <w:spacing w:after="0" w:line="150" w:lineRule="exact"/>
        <w:rPr>
          <w:rFonts w:ascii="Times New Roman" w:cs="Times New Roman" w:eastAsia="Times New Roman" w:hAnsi="Times New Roman"/>
          <w:sz w:val="21"/>
          <w:szCs w:val="21"/>
          <w:color w:val="auto"/>
        </w:rPr>
      </w:pPr>
    </w:p>
    <w:p>
      <w:pPr>
        <w:jc w:val="both"/>
        <w:ind w:left="640" w:firstLine="1274"/>
        <w:spacing w:after="0" w:line="226" w:lineRule="auto"/>
        <w:tabs>
          <w:tab w:leader="none" w:pos="2548" w:val="left"/>
        </w:tabs>
        <w:numPr>
          <w:ilvl w:val="0"/>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50" w:lineRule="exact"/>
        <w:rPr>
          <w:rFonts w:ascii="Times New Roman" w:cs="Times New Roman" w:eastAsia="Times New Roman" w:hAnsi="Times New Roman"/>
          <w:sz w:val="21"/>
          <w:szCs w:val="21"/>
          <w:color w:val="auto"/>
        </w:rPr>
      </w:pPr>
    </w:p>
    <w:p>
      <w:pPr>
        <w:jc w:val="both"/>
        <w:ind w:left="640" w:firstLine="1274"/>
        <w:spacing w:after="0" w:line="223" w:lineRule="auto"/>
        <w:tabs>
          <w:tab w:leader="none" w:pos="2536" w:val="left"/>
        </w:tabs>
        <w:numPr>
          <w:ilvl w:val="0"/>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payment by the applicable L/C Issuer under such Letter of Credit against presentation of a draft or certificate that does not strictly comply with the terms of such Letter of Credit; or any payment made by the applicable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w:t>
      </w:r>
    </w:p>
    <w:p>
      <w:pPr>
        <w:spacing w:after="0" w:line="150" w:lineRule="exact"/>
        <w:rPr>
          <w:rFonts w:ascii="Times New Roman" w:cs="Times New Roman" w:eastAsia="Times New Roman" w:hAnsi="Times New Roman"/>
          <w:sz w:val="21"/>
          <w:szCs w:val="21"/>
          <w:color w:val="auto"/>
        </w:rPr>
      </w:pPr>
    </w:p>
    <w:p>
      <w:pPr>
        <w:ind w:left="640" w:firstLine="1274"/>
        <w:spacing w:after="0" w:line="245" w:lineRule="auto"/>
        <w:tabs>
          <w:tab w:leader="none" w:pos="2543" w:val="left"/>
        </w:tabs>
        <w:numPr>
          <w:ilvl w:val="0"/>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adverse change in the relevant exchange rates or in the availability of the relevant Alternative Currency to the Borrower or any Subsidiary or in the relevant currency markets generally; or</w:t>
      </w:r>
    </w:p>
    <w:p>
      <w:pPr>
        <w:spacing w:after="0" w:line="142" w:lineRule="exact"/>
        <w:rPr>
          <w:rFonts w:ascii="Times New Roman" w:cs="Times New Roman" w:eastAsia="Times New Roman" w:hAnsi="Times New Roman"/>
          <w:sz w:val="21"/>
          <w:szCs w:val="21"/>
          <w:color w:val="auto"/>
        </w:rPr>
      </w:pPr>
    </w:p>
    <w:p>
      <w:pPr>
        <w:ind w:left="640" w:right="20" w:firstLine="1274"/>
        <w:spacing w:after="0" w:line="245" w:lineRule="auto"/>
        <w:tabs>
          <w:tab w:leader="none" w:pos="2536" w:val="left"/>
        </w:tabs>
        <w:numPr>
          <w:ilvl w:val="0"/>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other circumstance or happening whatsoever, whether or not similar to any of the foregoing, including any other circumstance that might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83</w:t>
      </w:r>
    </w:p>
    <w:p>
      <w:pPr>
        <w:sectPr>
          <w:pgSz w:w="11900" w:h="16838" w:orient="portrait"/>
          <w:cols w:equalWidth="0" w:num="1">
            <w:col w:w="11240"/>
          </w:cols>
          <w:pgMar w:left="320" w:top="1371" w:right="339" w:bottom="1440" w:gutter="0" w:footer="0" w:header="0"/>
        </w:sectPr>
      </w:pPr>
    </w:p>
    <w:bookmarkStart w:id="189" w:name="page190"/>
    <w:bookmarkEnd w:id="189"/>
    <w:p>
      <w:pPr>
        <w:ind w:left="640"/>
        <w:spacing w:after="0"/>
        <w:rPr>
          <w:sz w:val="20"/>
          <w:szCs w:val="20"/>
          <w:color w:val="auto"/>
        </w:rPr>
      </w:pPr>
      <w:r>
        <w:rPr>
          <w:rFonts w:ascii="Times New Roman" w:cs="Times New Roman" w:eastAsia="Times New Roman" w:hAnsi="Times New Roman"/>
          <w:sz w:val="21"/>
          <w:szCs w:val="21"/>
          <w:color w:val="auto"/>
        </w:rPr>
        <w:t>constitute a defense available to, or a discharge of, the Borrower or any of its Subsidiaries.</w:t>
      </w:r>
    </w:p>
    <w:p>
      <w:pPr>
        <w:spacing w:after="0" w:line="209" w:lineRule="exact"/>
        <w:rPr>
          <w:sz w:val="20"/>
          <w:szCs w:val="20"/>
          <w:color w:val="auto"/>
        </w:rPr>
      </w:pPr>
    </w:p>
    <w:p>
      <w:pPr>
        <w:jc w:val="both"/>
        <w:ind w:firstLine="636"/>
        <w:spacing w:after="0" w:line="262" w:lineRule="auto"/>
        <w:rPr>
          <w:sz w:val="20"/>
          <w:szCs w:val="20"/>
          <w:color w:val="auto"/>
        </w:rPr>
      </w:pPr>
      <w:r>
        <w:rPr>
          <w:rFonts w:ascii="Times New Roman" w:cs="Times New Roman" w:eastAsia="Times New Roman" w:hAnsi="Times New Roman"/>
          <w:sz w:val="21"/>
          <w:szCs w:val="21"/>
          <w:color w:val="auto"/>
        </w:rPr>
        <w:t>The Borrower shall promptly examine a copy of each Letter of Credit and each amendment thereto that is delivered to it and, in the event of any claim of noncompliance with the Borrower’s instructions or other irregularity, the Borrower will promptly notify the applicable L/C Issuer. The Borrower shall be conclusively deemed to have waived any such claim against the applicable L/C Issuer and its correspondents unless such notice is given as aforesaid or such claim arises from the applicable L/C Issuer’s gross negligence or willful misconduct (as determined by a final non-appealable order of a court of competent jurisdiction).</w:t>
      </w:r>
    </w:p>
    <w:p>
      <w:pPr>
        <w:spacing w:after="0" w:line="137" w:lineRule="exact"/>
        <w:rPr>
          <w:sz w:val="20"/>
          <w:szCs w:val="20"/>
          <w:color w:val="auto"/>
        </w:rPr>
      </w:pPr>
    </w:p>
    <w:p>
      <w:pPr>
        <w:jc w:val="both"/>
        <w:ind w:firstLine="1278"/>
        <w:spacing w:after="0" w:line="213" w:lineRule="auto"/>
        <w:tabs>
          <w:tab w:leader="none" w:pos="1908" w:val="left"/>
        </w:tabs>
        <w:numPr>
          <w:ilvl w:val="0"/>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Role of L/C Issuer</w:t>
      </w:r>
      <w:r>
        <w:rPr>
          <w:rFonts w:ascii="Times New Roman" w:cs="Times New Roman" w:eastAsia="Times New Roman" w:hAnsi="Times New Roman"/>
          <w:sz w:val="21"/>
          <w:szCs w:val="21"/>
          <w:color w:val="auto"/>
        </w:rPr>
        <w:t>. Each Lender and the Borrower agree that, in paying any drawing under a Letter of Credit,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the applicable L/C Issuer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L/C Issuers, the Administrative Agent, any of their respective Related Parties nor any correspondent, participant or assignee of any L/C Issuer shall be liable to any Lender for (i) any action taken or omitted in connection herewith at the request or with the approval of the Revolving Credit Lenders or the Required Revolving Credit Lenders, as applicable; (ii) any action taken or omitted in the absence of gross negligence or willful misconduct (as determined by a final non-appealable order of a court of competent jurisdiction); or (iii) the due execution, effectiveness, validity or enforceability of any document or instrument related to any Letter of Credit or Issuer Document. The Borrower hereby assumes all risks of the acts or omissions of any beneficiary or transferee with respect to its use of any Letter of Credit;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this assumption is not intended to, and shall not, preclude the Borrower’s pursuing such rights and remedies as it may have against the beneficiary or transferee at law or under any other agreement. None of the L/C Issuers, the Administrative Agent, any of their respective Related Parties nor any correspondent, participant or assignee of any L/C Issuer shall be liable or responsible for any of the matters described in </w:t>
      </w:r>
      <w:r>
        <w:rPr>
          <w:rFonts w:ascii="Times New Roman" w:cs="Times New Roman" w:eastAsia="Times New Roman" w:hAnsi="Times New Roman"/>
          <w:sz w:val="21"/>
          <w:szCs w:val="21"/>
          <w:u w:val="single" w:color="auto"/>
          <w:color w:val="auto"/>
        </w:rPr>
        <w:t>clauses (i)</w:t>
      </w:r>
      <w:r>
        <w:rPr>
          <w:rFonts w:ascii="Times New Roman" w:cs="Times New Roman" w:eastAsia="Times New Roman" w:hAnsi="Times New Roman"/>
          <w:sz w:val="21"/>
          <w:szCs w:val="21"/>
          <w:color w:val="auto"/>
        </w:rPr>
        <w:t xml:space="preserve"> through </w:t>
      </w:r>
      <w:r>
        <w:rPr>
          <w:rFonts w:ascii="Times New Roman" w:cs="Times New Roman" w:eastAsia="Times New Roman" w:hAnsi="Times New Roman"/>
          <w:sz w:val="21"/>
          <w:szCs w:val="21"/>
          <w:u w:val="single" w:color="auto"/>
          <w:color w:val="auto"/>
        </w:rPr>
        <w:t>(vi)</w:t>
      </w:r>
      <w:r>
        <w:rPr>
          <w:rFonts w:ascii="Times New Roman" w:cs="Times New Roman" w:eastAsia="Times New Roman" w:hAnsi="Times New Roman"/>
          <w:sz w:val="21"/>
          <w:szCs w:val="21"/>
          <w:color w:val="auto"/>
        </w:rPr>
        <w:t xml:space="preserve"> of </w:t>
      </w:r>
      <w:r>
        <w:rPr>
          <w:rFonts w:ascii="Times New Roman" w:cs="Times New Roman" w:eastAsia="Times New Roman" w:hAnsi="Times New Roman"/>
          <w:sz w:val="21"/>
          <w:szCs w:val="21"/>
          <w:u w:val="single" w:color="auto"/>
          <w:color w:val="auto"/>
        </w:rPr>
        <w:t>Section 2.03(e)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anything in such clauses to the contrary notwithstanding, the Borrower may have a claim against an L/C Issuer, and an L/C Issuer may be liable to the Borrower, to the extent, but only to the extent, of any direct, as opposed to consequential or exemplary, damages suffered by the Borrower which are determined by a final non-appealable order of a court of competent jurisdiction to have been caused by such L/C Issuer’s willful misconduct or gross negligence or such L/C Issuer’s willful failure to pay under any Letter of Credit after the presentation to it by the beneficiary of a sight draft and certificate(s) strictly complying with the terms and conditions of a Letter of Credit. In furtherance and not in limitation of the foregoing, any L/C Issuer may accept documents that appear on their face to be in order, without responsibility for further investigation, regardless of any notice or information to the contrary, and the L/C Issuers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w:t>
      </w:r>
    </w:p>
    <w:p>
      <w:pPr>
        <w:spacing w:after="0" w:line="156" w:lineRule="exact"/>
        <w:rPr>
          <w:rFonts w:ascii="Times New Roman" w:cs="Times New Roman" w:eastAsia="Times New Roman" w:hAnsi="Times New Roman"/>
          <w:sz w:val="21"/>
          <w:szCs w:val="21"/>
          <w:color w:val="auto"/>
        </w:rPr>
      </w:pPr>
    </w:p>
    <w:p>
      <w:pPr>
        <w:jc w:val="both"/>
        <w:ind w:firstLine="1278"/>
        <w:spacing w:after="0" w:line="227" w:lineRule="auto"/>
        <w:tabs>
          <w:tab w:leader="none" w:pos="1903" w:val="left"/>
        </w:tabs>
        <w:numPr>
          <w:ilvl w:val="0"/>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Applicability of ISP/URDG 758</w:t>
      </w:r>
      <w:r>
        <w:rPr>
          <w:rFonts w:ascii="Times New Roman" w:cs="Times New Roman" w:eastAsia="Times New Roman" w:hAnsi="Times New Roman"/>
          <w:sz w:val="21"/>
          <w:szCs w:val="21"/>
          <w:color w:val="auto"/>
        </w:rPr>
        <w:t>. Unless otherwise expressly agreed by the applicable L/C Issuer and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Borrower, (i) when a Letter of Credit (other than a Bank Guarantee) is issued, the rules of the ISP shall apply to each Letter of Credit and (ii) when a Bank Guarantee is issued, the rules of the Uniform Rules for Demand Guarantees (URDG) 2010 Revision, ICC Publication No. 758 (“</w:t>
      </w:r>
      <w:r>
        <w:rPr>
          <w:rFonts w:ascii="Times New Roman" w:cs="Times New Roman" w:eastAsia="Times New Roman" w:hAnsi="Times New Roman"/>
          <w:sz w:val="21"/>
          <w:szCs w:val="21"/>
          <w:b w:val="1"/>
          <w:bCs w:val="1"/>
          <w:color w:val="auto"/>
        </w:rPr>
        <w:t>URDG 758</w:t>
      </w:r>
      <w:r>
        <w:rPr>
          <w:rFonts w:ascii="Times New Roman" w:cs="Times New Roman" w:eastAsia="Times New Roman" w:hAnsi="Times New Roman"/>
          <w:sz w:val="21"/>
          <w:szCs w:val="21"/>
          <w:color w:val="auto"/>
        </w:rPr>
        <w:t>”) shall apply to each Bank Guarantee.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84</w:t>
      </w:r>
    </w:p>
    <w:p>
      <w:pPr>
        <w:sectPr>
          <w:pgSz w:w="11900" w:h="16838" w:orient="portrait"/>
          <w:cols w:equalWidth="0" w:num="1">
            <w:col w:w="11240"/>
          </w:cols>
          <w:pgMar w:left="320" w:top="1371" w:right="339" w:bottom="1440" w:gutter="0" w:footer="0" w:header="0"/>
        </w:sectPr>
      </w:pPr>
    </w:p>
    <w:bookmarkStart w:id="190" w:name="page191"/>
    <w:bookmarkEnd w:id="190"/>
    <w:p>
      <w:pPr>
        <w:jc w:val="both"/>
        <w:ind w:firstLine="1278"/>
        <w:spacing w:after="0" w:line="214" w:lineRule="auto"/>
        <w:tabs>
          <w:tab w:leader="none" w:pos="1903" w:val="left"/>
        </w:tabs>
        <w:numPr>
          <w:ilvl w:val="0"/>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Letter of Credit Fees</w:t>
      </w:r>
      <w:r>
        <w:rPr>
          <w:rFonts w:ascii="Times New Roman" w:cs="Times New Roman" w:eastAsia="Times New Roman" w:hAnsi="Times New Roman"/>
          <w:sz w:val="21"/>
          <w:szCs w:val="21"/>
          <w:color w:val="auto"/>
        </w:rPr>
        <w:t>. The Borrower shall pay to the Administrative Agent for the account of each Revolving</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Credit Lender in accordance with its Applicable Revolving Credit Percentage of the applicable Revolving Credit Facility, in U.S. Dollars, a Letter of Credit fee (the “</w:t>
      </w:r>
      <w:r>
        <w:rPr>
          <w:rFonts w:ascii="Times New Roman" w:cs="Times New Roman" w:eastAsia="Times New Roman" w:hAnsi="Times New Roman"/>
          <w:sz w:val="21"/>
          <w:szCs w:val="21"/>
          <w:b w:val="1"/>
          <w:bCs w:val="1"/>
          <w:color w:val="auto"/>
        </w:rPr>
        <w:t>Letter of Credit Fee</w:t>
      </w:r>
      <w:r>
        <w:rPr>
          <w:rFonts w:ascii="Times New Roman" w:cs="Times New Roman" w:eastAsia="Times New Roman" w:hAnsi="Times New Roman"/>
          <w:sz w:val="21"/>
          <w:szCs w:val="21"/>
          <w:color w:val="auto"/>
        </w:rPr>
        <w:t xml:space="preserve">”) for each Letter of Credit equal to the Applicable Rate of the applicable Revolving Credit Facility times the U.S. Dollar Equivalent determined as of the last Business Day of each March, June, September and December of the daily amount available to be drawn under such Letter of Credit;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any Letter of Credit Fees otherwise payable for the account of a Defaulting Lender with respect to any Letter of Credit as to which such Defaulting Lender has not provided Cash Collateral satisfactory to the applicable L/C Issuer shall be payable, to the maximum extent permitted by applicable Law, to the other Revolving Credit Lenders in accordance with the upward adjustments in their respective Applicable Percentages allocable to such Letter of Credit pursuant to </w:t>
      </w:r>
      <w:r>
        <w:rPr>
          <w:rFonts w:ascii="Times New Roman" w:cs="Times New Roman" w:eastAsia="Times New Roman" w:hAnsi="Times New Roman"/>
          <w:sz w:val="21"/>
          <w:szCs w:val="21"/>
          <w:u w:val="single" w:color="auto"/>
          <w:color w:val="auto"/>
        </w:rPr>
        <w:t>Section 2.16(a)(iv)</w:t>
      </w:r>
      <w:r>
        <w:rPr>
          <w:rFonts w:ascii="Times New Roman" w:cs="Times New Roman" w:eastAsia="Times New Roman" w:hAnsi="Times New Roman"/>
          <w:sz w:val="21"/>
          <w:szCs w:val="21"/>
          <w:color w:val="auto"/>
        </w:rPr>
        <w:t xml:space="preserve">, with the balance of such fee, if any, payable to the applicable L/C Issuer for its own account. For purposes of computing the daily amount available to be drawn under any Letter of Credit, the amount of such Letter of Credit shall be determined in accordance with </w:t>
      </w:r>
      <w:r>
        <w:rPr>
          <w:rFonts w:ascii="Times New Roman" w:cs="Times New Roman" w:eastAsia="Times New Roman" w:hAnsi="Times New Roman"/>
          <w:sz w:val="21"/>
          <w:szCs w:val="21"/>
          <w:u w:val="single" w:color="auto"/>
          <w:color w:val="auto"/>
        </w:rPr>
        <w:t>Section 1.06</w:t>
      </w:r>
      <w:r>
        <w:rPr>
          <w:rFonts w:ascii="Times New Roman" w:cs="Times New Roman" w:eastAsia="Times New Roman" w:hAnsi="Times New Roman"/>
          <w:sz w:val="21"/>
          <w:szCs w:val="21"/>
          <w:color w:val="auto"/>
        </w:rPr>
        <w:t>. Letter of Credit Fees shall be (i) due and payable on the last Business Day of each March, June, September and December, commencing with the first such date to occur after the issuance of such Letter of Credit, on the Letter of Credit Expiration Date and thereafter on demand and (ii) computed on a quarterly basis in arrears. If there is any change in the Applicable Rate during any quarter, the daily amount available to be drawn under each Letter of Credit shall be computed and multiplied by the Applicable Rate separately for each period during such quarter that such Applicable Rate was in effect.</w:t>
      </w:r>
    </w:p>
    <w:p>
      <w:pPr>
        <w:spacing w:after="0" w:line="158" w:lineRule="exact"/>
        <w:rPr>
          <w:rFonts w:ascii="Times New Roman" w:cs="Times New Roman" w:eastAsia="Times New Roman" w:hAnsi="Times New Roman"/>
          <w:sz w:val="21"/>
          <w:szCs w:val="21"/>
          <w:color w:val="auto"/>
        </w:rPr>
      </w:pPr>
    </w:p>
    <w:p>
      <w:pPr>
        <w:jc w:val="both"/>
        <w:ind w:firstLine="1278"/>
        <w:spacing w:after="0" w:line="216" w:lineRule="auto"/>
        <w:tabs>
          <w:tab w:leader="none" w:pos="1896" w:val="left"/>
        </w:tabs>
        <w:numPr>
          <w:ilvl w:val="0"/>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Fronting Fee and Documentary and Processing Charges Payable to L/C Issuer</w:t>
      </w:r>
      <w:r>
        <w:rPr>
          <w:rFonts w:ascii="Times New Roman" w:cs="Times New Roman" w:eastAsia="Times New Roman" w:hAnsi="Times New Roman"/>
          <w:sz w:val="21"/>
          <w:szCs w:val="21"/>
          <w:color w:val="auto"/>
        </w:rPr>
        <w:t>. The Borrower shall pay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directly to the applicable L/C Issuer for its own account, in U.S. Dollars, a fronting fee with respect to each Letter of Credit issued by such L/C Issuer, at a rate per annum of 0.125%, computed on the U.S. Dollar Equivalent determined as of the last Business Day of each March, June, September and December of the daily amount available to be drawn under such Letter of Credit on a quarterly basis in arrears. Such fronting fee shall be due and payable on the last Business Day of each March, June, September and December in respect of the most recently-ended quarterly period (or portion thereof, in the case of the first payment), commencing with the first such date to occur after the issuance of such Letter of Credit, on the Letter of Credit Expiration Date and thereafter on demand. For purposes of computing the daily amount available to be drawn under any Letter of Credit, the amount of such Letter of Credit shall be determined in accordance with </w:t>
      </w:r>
      <w:r>
        <w:rPr>
          <w:rFonts w:ascii="Times New Roman" w:cs="Times New Roman" w:eastAsia="Times New Roman" w:hAnsi="Times New Roman"/>
          <w:sz w:val="21"/>
          <w:szCs w:val="21"/>
          <w:u w:val="single" w:color="auto"/>
          <w:color w:val="auto"/>
        </w:rPr>
        <w:t>Section 1.06</w:t>
      </w:r>
      <w:r>
        <w:rPr>
          <w:rFonts w:ascii="Times New Roman" w:cs="Times New Roman" w:eastAsia="Times New Roman" w:hAnsi="Times New Roman"/>
          <w:sz w:val="21"/>
          <w:szCs w:val="21"/>
          <w:color w:val="auto"/>
        </w:rPr>
        <w:t>. In addition, the Borrower shall pay directly to the applicable L/C Issuer for its own account the customary issuance, presentation, amendment and other processing fees, and other standard costs and charges, of such L/C Issuer relating to letters of credit as from time to time in effect. Such customary fees and standard costs and charges are due and payable on demand and are nonrefundable.</w:t>
      </w:r>
    </w:p>
    <w:p>
      <w:pPr>
        <w:spacing w:after="0" w:line="147" w:lineRule="exact"/>
        <w:rPr>
          <w:rFonts w:ascii="Times New Roman" w:cs="Times New Roman" w:eastAsia="Times New Roman" w:hAnsi="Times New Roman"/>
          <w:sz w:val="21"/>
          <w:szCs w:val="21"/>
          <w:color w:val="auto"/>
        </w:rPr>
      </w:pPr>
    </w:p>
    <w:p>
      <w:pPr>
        <w:jc w:val="both"/>
        <w:ind w:firstLine="1278"/>
        <w:spacing w:after="0" w:line="227" w:lineRule="auto"/>
        <w:tabs>
          <w:tab w:leader="none" w:pos="1896" w:val="left"/>
        </w:tabs>
        <w:numPr>
          <w:ilvl w:val="0"/>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Conflict with Issuer Documents</w:t>
      </w:r>
      <w:r>
        <w:rPr>
          <w:rFonts w:ascii="Times New Roman" w:cs="Times New Roman" w:eastAsia="Times New Roman" w:hAnsi="Times New Roman"/>
          <w:sz w:val="21"/>
          <w:szCs w:val="21"/>
          <w:color w:val="auto"/>
        </w:rPr>
        <w:t>. In the event of any conflict or inconsistency between the terms hereof and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the terms of any Issuer Document, the terms hereof shall control. To the extent any defaults, representations, or covenants contained in any Issuer Documents are more restrictive than the Events of Default, representations, or covenants contained herein, the Events of Default, representations and covenants herein shall control.</w:t>
      </w:r>
    </w:p>
    <w:p>
      <w:pPr>
        <w:spacing w:after="0" w:line="146" w:lineRule="exact"/>
        <w:rPr>
          <w:rFonts w:ascii="Times New Roman" w:cs="Times New Roman" w:eastAsia="Times New Roman" w:hAnsi="Times New Roman"/>
          <w:sz w:val="21"/>
          <w:szCs w:val="21"/>
          <w:color w:val="auto"/>
        </w:rPr>
      </w:pPr>
    </w:p>
    <w:p>
      <w:pPr>
        <w:jc w:val="both"/>
        <w:ind w:firstLine="1278"/>
        <w:spacing w:after="0" w:line="221" w:lineRule="auto"/>
        <w:tabs>
          <w:tab w:leader="none" w:pos="1903" w:val="left"/>
        </w:tabs>
        <w:numPr>
          <w:ilvl w:val="0"/>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Provisions Related to Letters of Credit in respect of Other Revolving Commitments</w:t>
      </w:r>
      <w:r>
        <w:rPr>
          <w:rFonts w:ascii="Times New Roman" w:cs="Times New Roman" w:eastAsia="Times New Roman" w:hAnsi="Times New Roman"/>
          <w:sz w:val="21"/>
          <w:szCs w:val="21"/>
          <w:color w:val="auto"/>
        </w:rPr>
        <w:t>. If the Letter of Credit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Expiration Date in respect of any Class of Revolving Credit Commitments occurs prior to the expiry date of any Letter of Credit, then (i) if consented to by the L/C Issuer which issued such Letter of Credit, if one or more other Classes of Revolving Credit Commitments in respect of which the Letter of Credit Expiration Date shall not have so occurred are then in effect, such Letters of Credit for which the applicable L/C Issuer has consented shall automatically be deemed to have been issued (including for purposes of the obligations of the Revolving Credit Lenders to purchase participations therein and to make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85</w:t>
      </w:r>
    </w:p>
    <w:p>
      <w:pPr>
        <w:sectPr>
          <w:pgSz w:w="11900" w:h="16838" w:orient="portrait"/>
          <w:cols w:equalWidth="0" w:num="1">
            <w:col w:w="11240"/>
          </w:cols>
          <w:pgMar w:left="320" w:top="1369" w:right="339" w:bottom="1440" w:gutter="0" w:footer="0" w:header="0"/>
        </w:sectPr>
      </w:pPr>
    </w:p>
    <w:bookmarkStart w:id="191" w:name="page192"/>
    <w:bookmarkEnd w:id="191"/>
    <w:p>
      <w:pPr>
        <w:jc w:val="both"/>
        <w:spacing w:after="0" w:line="221" w:lineRule="auto"/>
        <w:rPr>
          <w:sz w:val="20"/>
          <w:szCs w:val="20"/>
          <w:color w:val="auto"/>
        </w:rPr>
      </w:pPr>
      <w:r>
        <w:rPr>
          <w:rFonts w:ascii="Times New Roman" w:cs="Times New Roman" w:eastAsia="Times New Roman" w:hAnsi="Times New Roman"/>
          <w:sz w:val="21"/>
          <w:szCs w:val="21"/>
          <w:color w:val="auto"/>
        </w:rPr>
        <w:t xml:space="preserve">Revolving Credit Loans and payments in respect thereof pursuant to </w:t>
      </w:r>
      <w:r>
        <w:rPr>
          <w:rFonts w:ascii="Times New Roman" w:cs="Times New Roman" w:eastAsia="Times New Roman" w:hAnsi="Times New Roman"/>
          <w:sz w:val="21"/>
          <w:szCs w:val="21"/>
          <w:u w:val="single" w:color="auto"/>
          <w:color w:val="auto"/>
        </w:rPr>
        <w:t>Sections 2.03(c)</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2.03(d)</w:t>
      </w:r>
      <w:r>
        <w:rPr>
          <w:rFonts w:ascii="Times New Roman" w:cs="Times New Roman" w:eastAsia="Times New Roman" w:hAnsi="Times New Roman"/>
          <w:sz w:val="21"/>
          <w:szCs w:val="21"/>
          <w:color w:val="auto"/>
        </w:rPr>
        <w:t xml:space="preserve">) under (and ratably participated in by Lenders pursuant to) the Revolving Credit Commitments in respect of such non-terminating Classes up to an aggregate amount not to exceed the aggregate amount of the unutilized Revolving Credit Commitments thereunder at such time and (ii) to the extent not reallocated pursuant to the immediately preceding </w:t>
      </w:r>
      <w:r>
        <w:rPr>
          <w:rFonts w:ascii="Times New Roman" w:cs="Times New Roman" w:eastAsia="Times New Roman" w:hAnsi="Times New Roman"/>
          <w:sz w:val="21"/>
          <w:szCs w:val="21"/>
          <w:u w:val="single" w:color="auto"/>
          <w:color w:val="auto"/>
        </w:rPr>
        <w:t>clause (i)</w:t>
      </w:r>
      <w:r>
        <w:rPr>
          <w:rFonts w:ascii="Times New Roman" w:cs="Times New Roman" w:eastAsia="Times New Roman" w:hAnsi="Times New Roman"/>
          <w:sz w:val="21"/>
          <w:szCs w:val="21"/>
          <w:color w:val="auto"/>
        </w:rPr>
        <w:t>, the Borrower shall Cash Collateralize any such Letter of Credit in accordance with the terms hereof. Upon the maturity date of any Class of Revolving Credit Commitments, the Letter of Credit Sublimit may be reduced as agreed between the L/C Issuers and the Borrower, without the consent of any other Person.</w:t>
      </w:r>
    </w:p>
    <w:p>
      <w:pPr>
        <w:spacing w:after="0" w:line="148" w:lineRule="exact"/>
        <w:rPr>
          <w:sz w:val="20"/>
          <w:szCs w:val="20"/>
          <w:color w:val="auto"/>
        </w:rPr>
      </w:pPr>
    </w:p>
    <w:p>
      <w:pPr>
        <w:jc w:val="both"/>
        <w:ind w:firstLine="1278"/>
        <w:spacing w:after="0" w:line="219" w:lineRule="auto"/>
        <w:tabs>
          <w:tab w:leader="none" w:pos="1896" w:val="left"/>
        </w:tabs>
        <w:numPr>
          <w:ilvl w:val="0"/>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Additional L/C Issuers</w:t>
      </w:r>
      <w:r>
        <w:rPr>
          <w:rFonts w:ascii="Times New Roman" w:cs="Times New Roman" w:eastAsia="Times New Roman" w:hAnsi="Times New Roman"/>
          <w:sz w:val="21"/>
          <w:szCs w:val="21"/>
          <w:color w:val="auto"/>
        </w:rPr>
        <w:t>. The Borrower may, at any time and from time to time, designate one or more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additional Revolving Credit Lenders or Affiliates of Revolving Credit Lenders to act as an L/C Issuer under the terms of this Agreement, with the consent of each of the Administrative Agent (which consent shall not be unreasonably withheld) and such Revolving Credit Lender(s) or Affiliate thereof. Any Revolving Credit Lender or Affiliate thereof designated as an L/C Issuer pursuant to this </w:t>
      </w:r>
      <w:r>
        <w:rPr>
          <w:rFonts w:ascii="Times New Roman" w:cs="Times New Roman" w:eastAsia="Times New Roman" w:hAnsi="Times New Roman"/>
          <w:sz w:val="21"/>
          <w:szCs w:val="21"/>
          <w:u w:val="single" w:color="auto"/>
          <w:color w:val="auto"/>
        </w:rPr>
        <w:t>Section 2.03(l)</w:t>
      </w:r>
      <w:r>
        <w:rPr>
          <w:rFonts w:ascii="Times New Roman" w:cs="Times New Roman" w:eastAsia="Times New Roman" w:hAnsi="Times New Roman"/>
          <w:sz w:val="21"/>
          <w:szCs w:val="21"/>
          <w:color w:val="auto"/>
        </w:rPr>
        <w:t xml:space="preserve"> shall be deemed to be the L/C Issuer with respect to Letters of Credit issued or to be issued by such Revolving Credit Lender or Affiliate thereof, and all references herein and in the other Loan Documents to the term “L/C Issuer” shall, with respect to such Letters of Credit, be deemed to refer to such Revolving Credit Lender or Affiliate thereof in its capacity as L/C Issuer thereof, as the context shall require.</w:t>
      </w:r>
    </w:p>
    <w:p>
      <w:pPr>
        <w:spacing w:after="0" w:line="145" w:lineRule="exact"/>
        <w:rPr>
          <w:rFonts w:ascii="Times New Roman" w:cs="Times New Roman" w:eastAsia="Times New Roman" w:hAnsi="Times New Roman"/>
          <w:sz w:val="21"/>
          <w:szCs w:val="21"/>
          <w:color w:val="auto"/>
        </w:rPr>
      </w:pPr>
    </w:p>
    <w:p>
      <w:pPr>
        <w:jc w:val="both"/>
        <w:ind w:firstLine="1278"/>
        <w:spacing w:after="0" w:line="221" w:lineRule="auto"/>
        <w:tabs>
          <w:tab w:leader="none" w:pos="1896" w:val="left"/>
        </w:tabs>
        <w:numPr>
          <w:ilvl w:val="0"/>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Reporting</w:t>
      </w:r>
      <w:r>
        <w:rPr>
          <w:rFonts w:ascii="Times New Roman" w:cs="Times New Roman" w:eastAsia="Times New Roman" w:hAnsi="Times New Roman"/>
          <w:sz w:val="21"/>
          <w:szCs w:val="21"/>
          <w:color w:val="auto"/>
        </w:rPr>
        <w:t>. Not later than the third Business Day following the last day of each calendar month (or at such</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other intervals as the Administrative Agent and the applicable L/C Issuer shall agree), each L/C Issuer shall provide to the Administrative Agent a schedule of the Letters of Credit issued by it, in form and substance reasonably satisfactory to the Administrative Agent, showing the date of issuance of each Letter of Credit, the account party, the original face amount (if any), the expiration date, and the reference number of any Letter of Credit outstanding at any time during such month, and showing the aggregate amount (if any) paid or payable by the Borrower to such L/C Issuer during such month.</w:t>
      </w:r>
    </w:p>
    <w:p>
      <w:pPr>
        <w:spacing w:after="0" w:line="150"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2.04</w:t>
      </w:r>
      <w:r>
        <w:rPr>
          <w:sz w:val="20"/>
          <w:szCs w:val="20"/>
          <w:color w:val="auto"/>
        </w:rPr>
        <w:tab/>
      </w:r>
      <w:r>
        <w:rPr>
          <w:rFonts w:ascii="Times New Roman" w:cs="Times New Roman" w:eastAsia="Times New Roman" w:hAnsi="Times New Roman"/>
          <w:sz w:val="21"/>
          <w:szCs w:val="21"/>
          <w:i w:val="1"/>
          <w:iCs w:val="1"/>
          <w:color w:val="auto"/>
        </w:rPr>
        <w:t>[Reserved]</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p>
    <w:p>
      <w:pPr>
        <w:spacing w:after="0" w:line="194"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2.05</w:t>
      </w:r>
      <w:r>
        <w:rPr>
          <w:sz w:val="20"/>
          <w:szCs w:val="20"/>
          <w:color w:val="auto"/>
        </w:rPr>
        <w:tab/>
      </w:r>
      <w:r>
        <w:rPr>
          <w:rFonts w:ascii="Times New Roman" w:cs="Times New Roman" w:eastAsia="Times New Roman" w:hAnsi="Times New Roman"/>
          <w:sz w:val="21"/>
          <w:szCs w:val="21"/>
          <w:i w:val="1"/>
          <w:iCs w:val="1"/>
          <w:color w:val="auto"/>
        </w:rPr>
        <w:t>Prepayments</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p>
    <w:p>
      <w:pPr>
        <w:spacing w:after="0" w:line="194" w:lineRule="exact"/>
        <w:rPr>
          <w:sz w:val="20"/>
          <w:szCs w:val="20"/>
          <w:color w:val="auto"/>
        </w:rPr>
      </w:pPr>
    </w:p>
    <w:p>
      <w:pPr>
        <w:jc w:val="both"/>
        <w:ind w:firstLine="1278"/>
        <w:spacing w:after="0" w:line="216" w:lineRule="auto"/>
        <w:tabs>
          <w:tab w:leader="none" w:pos="1905" w:val="left"/>
        </w:tabs>
        <w:numPr>
          <w:ilvl w:val="0"/>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Optional. </w:t>
      </w:r>
      <w:r>
        <w:rPr>
          <w:rFonts w:ascii="Times New Roman" w:cs="Times New Roman" w:eastAsia="Times New Roman" w:hAnsi="Times New Roman"/>
          <w:sz w:val="21"/>
          <w:szCs w:val="21"/>
          <w:color w:val="auto"/>
        </w:rPr>
        <w:t>The Borrower may, upon notice in the form of a Prepayment Notice delivered to the Administrative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Agent </w:t>
      </w:r>
      <w:r>
        <w:rPr>
          <w:rFonts w:ascii="Times New Roman" w:cs="Times New Roman" w:eastAsia="Times New Roman" w:hAnsi="Times New Roman"/>
          <w:sz w:val="21"/>
          <w:szCs w:val="21"/>
          <w:b w:val="1"/>
          <w:bCs w:val="1"/>
          <w:u w:val="single" w:color="auto"/>
          <w:color w:val="0000FF"/>
        </w:rPr>
        <w:t>(including by delivery through the Approved Borrower Portal, if arrangements for such transmission have been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0000FF"/>
        </w:rPr>
        <w:t>approved by the Administrative Agent)</w:t>
      </w:r>
      <w:r>
        <w:rPr>
          <w:rFonts w:ascii="Times New Roman" w:cs="Times New Roman" w:eastAsia="Times New Roman" w:hAnsi="Times New Roman"/>
          <w:sz w:val="21"/>
          <w:szCs w:val="21"/>
          <w:color w:val="000000"/>
        </w:rPr>
        <w:t>, at any time or from time to time voluntarily prepay Term Loans or Revolving Credit</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 xml:space="preserve">Loans in whole or in part without premium or penalty (other than, (x) in the case of any Term SOFR Loan or Eurodollar Rate Loan, any amounts required pursuant to </w:t>
      </w:r>
      <w:r>
        <w:rPr>
          <w:rFonts w:ascii="Times New Roman" w:cs="Times New Roman" w:eastAsia="Times New Roman" w:hAnsi="Times New Roman"/>
          <w:sz w:val="21"/>
          <w:szCs w:val="21"/>
          <w:u w:val="single" w:color="auto"/>
          <w:color w:val="000000"/>
        </w:rPr>
        <w:t>Section 3.05</w:t>
      </w:r>
      <w:r>
        <w:rPr>
          <w:rFonts w:ascii="Times New Roman" w:cs="Times New Roman" w:eastAsia="Times New Roman" w:hAnsi="Times New Roman"/>
          <w:sz w:val="21"/>
          <w:szCs w:val="21"/>
          <w:color w:val="000000"/>
        </w:rPr>
        <w:t xml:space="preserve"> and (y) in the case of any Term Loans, any premium contained in the applicable Joinder Agreement or Refinancing Amendment); provided that (A) such notice must be received by the Administrative Agent not later than (1) 12:00 p.m</w:t>
      </w:r>
      <w:r>
        <w:rPr>
          <w:rFonts w:ascii="Times New Roman" w:cs="Times New Roman" w:eastAsia="Times New Roman" w:hAnsi="Times New Roman"/>
          <w:sz w:val="21"/>
          <w:szCs w:val="21"/>
          <w:b w:val="1"/>
          <w:bCs w:val="1"/>
          <w:u w:val="single" w:color="auto"/>
          <w:color w:val="0000FF"/>
        </w:rPr>
        <w:t>.</w:t>
      </w:r>
      <w:r>
        <w:rPr>
          <w:rFonts w:ascii="Times New Roman" w:cs="Times New Roman" w:eastAsia="Times New Roman" w:hAnsi="Times New Roman"/>
          <w:sz w:val="21"/>
          <w:szCs w:val="21"/>
          <w:color w:val="000000"/>
        </w:rPr>
        <w:t xml:space="preserve"> three Business Days prior to any date of prepayment of Term SOFR Loans or Eurodollar Rate Loans , (2) 12:00 p.m</w:t>
      </w:r>
      <w:r>
        <w:rPr>
          <w:rFonts w:ascii="Times New Roman" w:cs="Times New Roman" w:eastAsia="Times New Roman" w:hAnsi="Times New Roman"/>
          <w:sz w:val="21"/>
          <w:szCs w:val="21"/>
          <w:b w:val="1"/>
          <w:bCs w:val="1"/>
          <w:u w:val="single" w:color="auto"/>
          <w:color w:val="0000FF"/>
        </w:rPr>
        <w:t>.</w:t>
      </w:r>
      <w:r>
        <w:rPr>
          <w:rFonts w:ascii="Times New Roman" w:cs="Times New Roman" w:eastAsia="Times New Roman" w:hAnsi="Times New Roman"/>
          <w:sz w:val="21"/>
          <w:szCs w:val="21"/>
          <w:color w:val="000000"/>
        </w:rPr>
        <w:t xml:space="preserve"> five Business Days prior to any date of prepayment of RFR Loans and (3) 11:00 a.m. on the date of any prepayment of Base Rate Loans; (B) any prepayment of Term SOFR Loans, Eurodollar Rate Loans and RFR Loans shall be in a principal amount of $5,000,000 or a whole multiple of $1,000,000 in excess thereof; and (C) any prepayment of Base Rate Loans shall be in a principal amount of $1,000,000 or a whole multiple of $500,000 in excess thereof or, in each case, if 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86</w:t>
      </w:r>
    </w:p>
    <w:p>
      <w:pPr>
        <w:sectPr>
          <w:pgSz w:w="11900" w:h="16838" w:orient="portrait"/>
          <w:cols w:equalWidth="0" w:num="1">
            <w:col w:w="11240"/>
          </w:cols>
          <w:pgMar w:left="320" w:top="1371" w:right="3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21"/>
          <w:szCs w:val="21"/>
          <w:color w:val="auto"/>
        </w:rPr>
        <w:t>the entire principal amount thereof then outstanding. Each such notice shall specify (i) the date and amount of such prepayment and</w:t>
      </w:r>
    </w:p>
    <w:p>
      <w:pPr>
        <w:jc w:val="both"/>
        <w:ind w:firstLine="6"/>
        <w:spacing w:after="0" w:line="218" w:lineRule="auto"/>
        <w:tabs>
          <w:tab w:leader="none" w:pos="321" w:val="left"/>
        </w:tabs>
        <w:numPr>
          <w:ilvl w:val="0"/>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Type(s) of Loans to be prepaid and, if Term SOFR Loans or Eurodollar Rate Loans are to be prepaid, the Interest Period(s) of such Loans, and may be conditioned upon the effectiveness of other credit facilities, indentures or similar agreements or other transactions of any kind, and may be revoked and/or rescinded by the Borrower (by notice to the Administrative Agent on or prior to the specified effective date) if such condition is not satisfied or if the Borrower determines in its reasonable discretion that any of such conditions will not be satisfied.</w:t>
      </w:r>
    </w:p>
    <w:p>
      <w:pPr>
        <w:spacing w:after="0" w:line="178" w:lineRule="exact"/>
        <w:rPr>
          <w:sz w:val="20"/>
          <w:szCs w:val="20"/>
          <w:color w:val="auto"/>
        </w:rPr>
      </w:pPr>
    </w:p>
    <w:p>
      <w:pPr>
        <w:jc w:val="both"/>
        <w:ind w:firstLine="636"/>
        <w:spacing w:after="0" w:line="257" w:lineRule="auto"/>
        <w:rPr>
          <w:sz w:val="20"/>
          <w:szCs w:val="20"/>
          <w:color w:val="auto"/>
        </w:rPr>
      </w:pPr>
      <w:r>
        <w:rPr>
          <w:rFonts w:ascii="Times New Roman" w:cs="Times New Roman" w:eastAsia="Times New Roman" w:hAnsi="Times New Roman"/>
          <w:sz w:val="21"/>
          <w:szCs w:val="21"/>
          <w:color w:val="auto"/>
        </w:rPr>
        <w:t xml:space="preserve">The Administrative Agent will promptly notify each Lender of its receipt of each such notice, and of the amount of such Lender’s ratable portion of such prepayment (based on such Lender’s Applicable Percentage in respect of the relevant Facility). If such notice is given by the Borrower, the Borrower shall make such prepayment and the payment amount specified in such notice shall be due and payable on the date specified therein. Any voluntary prepayment of a Loan pursuant to this </w:t>
      </w:r>
      <w:r>
        <w:rPr>
          <w:rFonts w:ascii="Times New Roman" w:cs="Times New Roman" w:eastAsia="Times New Roman" w:hAnsi="Times New Roman"/>
          <w:sz w:val="21"/>
          <w:szCs w:val="21"/>
          <w:u w:val="single" w:color="auto"/>
          <w:color w:val="auto"/>
        </w:rPr>
        <w:t>Section 2.05(a)(i)</w:t>
      </w:r>
      <w:r>
        <w:rPr>
          <w:rFonts w:ascii="Times New Roman" w:cs="Times New Roman" w:eastAsia="Times New Roman" w:hAnsi="Times New Roman"/>
          <w:sz w:val="21"/>
          <w:szCs w:val="21"/>
          <w:color w:val="auto"/>
        </w:rPr>
        <w:t xml:space="preserve"> shall be accompanied by all accrued interest on the amount prepaid, together with any additional amounts if required pursuant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3.05</w:t>
      </w:r>
      <w:r>
        <w:rPr>
          <w:rFonts w:ascii="Times New Roman" w:cs="Times New Roman" w:eastAsia="Times New Roman" w:hAnsi="Times New Roman"/>
          <w:sz w:val="21"/>
          <w:szCs w:val="21"/>
          <w:color w:val="auto"/>
        </w:rPr>
        <w:t xml:space="preserve">. Each such prepayment of any outstanding Term Loans pursuant to this </w:t>
      </w:r>
      <w:r>
        <w:rPr>
          <w:rFonts w:ascii="Times New Roman" w:cs="Times New Roman" w:eastAsia="Times New Roman" w:hAnsi="Times New Roman"/>
          <w:sz w:val="21"/>
          <w:szCs w:val="21"/>
          <w:u w:val="single" w:color="auto"/>
          <w:color w:val="auto"/>
        </w:rPr>
        <w:t>Section 2.05(a)(i)</w:t>
      </w:r>
      <w:r>
        <w:rPr>
          <w:rFonts w:ascii="Times New Roman" w:cs="Times New Roman" w:eastAsia="Times New Roman" w:hAnsi="Times New Roman"/>
          <w:sz w:val="21"/>
          <w:szCs w:val="21"/>
          <w:color w:val="auto"/>
        </w:rPr>
        <w:t xml:space="preserve"> shall be applied as between Facilities as directed by the Borrower and, within any given Facility, shall be applied as directed by the Borrower to the installments thereof (or, if no such direction is provided, in direct order of maturity). Subject to </w:t>
      </w:r>
      <w:r>
        <w:rPr>
          <w:rFonts w:ascii="Times New Roman" w:cs="Times New Roman" w:eastAsia="Times New Roman" w:hAnsi="Times New Roman"/>
          <w:sz w:val="21"/>
          <w:szCs w:val="21"/>
          <w:u w:val="single" w:color="auto"/>
          <w:color w:val="auto"/>
        </w:rPr>
        <w:t>Section 2.16</w:t>
      </w:r>
      <w:r>
        <w:rPr>
          <w:rFonts w:ascii="Times New Roman" w:cs="Times New Roman" w:eastAsia="Times New Roman" w:hAnsi="Times New Roman"/>
          <w:sz w:val="21"/>
          <w:szCs w:val="21"/>
          <w:color w:val="auto"/>
        </w:rPr>
        <w:t xml:space="preserve">, all payments made pursuant to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2.05(a)(i)</w:t>
      </w:r>
      <w:r>
        <w:rPr>
          <w:rFonts w:ascii="Times New Roman" w:cs="Times New Roman" w:eastAsia="Times New Roman" w:hAnsi="Times New Roman"/>
          <w:sz w:val="21"/>
          <w:szCs w:val="21"/>
          <w:color w:val="auto"/>
        </w:rPr>
        <w:t xml:space="preserve"> shall be applied on a pro rata basis to each Lender holding Loans of the applicable Facility being prepaid in accordance with the principal amount of the applicable Term Loans held thereby.</w:t>
      </w:r>
    </w:p>
    <w:p>
      <w:pPr>
        <w:spacing w:after="0" w:line="142" w:lineRule="exact"/>
        <w:rPr>
          <w:sz w:val="20"/>
          <w:szCs w:val="20"/>
          <w:color w:val="auto"/>
        </w:rPr>
      </w:pPr>
    </w:p>
    <w:p>
      <w:pPr>
        <w:ind w:left="1900" w:hanging="622"/>
        <w:spacing w:after="0"/>
        <w:tabs>
          <w:tab w:leader="none" w:pos="1900" w:val="left"/>
        </w:tabs>
        <w:numPr>
          <w:ilvl w:val="0"/>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Mandatory</w:t>
      </w:r>
      <w:r>
        <w:rPr>
          <w:rFonts w:ascii="Times New Roman" w:cs="Times New Roman" w:eastAsia="Times New Roman" w:hAnsi="Times New Roman"/>
          <w:sz w:val="21"/>
          <w:szCs w:val="21"/>
          <w:color w:val="auto"/>
        </w:rPr>
        <w:t>.</w:t>
      </w:r>
    </w:p>
    <w:p>
      <w:pPr>
        <w:spacing w:after="0" w:line="184" w:lineRule="exact"/>
        <w:rPr>
          <w:rFonts w:ascii="Times New Roman" w:cs="Times New Roman" w:eastAsia="Times New Roman" w:hAnsi="Times New Roman"/>
          <w:sz w:val="21"/>
          <w:szCs w:val="21"/>
          <w:color w:val="auto"/>
        </w:rPr>
      </w:pPr>
    </w:p>
    <w:p>
      <w:pPr>
        <w:jc w:val="both"/>
        <w:ind w:left="640" w:firstLine="1274"/>
        <w:spacing w:after="0" w:line="218" w:lineRule="auto"/>
        <w:tabs>
          <w:tab w:leader="none" w:pos="2536" w:val="left"/>
        </w:tabs>
        <w:numPr>
          <w:ilvl w:val="1"/>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Upon the incurrence or issuance by the Borrower or any of its Restricted Subsidiaries of any Indebtedness (other than Indebtedness expressly permitted to be incurred or issued pursuant to </w:t>
      </w:r>
      <w:r>
        <w:rPr>
          <w:rFonts w:ascii="Times New Roman" w:cs="Times New Roman" w:eastAsia="Times New Roman" w:hAnsi="Times New Roman"/>
          <w:sz w:val="21"/>
          <w:szCs w:val="21"/>
          <w:u w:val="single" w:color="auto"/>
          <w:color w:val="auto"/>
        </w:rPr>
        <w:t>Section 7.03</w:t>
      </w:r>
      <w:r>
        <w:rPr>
          <w:rFonts w:ascii="Times New Roman" w:cs="Times New Roman" w:eastAsia="Times New Roman" w:hAnsi="Times New Roman"/>
          <w:sz w:val="21"/>
          <w:szCs w:val="21"/>
          <w:color w:val="auto"/>
        </w:rPr>
        <w:t xml:space="preserve"> (except Credit Agreement Refinancing Indebtedness)), the Borrower shall prepay (or Cash Collateralize, as applicable) an aggregate principal amount of Pro Rata Obligations equal to 100% of the gross cash proceeds received by the Borrower or any of its Restricted Subsidiaries from any such Indebtedness less all reasonable and customary out-of-pocket legal, underwriting and other fees, costs and expenses incurred or reasonably anticipated to be incurred within 90 days thereof in connection therewith, within one Business Day following receipt thereof by the Borrower or such Restricted Subsidiary (such prepayments (or Cash Collateralization) to be applied as set forth in </w:t>
      </w:r>
      <w:r>
        <w:rPr>
          <w:rFonts w:ascii="Times New Roman" w:cs="Times New Roman" w:eastAsia="Times New Roman" w:hAnsi="Times New Roman"/>
          <w:sz w:val="21"/>
          <w:szCs w:val="21"/>
          <w:u w:val="single" w:color="auto"/>
          <w:color w:val="auto"/>
        </w:rPr>
        <w:t>clauses (iii)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(v)</w:t>
      </w:r>
      <w:r>
        <w:rPr>
          <w:rFonts w:ascii="Times New Roman" w:cs="Times New Roman" w:eastAsia="Times New Roman" w:hAnsi="Times New Roman"/>
          <w:sz w:val="21"/>
          <w:szCs w:val="21"/>
          <w:color w:val="auto"/>
        </w:rPr>
        <w:t xml:space="preserve"> below).</w:t>
      </w:r>
    </w:p>
    <w:p>
      <w:pPr>
        <w:spacing w:after="0" w:line="153" w:lineRule="exact"/>
        <w:rPr>
          <w:rFonts w:ascii="Times New Roman" w:cs="Times New Roman" w:eastAsia="Times New Roman" w:hAnsi="Times New Roman"/>
          <w:sz w:val="21"/>
          <w:szCs w:val="21"/>
          <w:color w:val="auto"/>
        </w:rPr>
      </w:pPr>
    </w:p>
    <w:p>
      <w:pPr>
        <w:ind w:left="2540" w:hanging="626"/>
        <w:spacing w:after="0"/>
        <w:tabs>
          <w:tab w:leader="none" w:pos="2540" w:val="left"/>
        </w:tabs>
        <w:numPr>
          <w:ilvl w:val="1"/>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[Reserved].</w:t>
      </w:r>
    </w:p>
    <w:p>
      <w:pPr>
        <w:spacing w:after="0" w:line="182" w:lineRule="exact"/>
        <w:rPr>
          <w:rFonts w:ascii="Times New Roman" w:cs="Times New Roman" w:eastAsia="Times New Roman" w:hAnsi="Times New Roman"/>
          <w:sz w:val="21"/>
          <w:szCs w:val="21"/>
          <w:color w:val="auto"/>
        </w:rPr>
      </w:pPr>
    </w:p>
    <w:p>
      <w:pPr>
        <w:jc w:val="both"/>
        <w:ind w:left="640" w:firstLine="1274"/>
        <w:spacing w:after="0" w:line="218" w:lineRule="auto"/>
        <w:tabs>
          <w:tab w:leader="none" w:pos="2548" w:val="left"/>
        </w:tabs>
        <w:numPr>
          <w:ilvl w:val="1"/>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the next sentence, each prepayment (or Cash Collateralization, as applicable) of Pro Rata Obligations pursuant to this </w:t>
      </w:r>
      <w:r>
        <w:rPr>
          <w:rFonts w:ascii="Times New Roman" w:cs="Times New Roman" w:eastAsia="Times New Roman" w:hAnsi="Times New Roman"/>
          <w:sz w:val="21"/>
          <w:szCs w:val="21"/>
          <w:u w:val="single" w:color="auto"/>
          <w:color w:val="auto"/>
        </w:rPr>
        <w:t>Section 2.05(b)</w:t>
      </w:r>
      <w:r>
        <w:rPr>
          <w:rFonts w:ascii="Times New Roman" w:cs="Times New Roman" w:eastAsia="Times New Roman" w:hAnsi="Times New Roman"/>
          <w:sz w:val="21"/>
          <w:szCs w:val="21"/>
          <w:color w:val="auto"/>
        </w:rPr>
        <w:t xml:space="preserve"> shall be applied, </w:t>
      </w:r>
      <w:r>
        <w:rPr>
          <w:rFonts w:ascii="Times New Roman" w:cs="Times New Roman" w:eastAsia="Times New Roman" w:hAnsi="Times New Roman"/>
          <w:sz w:val="21"/>
          <w:szCs w:val="21"/>
          <w:i w:val="1"/>
          <w:iCs w:val="1"/>
          <w:color w:val="auto"/>
        </w:rPr>
        <w:t>first</w:t>
      </w:r>
      <w:r>
        <w:rPr>
          <w:rFonts w:ascii="Times New Roman" w:cs="Times New Roman" w:eastAsia="Times New Roman" w:hAnsi="Times New Roman"/>
          <w:sz w:val="21"/>
          <w:szCs w:val="21"/>
          <w:color w:val="auto"/>
        </w:rPr>
        <w:t xml:space="preserve">, to the Term Loans held by all Term Lenders in accordance with their Applicable Percentages (allocated pro rata as among the Term Loans and to each Term Lender on a pro rata basis in accordance with the principal amount of the applicable Term Loans held thereby and to scheduled amortization payments in direct order of maturity), </w:t>
      </w:r>
      <w:r>
        <w:rPr>
          <w:rFonts w:ascii="Times New Roman" w:cs="Times New Roman" w:eastAsia="Times New Roman" w:hAnsi="Times New Roman"/>
          <w:sz w:val="21"/>
          <w:szCs w:val="21"/>
          <w:i w:val="1"/>
          <w:iCs w:val="1"/>
          <w:color w:val="auto"/>
        </w:rPr>
        <w:t>second</w:t>
      </w:r>
      <w:r>
        <w:rPr>
          <w:rFonts w:ascii="Times New Roman" w:cs="Times New Roman" w:eastAsia="Times New Roman" w:hAnsi="Times New Roman"/>
          <w:sz w:val="21"/>
          <w:szCs w:val="21"/>
          <w:color w:val="auto"/>
        </w:rPr>
        <w:t xml:space="preserve">, any excess after the application of such proceeds in accordance with clause </w:t>
      </w:r>
      <w:r>
        <w:rPr>
          <w:rFonts w:ascii="Times New Roman" w:cs="Times New Roman" w:eastAsia="Times New Roman" w:hAnsi="Times New Roman"/>
          <w:sz w:val="21"/>
          <w:szCs w:val="21"/>
          <w:i w:val="1"/>
          <w:iCs w:val="1"/>
          <w:color w:val="auto"/>
        </w:rPr>
        <w:t>first</w:t>
      </w:r>
      <w:r>
        <w:rPr>
          <w:rFonts w:ascii="Times New Roman" w:cs="Times New Roman" w:eastAsia="Times New Roman" w:hAnsi="Times New Roman"/>
          <w:sz w:val="21"/>
          <w:szCs w:val="21"/>
          <w:color w:val="auto"/>
        </w:rPr>
        <w:t xml:space="preserve"> above, to the Revolving Credit Facility in the manner set forth in </w:t>
      </w:r>
      <w:r>
        <w:rPr>
          <w:rFonts w:ascii="Times New Roman" w:cs="Times New Roman" w:eastAsia="Times New Roman" w:hAnsi="Times New Roman"/>
          <w:sz w:val="21"/>
          <w:szCs w:val="21"/>
          <w:u w:val="single" w:color="auto"/>
          <w:color w:val="auto"/>
        </w:rPr>
        <w:t>clause (vi)</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u w:val="single" w:color="auto"/>
          <w:color w:val="auto"/>
        </w:rPr>
        <w:t>Section 2.05(b)</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i w:val="1"/>
          <w:iCs w:val="1"/>
          <w:color w:val="auto"/>
        </w:rPr>
        <w:t>third</w:t>
      </w:r>
      <w:r>
        <w:rPr>
          <w:rFonts w:ascii="Times New Roman" w:cs="Times New Roman" w:eastAsia="Times New Roman" w:hAnsi="Times New Roman"/>
          <w:sz w:val="21"/>
          <w:szCs w:val="21"/>
          <w:color w:val="auto"/>
        </w:rPr>
        <w:t xml:space="preserve">, any excess after the application of such proceeds in accordance with clauses </w:t>
      </w:r>
      <w:r>
        <w:rPr>
          <w:rFonts w:ascii="Times New Roman" w:cs="Times New Roman" w:eastAsia="Times New Roman" w:hAnsi="Times New Roman"/>
          <w:sz w:val="21"/>
          <w:szCs w:val="21"/>
          <w:i w:val="1"/>
          <w:iCs w:val="1"/>
          <w:color w:val="auto"/>
        </w:rPr>
        <w:t>first</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i w:val="1"/>
          <w:iCs w:val="1"/>
          <w:color w:val="auto"/>
        </w:rPr>
        <w:t>second</w:t>
      </w:r>
      <w:r>
        <w:rPr>
          <w:rFonts w:ascii="Times New Roman" w:cs="Times New Roman" w:eastAsia="Times New Roman" w:hAnsi="Times New Roman"/>
          <w:sz w:val="21"/>
          <w:szCs w:val="21"/>
          <w:color w:val="auto"/>
        </w:rPr>
        <w:t xml:space="preserve"> above may be retained by the Borrower. Except with respect to Term Loans incurred in connection with any Refinancing Amendment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87</w:t>
      </w:r>
    </w:p>
    <w:p>
      <w:pPr>
        <w:sectPr>
          <w:pgSz w:w="11900" w:h="16838" w:orient="portrait"/>
          <w:cols w:equalWidth="0" w:num="1">
            <w:col w:w="11240"/>
          </w:cols>
          <w:pgMar w:left="320" w:top="1366" w:right="339" w:bottom="1440" w:gutter="0" w:footer="0" w:header="0"/>
        </w:sectPr>
      </w:pPr>
    </w:p>
    <w:bookmarkStart w:id="193" w:name="page194"/>
    <w:bookmarkEnd w:id="193"/>
    <w:p>
      <w:pPr>
        <w:jc w:val="both"/>
        <w:spacing w:after="0" w:line="221" w:lineRule="auto"/>
        <w:rPr>
          <w:sz w:val="20"/>
          <w:szCs w:val="20"/>
          <w:color w:val="auto"/>
        </w:rPr>
      </w:pPr>
      <w:r>
        <w:rPr>
          <w:rFonts w:ascii="Times New Roman" w:cs="Times New Roman" w:eastAsia="Times New Roman" w:hAnsi="Times New Roman"/>
          <w:sz w:val="21"/>
          <w:szCs w:val="21"/>
          <w:color w:val="auto"/>
        </w:rPr>
        <w:t xml:space="preserve">any Joinder Agreement (which, in each case, may be prepaid on a less than pro rata basis if expressly provided for in such Refinancing Amendment or Joinder Agreement), each prepayment pursuant to this </w:t>
      </w:r>
      <w:r>
        <w:rPr>
          <w:rFonts w:ascii="Times New Roman" w:cs="Times New Roman" w:eastAsia="Times New Roman" w:hAnsi="Times New Roman"/>
          <w:sz w:val="21"/>
          <w:szCs w:val="21"/>
          <w:u w:val="single" w:color="auto"/>
          <w:color w:val="auto"/>
        </w:rPr>
        <w:t>Section 2.05(b)</w:t>
      </w:r>
      <w:r>
        <w:rPr>
          <w:rFonts w:ascii="Times New Roman" w:cs="Times New Roman" w:eastAsia="Times New Roman" w:hAnsi="Times New Roman"/>
          <w:sz w:val="21"/>
          <w:szCs w:val="21"/>
          <w:color w:val="auto"/>
        </w:rPr>
        <w:t xml:space="preserve"> shall be applied ratably to each Class of Loans then outstanding entitled to payment pursuant to the prior sentence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any prepayment of Loans with the Net Proceeds of Credit Agreement Refinancing Indebtedness shall be applied solely to each applicable Class of Refinanced Debt). Any prepayment of a Loan pursuant to this </w:t>
      </w:r>
      <w:r>
        <w:rPr>
          <w:rFonts w:ascii="Times New Roman" w:cs="Times New Roman" w:eastAsia="Times New Roman" w:hAnsi="Times New Roman"/>
          <w:sz w:val="21"/>
          <w:szCs w:val="21"/>
          <w:u w:val="single" w:color="auto"/>
          <w:color w:val="auto"/>
        </w:rPr>
        <w:t>Section 2.05(b)</w:t>
      </w:r>
      <w:r>
        <w:rPr>
          <w:rFonts w:ascii="Times New Roman" w:cs="Times New Roman" w:eastAsia="Times New Roman" w:hAnsi="Times New Roman"/>
          <w:sz w:val="21"/>
          <w:szCs w:val="21"/>
          <w:color w:val="auto"/>
        </w:rPr>
        <w:t xml:space="preserve"> shall be accompanied by all accrued interest on the amount prepaid, together with any additional amounts required pursuant to </w:t>
      </w:r>
      <w:r>
        <w:rPr>
          <w:rFonts w:ascii="Times New Roman" w:cs="Times New Roman" w:eastAsia="Times New Roman" w:hAnsi="Times New Roman"/>
          <w:sz w:val="21"/>
          <w:szCs w:val="21"/>
          <w:u w:val="single" w:color="auto"/>
          <w:color w:val="auto"/>
        </w:rPr>
        <w:t>Section 3.05</w:t>
      </w:r>
      <w:r>
        <w:rPr>
          <w:rFonts w:ascii="Times New Roman" w:cs="Times New Roman" w:eastAsia="Times New Roman" w:hAnsi="Times New Roman"/>
          <w:sz w:val="21"/>
          <w:szCs w:val="21"/>
          <w:color w:val="auto"/>
        </w:rPr>
        <w:t>.</w:t>
      </w:r>
    </w:p>
    <w:p>
      <w:pPr>
        <w:spacing w:after="0" w:line="150" w:lineRule="exact"/>
        <w:rPr>
          <w:sz w:val="20"/>
          <w:szCs w:val="20"/>
          <w:color w:val="auto"/>
        </w:rPr>
      </w:pPr>
    </w:p>
    <w:p>
      <w:pPr>
        <w:jc w:val="both"/>
        <w:ind w:firstLine="1274"/>
        <w:spacing w:after="0" w:line="217" w:lineRule="auto"/>
        <w:tabs>
          <w:tab w:leader="none" w:pos="1896" w:val="left"/>
        </w:tabs>
        <w:numPr>
          <w:ilvl w:val="0"/>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for any reason the Total Revolving Credit Outstandings at any time exceed the Revolving Credit Commitments at such time (including, for the avoidance of doubt, as a result of the termination of any Class of Commitments on the Maturity Date with respect thereto), the Borrower shall immediately prepay Revolving Credit Loans and L/C Borrowings and/or Cash Collateralize the L/C Obligations (other than the L/C Borrowings) (in an aggregate amount equal to 105% of the face amount thereof) in an aggregate amount sufficient to reduce the Total Revolving Credit Outstandings to the aggregate Revolving Credit Commitments. If for any reason the Outstanding Amount of L/C Obligations at any time exceeds the Letter of Credit Sublimit at such time, the Borrower shall immediately prepay L/C Borrowings and/or Cash Collateralize the L/C Obligations in an aggregate amount sufficient to reduce the Outstanding Amount of L/C Obligations to the Letter of Credit Sublimit.</w:t>
      </w:r>
    </w:p>
    <w:p>
      <w:pPr>
        <w:spacing w:after="0" w:line="154" w:lineRule="exact"/>
        <w:rPr>
          <w:rFonts w:ascii="Times New Roman" w:cs="Times New Roman" w:eastAsia="Times New Roman" w:hAnsi="Times New Roman"/>
          <w:sz w:val="21"/>
          <w:szCs w:val="21"/>
          <w:color w:val="auto"/>
        </w:rPr>
      </w:pPr>
    </w:p>
    <w:p>
      <w:pPr>
        <w:jc w:val="both"/>
        <w:ind w:firstLine="1274"/>
        <w:spacing w:after="0" w:line="232" w:lineRule="auto"/>
        <w:tabs>
          <w:tab w:leader="none" w:pos="1903" w:val="left"/>
        </w:tabs>
        <w:numPr>
          <w:ilvl w:val="0"/>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Old BRBR Merger has not become effective under the relevant provisions of the General Corporation Law of the State of Delaware on or before 5:00 p.m. on March 14, 2022, the Borrower shall prepay the aggregate principal amount of the Revolving Credit Loans in full.</w:t>
      </w:r>
    </w:p>
    <w:p>
      <w:pPr>
        <w:spacing w:after="0" w:line="145" w:lineRule="exact"/>
        <w:rPr>
          <w:rFonts w:ascii="Times New Roman" w:cs="Times New Roman" w:eastAsia="Times New Roman" w:hAnsi="Times New Roman"/>
          <w:sz w:val="21"/>
          <w:szCs w:val="21"/>
          <w:color w:val="auto"/>
        </w:rPr>
      </w:pPr>
    </w:p>
    <w:p>
      <w:pPr>
        <w:jc w:val="both"/>
        <w:ind w:firstLine="1274"/>
        <w:spacing w:after="0" w:line="216" w:lineRule="auto"/>
        <w:tabs>
          <w:tab w:leader="none" w:pos="1896" w:val="left"/>
        </w:tabs>
        <w:numPr>
          <w:ilvl w:val="0"/>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Prepayments of the Revolving Credit Facilities made pursuant to this </w:t>
      </w:r>
      <w:r>
        <w:rPr>
          <w:rFonts w:ascii="Times New Roman" w:cs="Times New Roman" w:eastAsia="Times New Roman" w:hAnsi="Times New Roman"/>
          <w:sz w:val="21"/>
          <w:szCs w:val="21"/>
          <w:u w:val="single" w:color="auto"/>
          <w:color w:val="auto"/>
        </w:rPr>
        <w:t>Section 2.05(b)</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first</w:t>
      </w:r>
      <w:r>
        <w:rPr>
          <w:rFonts w:ascii="Times New Roman" w:cs="Times New Roman" w:eastAsia="Times New Roman" w:hAnsi="Times New Roman"/>
          <w:sz w:val="21"/>
          <w:szCs w:val="21"/>
          <w:color w:val="auto"/>
        </w:rPr>
        <w:t xml:space="preserve">, shall be applied ratably to the L/C Borrowings, </w:t>
      </w:r>
      <w:r>
        <w:rPr>
          <w:rFonts w:ascii="Times New Roman" w:cs="Times New Roman" w:eastAsia="Times New Roman" w:hAnsi="Times New Roman"/>
          <w:sz w:val="21"/>
          <w:szCs w:val="21"/>
          <w:i w:val="1"/>
          <w:iCs w:val="1"/>
          <w:color w:val="auto"/>
        </w:rPr>
        <w:t>second</w:t>
      </w:r>
      <w:r>
        <w:rPr>
          <w:rFonts w:ascii="Times New Roman" w:cs="Times New Roman" w:eastAsia="Times New Roman" w:hAnsi="Times New Roman"/>
          <w:sz w:val="21"/>
          <w:szCs w:val="21"/>
          <w:color w:val="auto"/>
        </w:rPr>
        <w:t xml:space="preserve">, shall be applied ratably to the outstanding Revolving Credit Loans held by all Revolving Credit Lenders in accordance with their Applicable Revolving Credit Percentages, and, </w:t>
      </w:r>
      <w:r>
        <w:rPr>
          <w:rFonts w:ascii="Times New Roman" w:cs="Times New Roman" w:eastAsia="Times New Roman" w:hAnsi="Times New Roman"/>
          <w:sz w:val="21"/>
          <w:szCs w:val="21"/>
          <w:i w:val="1"/>
          <w:iCs w:val="1"/>
          <w:color w:val="auto"/>
        </w:rPr>
        <w:t>third</w:t>
      </w:r>
      <w:r>
        <w:rPr>
          <w:rFonts w:ascii="Times New Roman" w:cs="Times New Roman" w:eastAsia="Times New Roman" w:hAnsi="Times New Roman"/>
          <w:sz w:val="21"/>
          <w:szCs w:val="21"/>
          <w:color w:val="auto"/>
        </w:rPr>
        <w:t xml:space="preserve">, shall be used to Cash Collateralize the remaining L/C Obligations. Upon the drawing of any Letter of Credit that has been Cash Collateralized, the funds held as Cash Collateral shall be applied (without any further action by or notice to or from the Borrower or any other Loan Party) to reimburse the applicable L/C Issuer or the Revolving Credit Lenders, as applicable. Prepayments of the Revolving Credit Facilities made pursuant to this </w:t>
      </w:r>
      <w:r>
        <w:rPr>
          <w:rFonts w:ascii="Times New Roman" w:cs="Times New Roman" w:eastAsia="Times New Roman" w:hAnsi="Times New Roman"/>
          <w:sz w:val="21"/>
          <w:szCs w:val="21"/>
          <w:u w:val="single" w:color="auto"/>
          <w:color w:val="auto"/>
        </w:rPr>
        <w:t>Section 2.05(b)</w:t>
      </w:r>
      <w:r>
        <w:rPr>
          <w:rFonts w:ascii="Times New Roman" w:cs="Times New Roman" w:eastAsia="Times New Roman" w:hAnsi="Times New Roman"/>
          <w:sz w:val="21"/>
          <w:szCs w:val="21"/>
          <w:color w:val="auto"/>
        </w:rPr>
        <w:t xml:space="preserve"> shall be applied ratably to the outstanding Revolving Credit Loans. Amounts to be applied pursuant to this </w:t>
      </w:r>
      <w:r>
        <w:rPr>
          <w:rFonts w:ascii="Times New Roman" w:cs="Times New Roman" w:eastAsia="Times New Roman" w:hAnsi="Times New Roman"/>
          <w:sz w:val="21"/>
          <w:szCs w:val="21"/>
          <w:u w:val="single" w:color="auto"/>
          <w:color w:val="auto"/>
        </w:rPr>
        <w:t>Section 2.05(b)</w:t>
      </w:r>
      <w:r>
        <w:rPr>
          <w:rFonts w:ascii="Times New Roman" w:cs="Times New Roman" w:eastAsia="Times New Roman" w:hAnsi="Times New Roman"/>
          <w:sz w:val="21"/>
          <w:szCs w:val="21"/>
          <w:color w:val="auto"/>
        </w:rPr>
        <w:t xml:space="preserve"> to the mandatory prepayment of Term Loans and Revolving Credit Loans shall be applied, as applicable, first to reduce outstanding Base Rate Loans and any amounts remaining after such application shall be applied as directed by the Borrower to prepay Term SOFR Loans, Eurodollar Rate Loans or RFR Loans.</w:t>
      </w:r>
    </w:p>
    <w:p>
      <w:pPr>
        <w:spacing w:after="0" w:line="155" w:lineRule="exact"/>
        <w:rPr>
          <w:rFonts w:ascii="Times New Roman" w:cs="Times New Roman" w:eastAsia="Times New Roman" w:hAnsi="Times New Roman"/>
          <w:sz w:val="21"/>
          <w:szCs w:val="21"/>
          <w:color w:val="auto"/>
        </w:rPr>
      </w:pPr>
    </w:p>
    <w:p>
      <w:pPr>
        <w:jc w:val="both"/>
        <w:ind w:firstLine="1274"/>
        <w:spacing w:after="0" w:line="218" w:lineRule="auto"/>
        <w:tabs>
          <w:tab w:leader="none" w:pos="1902" w:val="left"/>
        </w:tabs>
        <w:numPr>
          <w:ilvl w:val="0"/>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there are any Term Loans outstanding, each Term Lender may elect, by notice to the Administrative Agent at or prior to the time and in the manner specified by the Administrative Agent, prior to any prepayment of Term Loans required to be made by the Borrower pursuant to any mandatory prepayment provisions relating to asset sale proceeds, excess cash flow, insurance proceeds or condemnation proceeds set forth in any Joinder Agreement pursuant to which any Incremental Term Loan Commitments are established or any Incremental Term Loans are made), to decline all (but not a portion) of its Applicable Percentage of such prepayment (such declined amounts, the “</w:t>
      </w:r>
      <w:r>
        <w:rPr>
          <w:rFonts w:ascii="Times New Roman" w:cs="Times New Roman" w:eastAsia="Times New Roman" w:hAnsi="Times New Roman"/>
          <w:sz w:val="21"/>
          <w:szCs w:val="21"/>
          <w:b w:val="1"/>
          <w:bCs w:val="1"/>
          <w:color w:val="auto"/>
        </w:rPr>
        <w:t>Declined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Proceeds</w:t>
      </w:r>
      <w:r>
        <w:rPr>
          <w:rFonts w:ascii="Times New Roman" w:cs="Times New Roman" w:eastAsia="Times New Roman" w:hAnsi="Times New Roman"/>
          <w:sz w:val="21"/>
          <w:szCs w:val="21"/>
          <w:color w:val="auto"/>
        </w:rPr>
        <w:t>”). Any Term Lender declining such prepayment shall give written notice thereof to the Administrative Agent 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11:00 a.m. no later than 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1"/>
          <w:szCs w:val="21"/>
          <w:color w:val="auto"/>
        </w:rPr>
        <w:t>88</w:t>
      </w:r>
    </w:p>
    <w:p>
      <w:pPr>
        <w:sectPr>
          <w:pgSz w:w="11900" w:h="16838" w:orient="portrait"/>
          <w:cols w:equalWidth="0" w:num="1">
            <w:col w:w="10600"/>
          </w:cols>
          <w:pgMar w:left="960" w:top="1371" w:right="339" w:bottom="1440" w:gutter="0" w:footer="0" w:header="0"/>
        </w:sectPr>
      </w:pPr>
    </w:p>
    <w:bookmarkStart w:id="194" w:name="page195"/>
    <w:bookmarkEnd w:id="194"/>
    <w:p>
      <w:pPr>
        <w:jc w:val="both"/>
        <w:ind w:left="640" w:firstLine="2"/>
        <w:spacing w:after="0" w:line="226" w:lineRule="auto"/>
        <w:tabs>
          <w:tab w:leader="none" w:pos="943" w:val="left"/>
        </w:tabs>
        <w:numPr>
          <w:ilvl w:val="0"/>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Business Day after the date of such notice from the Administrative Agent. If a Lender fails to deliver a notice of election declining receipt of its Applicable Percentage of such mandatory prepayment to the Administrative Agent within the time frame specified above, any such failure will be deemed to constitute an acceptance of such Lender’s Applicable Percentage of the total amount of such mandatory prepayment of Term Loans.</w:t>
      </w:r>
    </w:p>
    <w:p>
      <w:pPr>
        <w:spacing w:after="0" w:line="148"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2.06</w:t>
      </w:r>
      <w:r>
        <w:rPr>
          <w:sz w:val="20"/>
          <w:szCs w:val="20"/>
          <w:color w:val="auto"/>
        </w:rPr>
        <w:tab/>
      </w:r>
      <w:r>
        <w:rPr>
          <w:rFonts w:ascii="Times New Roman" w:cs="Times New Roman" w:eastAsia="Times New Roman" w:hAnsi="Times New Roman"/>
          <w:sz w:val="21"/>
          <w:szCs w:val="21"/>
          <w:i w:val="1"/>
          <w:iCs w:val="1"/>
          <w:color w:val="auto"/>
        </w:rPr>
        <w:t>Termination or Reduction of Commitments</w:t>
      </w:r>
    </w:p>
    <w:p>
      <w:pPr>
        <w:spacing w:after="0" w:line="207" w:lineRule="exact"/>
        <w:rPr>
          <w:sz w:val="20"/>
          <w:szCs w:val="20"/>
          <w:color w:val="auto"/>
        </w:rPr>
      </w:pPr>
    </w:p>
    <w:p>
      <w:pPr>
        <w:jc w:val="both"/>
        <w:ind w:left="640" w:firstLine="638"/>
        <w:spacing w:after="0" w:line="258" w:lineRule="auto"/>
        <w:tabs>
          <w:tab w:leader="none" w:pos="1408" w:val="left"/>
        </w:tabs>
        <w:numPr>
          <w:ilvl w:val="1"/>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FF0000"/>
          <w:strike w:val="1"/>
        </w:rPr>
        <w:t>(a)</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i w:val="1"/>
          <w:iCs w:val="1"/>
          <w:color w:val="000000"/>
        </w:rPr>
        <w:t>Optional</w:t>
      </w:r>
      <w:r>
        <w:rPr>
          <w:rFonts w:ascii="Times New Roman" w:cs="Times New Roman" w:eastAsia="Times New Roman" w:hAnsi="Times New Roman"/>
          <w:sz w:val="21"/>
          <w:szCs w:val="21"/>
          <w:color w:val="000000"/>
        </w:rPr>
        <w:t>. The Borrower may, upon notice to the Administrative Agent, terminate</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b w:val="1"/>
          <w:bCs w:val="1"/>
          <w:color w:val="FF0000"/>
          <w:strike w:val="1"/>
        </w:rPr>
        <w:t>the</w:t>
      </w:r>
      <w:r>
        <w:rPr>
          <w:rFonts w:ascii="Times New Roman" w:cs="Times New Roman" w:eastAsia="Times New Roman" w:hAnsi="Times New Roman"/>
          <w:sz w:val="21"/>
          <w:szCs w:val="21"/>
          <w:b w:val="1"/>
          <w:bCs w:val="1"/>
          <w:u w:val="single" w:color="auto"/>
          <w:color w:val="0000FF"/>
        </w:rPr>
        <w:t>any</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color w:val="000000"/>
        </w:rPr>
        <w:t>Revolving Credit</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b w:val="1"/>
          <w:bCs w:val="1"/>
          <w:color w:val="FF0000"/>
          <w:strike w:val="1"/>
        </w:rPr>
        <w:t>Facilities</w:t>
      </w:r>
      <w:r>
        <w:rPr>
          <w:rFonts w:ascii="Times New Roman" w:cs="Times New Roman" w:eastAsia="Times New Roman" w:hAnsi="Times New Roman"/>
          <w:sz w:val="21"/>
          <w:szCs w:val="21"/>
          <w:b w:val="1"/>
          <w:bCs w:val="1"/>
          <w:u w:val="single" w:color="auto"/>
          <w:color w:val="0000FF"/>
        </w:rPr>
        <w:t>Facility</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color w:val="000000"/>
        </w:rPr>
        <w:t>(subject to the terms of</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u w:val="single" w:color="auto"/>
          <w:color w:val="000000"/>
        </w:rPr>
        <w:t>Section 2.17</w:t>
      </w:r>
      <w:r>
        <w:rPr>
          <w:rFonts w:ascii="Times New Roman" w:cs="Times New Roman" w:eastAsia="Times New Roman" w:hAnsi="Times New Roman"/>
          <w:sz w:val="21"/>
          <w:szCs w:val="21"/>
          <w:color w:val="000000"/>
        </w:rPr>
        <w:t>) or the Letter of Credit Sublimit, or from time to time permanently</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color w:val="000000"/>
        </w:rPr>
        <w:t xml:space="preserve">reduce the Revolving Credit Commitments of any Class (subject to the terms of </w:t>
      </w:r>
      <w:r>
        <w:rPr>
          <w:rFonts w:ascii="Times New Roman" w:cs="Times New Roman" w:eastAsia="Times New Roman" w:hAnsi="Times New Roman"/>
          <w:sz w:val="21"/>
          <w:szCs w:val="21"/>
          <w:u w:val="single" w:color="auto"/>
          <w:color w:val="000000"/>
        </w:rPr>
        <w:t>Section 2.17</w:t>
      </w:r>
      <w:r>
        <w:rPr>
          <w:rFonts w:ascii="Times New Roman" w:cs="Times New Roman" w:eastAsia="Times New Roman" w:hAnsi="Times New Roman"/>
          <w:sz w:val="21"/>
          <w:szCs w:val="21"/>
          <w:color w:val="000000"/>
        </w:rPr>
        <w:t xml:space="preserve">) or the Letter of Credit Sublimit; </w:t>
      </w:r>
      <w:r>
        <w:rPr>
          <w:rFonts w:ascii="Times New Roman" w:cs="Times New Roman" w:eastAsia="Times New Roman" w:hAnsi="Times New Roman"/>
          <w:sz w:val="21"/>
          <w:szCs w:val="21"/>
          <w:i w:val="1"/>
          <w:iCs w:val="1"/>
          <w:color w:val="000000"/>
        </w:rPr>
        <w:t>provided</w:t>
      </w:r>
      <w:r>
        <w:rPr>
          <w:rFonts w:ascii="Times New Roman" w:cs="Times New Roman" w:eastAsia="Times New Roman" w:hAnsi="Times New Roman"/>
          <w:sz w:val="21"/>
          <w:szCs w:val="21"/>
          <w:color w:val="000000"/>
        </w:rPr>
        <w:t xml:space="preserve"> that (i) any such notice shall be received by the Administrative Agent not later than 11:00 a.m. five Business Days prior to the date of reduction or not later than 11:00 a.m. three Business Days prior to the date of termination,</w:t>
      </w:r>
    </w:p>
    <w:p>
      <w:pPr>
        <w:spacing w:after="0" w:line="2" w:lineRule="exact"/>
        <w:rPr>
          <w:rFonts w:ascii="Times New Roman" w:cs="Times New Roman" w:eastAsia="Times New Roman" w:hAnsi="Times New Roman"/>
          <w:sz w:val="21"/>
          <w:szCs w:val="21"/>
          <w:color w:val="auto"/>
        </w:rPr>
      </w:pPr>
    </w:p>
    <w:p>
      <w:pPr>
        <w:jc w:val="both"/>
        <w:ind w:left="640" w:firstLine="2"/>
        <w:spacing w:after="0" w:line="254" w:lineRule="auto"/>
        <w:tabs>
          <w:tab w:leader="none" w:pos="958"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such partial reduction shall be in an aggregate amount of $5,000,000 or any whole multiple of $1,000,000 in excess thereof and (iii) the Borrower shall not reduce or terminate (A) the Revolving Credit Facilities if, after giving effect thereto and to any concurrent prepayments of the Revolving Credit Facilities hereunder, the Total Revolving Credit Outstandings would exceed the Revolving Credit Facilities, (B) any Revolving Credit Facility if, after giving effect thereto and to any concurrent prepayments of such Revolving Credit Facility hereunder, the Total Revolving Credit Outstandings in respect of such Revolving Credit Facility would exceed such Revolving Credit Facility or (C) the Letter of Credit Sublimit if, after giving effect thereto, the Outstanding Amount of L/C Obligations would exceed the Letter of Credit Sublimit.</w:t>
      </w:r>
    </w:p>
    <w:p>
      <w:pPr>
        <w:spacing w:after="0" w:line="144" w:lineRule="exact"/>
        <w:rPr>
          <w:sz w:val="20"/>
          <w:szCs w:val="20"/>
          <w:color w:val="auto"/>
        </w:rPr>
      </w:pPr>
    </w:p>
    <w:p>
      <w:pPr>
        <w:jc w:val="both"/>
        <w:ind w:firstLine="1278"/>
        <w:spacing w:after="0" w:line="233" w:lineRule="auto"/>
        <w:tabs>
          <w:tab w:leader="none" w:pos="1903" w:val="left"/>
        </w:tabs>
        <w:numPr>
          <w:ilvl w:val="0"/>
          <w:numId w:val="135"/>
        </w:numPr>
        <w:rPr>
          <w:rFonts w:ascii="Times New Roman" w:cs="Times New Roman" w:eastAsia="Times New Roman" w:hAnsi="Times New Roman"/>
          <w:sz w:val="21"/>
          <w:szCs w:val="21"/>
          <w:b w:val="1"/>
          <w:bCs w:val="1"/>
          <w:u w:val="single" w:color="auto"/>
          <w:color w:val="0000FF"/>
        </w:rPr>
      </w:pPr>
      <w:r>
        <w:rPr>
          <w:rFonts w:ascii="Times New Roman" w:cs="Times New Roman" w:eastAsia="Times New Roman" w:hAnsi="Times New Roman"/>
          <w:sz w:val="21"/>
          <w:szCs w:val="21"/>
          <w:b w:val="1"/>
          <w:bCs w:val="1"/>
          <w:color w:val="FF0000"/>
          <w:strike w:val="1"/>
        </w:rPr>
        <w:t>(b)</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i w:val="1"/>
          <w:iCs w:val="1"/>
          <w:color w:val="000000"/>
        </w:rPr>
        <w:t>Mandatory</w:t>
      </w:r>
      <w:r>
        <w:rPr>
          <w:rFonts w:ascii="Times New Roman" w:cs="Times New Roman" w:eastAsia="Times New Roman" w:hAnsi="Times New Roman"/>
          <w:sz w:val="21"/>
          <w:szCs w:val="21"/>
          <w:color w:val="000000"/>
        </w:rPr>
        <w:t>. If after giving effect to any reduction or termination of Revolving Credit Commitments under</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color w:val="000000"/>
        </w:rPr>
        <w:t xml:space="preserve">this </w:t>
      </w:r>
      <w:r>
        <w:rPr>
          <w:rFonts w:ascii="Times New Roman" w:cs="Times New Roman" w:eastAsia="Times New Roman" w:hAnsi="Times New Roman"/>
          <w:sz w:val="21"/>
          <w:szCs w:val="21"/>
          <w:u w:val="single" w:color="auto"/>
          <w:color w:val="000000"/>
        </w:rPr>
        <w:t>Section 2.06</w:t>
      </w:r>
      <w:r>
        <w:rPr>
          <w:rFonts w:ascii="Times New Roman" w:cs="Times New Roman" w:eastAsia="Times New Roman" w:hAnsi="Times New Roman"/>
          <w:sz w:val="21"/>
          <w:szCs w:val="21"/>
          <w:color w:val="000000"/>
        </w:rPr>
        <w:t>, the Letter of Credit Sublimit exceeds the Revolving Credit Facility at such time, the Letter of Credit Sublimit shall be automatically reduced by the amount of such excess.</w:t>
      </w:r>
    </w:p>
    <w:p>
      <w:pPr>
        <w:spacing w:after="0" w:line="144" w:lineRule="exact"/>
        <w:rPr>
          <w:rFonts w:ascii="Times New Roman" w:cs="Times New Roman" w:eastAsia="Times New Roman" w:hAnsi="Times New Roman"/>
          <w:sz w:val="21"/>
          <w:szCs w:val="21"/>
          <w:b w:val="1"/>
          <w:bCs w:val="1"/>
          <w:u w:val="single" w:color="auto"/>
          <w:color w:val="0000FF"/>
        </w:rPr>
      </w:pPr>
    </w:p>
    <w:p>
      <w:pPr>
        <w:jc w:val="both"/>
        <w:ind w:firstLine="1278"/>
        <w:spacing w:after="0" w:line="222" w:lineRule="auto"/>
        <w:tabs>
          <w:tab w:leader="none" w:pos="1902" w:val="left"/>
        </w:tabs>
        <w:numPr>
          <w:ilvl w:val="0"/>
          <w:numId w:val="135"/>
        </w:numPr>
        <w:rPr>
          <w:rFonts w:ascii="Times New Roman" w:cs="Times New Roman" w:eastAsia="Times New Roman" w:hAnsi="Times New Roman"/>
          <w:sz w:val="21"/>
          <w:szCs w:val="21"/>
          <w:b w:val="1"/>
          <w:bCs w:val="1"/>
          <w:u w:val="single" w:color="auto"/>
          <w:color w:val="0000FF"/>
        </w:rPr>
      </w:pPr>
      <w:r>
        <w:rPr>
          <w:rFonts w:ascii="Times New Roman" w:cs="Times New Roman" w:eastAsia="Times New Roman" w:hAnsi="Times New Roman"/>
          <w:sz w:val="21"/>
          <w:szCs w:val="21"/>
          <w:b w:val="1"/>
          <w:bCs w:val="1"/>
          <w:color w:val="FF0000"/>
          <w:strike w:val="1"/>
        </w:rPr>
        <w:t>(c)</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i w:val="1"/>
          <w:iCs w:val="1"/>
          <w:color w:val="000000"/>
        </w:rPr>
        <w:t>Application of Commitment Reductions</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i w:val="1"/>
          <w:iCs w:val="1"/>
          <w:color w:val="000000"/>
        </w:rPr>
        <w:t>Payment of Fees</w:t>
      </w:r>
      <w:r>
        <w:rPr>
          <w:rFonts w:ascii="Times New Roman" w:cs="Times New Roman" w:eastAsia="Times New Roman" w:hAnsi="Times New Roman"/>
          <w:sz w:val="21"/>
          <w:szCs w:val="21"/>
          <w:color w:val="000000"/>
        </w:rPr>
        <w:t>. The Administrative Agent will promptly notify</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color w:val="000000"/>
        </w:rPr>
        <w:t xml:space="preserve">the Lenders of any reduction or termination of the Letter of Credit Sublimit or the Revolving Credit Commitments under this </w:t>
      </w:r>
      <w:r>
        <w:rPr>
          <w:rFonts w:ascii="Times New Roman" w:cs="Times New Roman" w:eastAsia="Times New Roman" w:hAnsi="Times New Roman"/>
          <w:sz w:val="21"/>
          <w:szCs w:val="21"/>
          <w:u w:val="single" w:color="auto"/>
          <w:color w:val="000000"/>
        </w:rPr>
        <w:t>Section 2.06</w:t>
      </w:r>
      <w:r>
        <w:rPr>
          <w:rFonts w:ascii="Times New Roman" w:cs="Times New Roman" w:eastAsia="Times New Roman" w:hAnsi="Times New Roman"/>
          <w:sz w:val="21"/>
          <w:szCs w:val="21"/>
          <w:color w:val="000000"/>
        </w:rPr>
        <w:t>. Upon any reduction of any Revolving Credit Commitments, the Revolving Credit Commitments of each applicable Revolving Credit Lender shall be reduced by such Revolving Credit Lender’s Applicable Revolving Credit Percentage of such reduction amount. All fees in respect of any Revolving Credit Facility accrued until the effective date of any termination of such Revolving Credit Commitments shall be paid on the effective date of such termination.</w:t>
      </w:r>
    </w:p>
    <w:p>
      <w:pPr>
        <w:spacing w:after="0" w:line="146"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2.07</w:t>
      </w:r>
      <w:r>
        <w:rPr>
          <w:sz w:val="20"/>
          <w:szCs w:val="20"/>
          <w:color w:val="auto"/>
        </w:rPr>
        <w:tab/>
      </w:r>
      <w:r>
        <w:rPr>
          <w:rFonts w:ascii="Times New Roman" w:cs="Times New Roman" w:eastAsia="Times New Roman" w:hAnsi="Times New Roman"/>
          <w:sz w:val="21"/>
          <w:szCs w:val="21"/>
          <w:i w:val="1"/>
          <w:iCs w:val="1"/>
          <w:color w:val="auto"/>
        </w:rPr>
        <w:t>Repayment of Loans</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p>
    <w:p>
      <w:pPr>
        <w:spacing w:after="0" w:line="194" w:lineRule="exact"/>
        <w:rPr>
          <w:sz w:val="20"/>
          <w:szCs w:val="20"/>
          <w:color w:val="auto"/>
        </w:rPr>
      </w:pPr>
    </w:p>
    <w:p>
      <w:pPr>
        <w:jc w:val="both"/>
        <w:ind w:firstLine="1278"/>
        <w:spacing w:after="0" w:line="223" w:lineRule="auto"/>
        <w:tabs>
          <w:tab w:leader="none" w:pos="1905" w:val="left"/>
        </w:tabs>
        <w:numPr>
          <w:ilvl w:val="0"/>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Incremental Term Loans</w:t>
      </w:r>
      <w:r>
        <w:rPr>
          <w:rFonts w:ascii="Times New Roman" w:cs="Times New Roman" w:eastAsia="Times New Roman" w:hAnsi="Times New Roman"/>
          <w:sz w:val="21"/>
          <w:szCs w:val="21"/>
          <w:color w:val="auto"/>
        </w:rPr>
        <w:t>. In the event any Incremental Term Loans or Refinancing Term Loans are made,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such Incremental Term Loans or Refinancing Term Loans shall be repaid in the amounts and dates set forth in the applicable Joinder Agreement or Refinancing Amendment with respect thereto and on the applicable Maturity Date thereof. All payments made pursuant to this </w:t>
      </w:r>
      <w:r>
        <w:rPr>
          <w:rFonts w:ascii="Times New Roman" w:cs="Times New Roman" w:eastAsia="Times New Roman" w:hAnsi="Times New Roman"/>
          <w:sz w:val="21"/>
          <w:szCs w:val="21"/>
          <w:u w:val="single" w:color="auto"/>
          <w:color w:val="auto"/>
        </w:rPr>
        <w:t>Section 2.07(a)</w:t>
      </w:r>
      <w:r>
        <w:rPr>
          <w:rFonts w:ascii="Times New Roman" w:cs="Times New Roman" w:eastAsia="Times New Roman" w:hAnsi="Times New Roman"/>
          <w:sz w:val="21"/>
          <w:szCs w:val="21"/>
          <w:color w:val="auto"/>
        </w:rPr>
        <w:t xml:space="preserve"> shall be applied on a pro rata basis to each Term Lender holding Term Loans of the applicable Facility or Class being repaid.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89</w:t>
      </w:r>
    </w:p>
    <w:p>
      <w:pPr>
        <w:sectPr>
          <w:pgSz w:w="11900" w:h="16838" w:orient="portrait"/>
          <w:cols w:equalWidth="0" w:num="1">
            <w:col w:w="11240"/>
          </w:cols>
          <w:pgMar w:left="320" w:top="1371" w:right="339" w:bottom="1440" w:gutter="0" w:footer="0" w:header="0"/>
        </w:sectPr>
      </w:pPr>
    </w:p>
    <w:bookmarkStart w:id="195" w:name="page196"/>
    <w:bookmarkEnd w:id="195"/>
    <w:p>
      <w:pPr>
        <w:jc w:val="both"/>
        <w:ind w:firstLine="1278"/>
        <w:spacing w:after="0" w:line="232" w:lineRule="auto"/>
        <w:tabs>
          <w:tab w:leader="none" w:pos="1903" w:val="left"/>
        </w:tabs>
        <w:numPr>
          <w:ilvl w:val="0"/>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Revolving Credit Loans</w:t>
      </w:r>
      <w:r>
        <w:rPr>
          <w:rFonts w:ascii="Times New Roman" w:cs="Times New Roman" w:eastAsia="Times New Roman" w:hAnsi="Times New Roman"/>
          <w:sz w:val="21"/>
          <w:szCs w:val="21"/>
          <w:color w:val="auto"/>
        </w:rPr>
        <w:t>. The Borrower shall repay to the Administrative Agent for the ratable account of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Appropriate Lenders on the applicable Maturity Date for the Revolving Credit Facilities of a given Class the aggregate principal amount of all of its Revolving Credit Loans of such Class outstanding on such date.</w:t>
      </w:r>
    </w:p>
    <w:p>
      <w:pPr>
        <w:spacing w:after="0" w:line="148"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2.08</w:t>
      </w:r>
      <w:r>
        <w:rPr>
          <w:sz w:val="20"/>
          <w:szCs w:val="20"/>
          <w:color w:val="auto"/>
        </w:rPr>
        <w:tab/>
      </w:r>
      <w:r>
        <w:rPr>
          <w:rFonts w:ascii="Times New Roman" w:cs="Times New Roman" w:eastAsia="Times New Roman" w:hAnsi="Times New Roman"/>
          <w:sz w:val="20"/>
          <w:szCs w:val="20"/>
          <w:i w:val="1"/>
          <w:iCs w:val="1"/>
          <w:color w:val="auto"/>
        </w:rPr>
        <w:t>Interest</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p>
    <w:p>
      <w:pPr>
        <w:spacing w:after="0" w:line="196" w:lineRule="exact"/>
        <w:rPr>
          <w:sz w:val="20"/>
          <w:szCs w:val="20"/>
          <w:color w:val="auto"/>
        </w:rPr>
      </w:pPr>
    </w:p>
    <w:p>
      <w:pPr>
        <w:jc w:val="both"/>
        <w:ind w:firstLine="1278"/>
        <w:spacing w:after="0" w:line="217" w:lineRule="auto"/>
        <w:tabs>
          <w:tab w:leader="none" w:pos="1905" w:val="left"/>
        </w:tabs>
        <w:numPr>
          <w:ilvl w:val="0"/>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the provisions of </w:t>
      </w:r>
      <w:r>
        <w:rPr>
          <w:rFonts w:ascii="Times New Roman" w:cs="Times New Roman" w:eastAsia="Times New Roman" w:hAnsi="Times New Roman"/>
          <w:sz w:val="21"/>
          <w:szCs w:val="21"/>
          <w:u w:val="single" w:color="auto"/>
          <w:color w:val="auto"/>
        </w:rPr>
        <w:t>Section 2.08(b)</w:t>
      </w:r>
      <w:r>
        <w:rPr>
          <w:rFonts w:ascii="Times New Roman" w:cs="Times New Roman" w:eastAsia="Times New Roman" w:hAnsi="Times New Roman"/>
          <w:sz w:val="21"/>
          <w:szCs w:val="21"/>
          <w:color w:val="auto"/>
        </w:rPr>
        <w:t xml:space="preserve">, (i) each Eurodollar Rate Loan under a Facility shall bear interest on the outstanding principal amount thereof for each Interest Period at a rate per annum equal to the Adjusted Eurodollar Rate for such Interest Period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the Applicable Rate for Eurodollar Rate Loans under such Facility, (ii) each Base Rate Loan under a Facility shall bear interest on the outstanding principal amount thereof from the applicable borrowing date at a rate per annum equal to the Base Rate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the Applicable Rate for Base Rate Loans under such Facility, (iii) each RFR Loan under a Facility shall bear interest on the outstanding principal amount thereof from the applicable borrowing date at a rate </w:t>
      </w:r>
      <w:r>
        <w:rPr>
          <w:rFonts w:ascii="Times New Roman" w:cs="Times New Roman" w:eastAsia="Times New Roman" w:hAnsi="Times New Roman"/>
          <w:sz w:val="21"/>
          <w:szCs w:val="21"/>
          <w:i w:val="1"/>
          <w:iCs w:val="1"/>
          <w:color w:val="auto"/>
        </w:rPr>
        <w:t>per annum</w:t>
      </w:r>
      <w:r>
        <w:rPr>
          <w:rFonts w:ascii="Times New Roman" w:cs="Times New Roman" w:eastAsia="Times New Roman" w:hAnsi="Times New Roman"/>
          <w:sz w:val="21"/>
          <w:szCs w:val="21"/>
          <w:color w:val="auto"/>
        </w:rPr>
        <w:t xml:space="preserve"> equal to the </w:t>
      </w:r>
      <w:r>
        <w:rPr>
          <w:rFonts w:ascii="Times New Roman" w:cs="Times New Roman" w:eastAsia="Times New Roman" w:hAnsi="Times New Roman"/>
          <w:sz w:val="21"/>
          <w:szCs w:val="21"/>
          <w:b w:val="1"/>
          <w:bCs w:val="1"/>
          <w:color w:val="FF0000"/>
          <w:strike w:val="1"/>
        </w:rPr>
        <w:t>Adjusted</w:t>
      </w:r>
      <w:r>
        <w:rPr>
          <w:rFonts w:ascii="Times New Roman" w:cs="Times New Roman" w:eastAsia="Times New Roman" w:hAnsi="Times New Roman"/>
          <w:sz w:val="21"/>
          <w:szCs w:val="21"/>
          <w:color w:val="auto"/>
        </w:rPr>
        <w:t xml:space="preserve"> Daily Simple RFR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the Applicable Rate for RFR Loans under such Facility and (iv) each Term SOFR Loan under a Facility shall bear interest on the outstanding principal amount thereof for each Interest Period at a rate per annum equal to </w:t>
      </w:r>
      <w:r>
        <w:rPr>
          <w:rFonts w:ascii="Times New Roman" w:cs="Times New Roman" w:eastAsia="Times New Roman" w:hAnsi="Times New Roman"/>
          <w:sz w:val="21"/>
          <w:szCs w:val="21"/>
          <w:b w:val="1"/>
          <w:bCs w:val="1"/>
          <w:color w:val="FF0000"/>
          <w:strike w:val="1"/>
        </w:rPr>
        <w:t>the Adjusted</w:t>
      </w:r>
      <w:r>
        <w:rPr>
          <w:rFonts w:ascii="Times New Roman" w:cs="Times New Roman" w:eastAsia="Times New Roman" w:hAnsi="Times New Roman"/>
          <w:sz w:val="21"/>
          <w:szCs w:val="21"/>
          <w:color w:val="auto"/>
        </w:rPr>
        <w:t xml:space="preserve"> Term SOFR </w:t>
      </w:r>
      <w:r>
        <w:rPr>
          <w:rFonts w:ascii="Times New Roman" w:cs="Times New Roman" w:eastAsia="Times New Roman" w:hAnsi="Times New Roman"/>
          <w:sz w:val="21"/>
          <w:szCs w:val="21"/>
          <w:b w:val="1"/>
          <w:bCs w:val="1"/>
          <w:color w:val="FF0000"/>
          <w:strike w:val="1"/>
        </w:rPr>
        <w:t>Rate</w:t>
      </w:r>
      <w:r>
        <w:rPr>
          <w:rFonts w:ascii="Times New Roman" w:cs="Times New Roman" w:eastAsia="Times New Roman" w:hAnsi="Times New Roman"/>
          <w:sz w:val="21"/>
          <w:szCs w:val="21"/>
          <w:color w:val="auto"/>
        </w:rPr>
        <w:t xml:space="preserve"> for such Interest Period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the Applicable Rate for Term SOFR Loans under such Facility.</w:t>
      </w:r>
    </w:p>
    <w:p>
      <w:pPr>
        <w:spacing w:after="0" w:line="150" w:lineRule="exact"/>
        <w:rPr>
          <w:rFonts w:ascii="Times New Roman" w:cs="Times New Roman" w:eastAsia="Times New Roman" w:hAnsi="Times New Roman"/>
          <w:sz w:val="21"/>
          <w:szCs w:val="21"/>
          <w:color w:val="auto"/>
        </w:rPr>
      </w:pPr>
    </w:p>
    <w:p>
      <w:pPr>
        <w:jc w:val="both"/>
        <w:ind w:firstLine="1278"/>
        <w:spacing w:after="0" w:line="233" w:lineRule="auto"/>
        <w:tabs>
          <w:tab w:leader="none" w:pos="1903" w:val="left"/>
        </w:tabs>
        <w:numPr>
          <w:ilvl w:val="0"/>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FF0000"/>
          <w:strike w:val="1"/>
        </w:rPr>
        <w:t>(i)</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color w:val="000000"/>
        </w:rPr>
        <w:t>Automatically, upon the occurrence and while any Event of Default as described in</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u w:val="single" w:color="auto"/>
          <w:color w:val="000000"/>
        </w:rPr>
        <w:t>Section 8.01(a)</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u w:val="single" w:color="auto"/>
          <w:color w:val="000000"/>
        </w:rPr>
        <w:t>8.01(f)</w:t>
      </w:r>
      <w:r>
        <w:rPr>
          <w:rFonts w:ascii="Times New Roman" w:cs="Times New Roman" w:eastAsia="Times New Roman" w:hAnsi="Times New Roman"/>
          <w:sz w:val="21"/>
          <w:szCs w:val="21"/>
          <w:color w:val="000000"/>
        </w:rPr>
        <w:t xml:space="preserve"> or </w:t>
      </w:r>
      <w:r>
        <w:rPr>
          <w:rFonts w:ascii="Times New Roman" w:cs="Times New Roman" w:eastAsia="Times New Roman" w:hAnsi="Times New Roman"/>
          <w:sz w:val="21"/>
          <w:szCs w:val="21"/>
          <w:u w:val="single" w:color="auto"/>
          <w:color w:val="000000"/>
        </w:rPr>
        <w:t>8.01(g)</w:t>
      </w:r>
      <w:r>
        <w:rPr>
          <w:rFonts w:ascii="Times New Roman" w:cs="Times New Roman" w:eastAsia="Times New Roman" w:hAnsi="Times New Roman"/>
          <w:sz w:val="21"/>
          <w:szCs w:val="21"/>
          <w:color w:val="000000"/>
        </w:rPr>
        <w:t xml:space="preserve"> exists, the Borrower shall pay interest on all overdue amounts then outstanding hereunder at a fluctuating interest rate per annum at all times equal to the Default Rate to the fullest extent permitted by applicable Laws.</w:t>
      </w:r>
    </w:p>
    <w:p>
      <w:pPr>
        <w:spacing w:after="0" w:line="144" w:lineRule="exact"/>
        <w:rPr>
          <w:rFonts w:ascii="Times New Roman" w:cs="Times New Roman" w:eastAsia="Times New Roman" w:hAnsi="Times New Roman"/>
          <w:sz w:val="21"/>
          <w:szCs w:val="21"/>
          <w:color w:val="auto"/>
        </w:rPr>
      </w:pPr>
    </w:p>
    <w:p>
      <w:pPr>
        <w:ind w:left="640" w:firstLine="1274"/>
        <w:spacing w:after="0" w:line="249" w:lineRule="auto"/>
        <w:tabs>
          <w:tab w:leader="none" w:pos="2536" w:val="left"/>
        </w:tabs>
        <w:numPr>
          <w:ilvl w:val="1"/>
          <w:numId w:val="138"/>
        </w:numPr>
        <w:rPr>
          <w:rFonts w:ascii="Times New Roman" w:cs="Times New Roman" w:eastAsia="Times New Roman" w:hAnsi="Times New Roman"/>
          <w:sz w:val="21"/>
          <w:szCs w:val="21"/>
          <w:b w:val="1"/>
          <w:bCs w:val="1"/>
          <w:u w:val="single" w:color="auto"/>
          <w:color w:val="0000FF"/>
        </w:rPr>
      </w:pPr>
      <w:r>
        <w:rPr>
          <w:rFonts w:ascii="Times New Roman" w:cs="Times New Roman" w:eastAsia="Times New Roman" w:hAnsi="Times New Roman"/>
          <w:sz w:val="21"/>
          <w:szCs w:val="21"/>
          <w:b w:val="1"/>
          <w:bCs w:val="1"/>
          <w:color w:val="FF0000"/>
          <w:strike w:val="1"/>
        </w:rPr>
        <w:t>(ii)</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color w:val="000000"/>
        </w:rPr>
        <w:t>Accrued and unpaid interest on past due amounts (including interest on past due interest) shall be</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color w:val="000000"/>
        </w:rPr>
        <w:t>due and payable upon demand.</w:t>
      </w:r>
    </w:p>
    <w:p>
      <w:pPr>
        <w:spacing w:after="0" w:line="138" w:lineRule="exact"/>
        <w:rPr>
          <w:rFonts w:ascii="Times New Roman" w:cs="Times New Roman" w:eastAsia="Times New Roman" w:hAnsi="Times New Roman"/>
          <w:sz w:val="21"/>
          <w:szCs w:val="21"/>
          <w:b w:val="1"/>
          <w:bCs w:val="1"/>
          <w:u w:val="single" w:color="auto"/>
          <w:color w:val="0000FF"/>
        </w:rPr>
      </w:pPr>
    </w:p>
    <w:p>
      <w:pPr>
        <w:jc w:val="both"/>
        <w:ind w:firstLine="1278"/>
        <w:spacing w:after="0" w:line="232" w:lineRule="auto"/>
        <w:tabs>
          <w:tab w:leader="none" w:pos="1905" w:val="left"/>
        </w:tabs>
        <w:numPr>
          <w:ilvl w:val="0"/>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46"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2.09</w:t>
      </w:r>
      <w:r>
        <w:rPr>
          <w:sz w:val="20"/>
          <w:szCs w:val="20"/>
          <w:color w:val="auto"/>
        </w:rPr>
        <w:tab/>
      </w:r>
      <w:r>
        <w:rPr>
          <w:rFonts w:ascii="Times New Roman" w:cs="Times New Roman" w:eastAsia="Times New Roman" w:hAnsi="Times New Roman"/>
          <w:sz w:val="21"/>
          <w:szCs w:val="21"/>
          <w:i w:val="1"/>
          <w:iCs w:val="1"/>
          <w:color w:val="auto"/>
        </w:rPr>
        <w:t>Fees</w:t>
      </w:r>
    </w:p>
    <w:p>
      <w:pPr>
        <w:spacing w:after="0" w:line="211" w:lineRule="exact"/>
        <w:rPr>
          <w:sz w:val="20"/>
          <w:szCs w:val="20"/>
          <w:color w:val="auto"/>
        </w:rPr>
      </w:pPr>
    </w:p>
    <w:p>
      <w:pPr>
        <w:ind w:left="740" w:hanging="98"/>
        <w:spacing w:after="0"/>
        <w:tabs>
          <w:tab w:leader="none" w:pos="740" w:val="left"/>
        </w:tabs>
        <w:numPr>
          <w:ilvl w:val="0"/>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addition to certain fees described in </w:t>
      </w:r>
      <w:r>
        <w:rPr>
          <w:rFonts w:ascii="Times New Roman" w:cs="Times New Roman" w:eastAsia="Times New Roman" w:hAnsi="Times New Roman"/>
          <w:sz w:val="21"/>
          <w:szCs w:val="21"/>
          <w:u w:val="single" w:color="auto"/>
          <w:color w:val="auto"/>
        </w:rPr>
        <w:t>Sections 2.03(h)</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(i)</w:t>
      </w:r>
      <w:r>
        <w:rPr>
          <w:rFonts w:ascii="Times New Roman" w:cs="Times New Roman" w:eastAsia="Times New Roman" w:hAnsi="Times New Roman"/>
          <w:sz w:val="21"/>
          <w:szCs w:val="21"/>
          <w:color w:val="auto"/>
        </w:rPr>
        <w:t>:</w:t>
      </w:r>
    </w:p>
    <w:p>
      <w:pPr>
        <w:spacing w:after="0" w:line="193" w:lineRule="exact"/>
        <w:rPr>
          <w:rFonts w:ascii="Times New Roman" w:cs="Times New Roman" w:eastAsia="Times New Roman" w:hAnsi="Times New Roman"/>
          <w:sz w:val="21"/>
          <w:szCs w:val="21"/>
          <w:color w:val="auto"/>
        </w:rPr>
      </w:pPr>
    </w:p>
    <w:p>
      <w:pPr>
        <w:jc w:val="both"/>
        <w:ind w:firstLine="1278"/>
        <w:spacing w:after="0" w:line="218" w:lineRule="auto"/>
        <w:tabs>
          <w:tab w:leader="none" w:pos="1905" w:val="left"/>
        </w:tabs>
        <w:numPr>
          <w:ilvl w:val="1"/>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Commitment Fee</w:t>
      </w:r>
      <w:r>
        <w:rPr>
          <w:rFonts w:ascii="Times New Roman" w:cs="Times New Roman" w:eastAsia="Times New Roman" w:hAnsi="Times New Roman"/>
          <w:sz w:val="21"/>
          <w:szCs w:val="21"/>
          <w:color w:val="auto"/>
        </w:rPr>
        <w:t>. The Borrower shall pay to the Administrative Agent for the account of each Revolving</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Credit Lender in accordance with its Applicable Percentage of the applicable Revolving Credit Facility, a commitment fee in U.S. Dollars equal to the Commitment Fee Rate with respect to the applicable Revolving Credit Facility under which such Revolving Credit Lender has a Revolving Credit Commitment </w:t>
      </w:r>
      <w:r>
        <w:rPr>
          <w:rFonts w:ascii="Times New Roman" w:cs="Times New Roman" w:eastAsia="Times New Roman" w:hAnsi="Times New Roman"/>
          <w:sz w:val="21"/>
          <w:szCs w:val="21"/>
          <w:i w:val="1"/>
          <w:iCs w:val="1"/>
          <w:color w:val="auto"/>
        </w:rPr>
        <w:t>times</w:t>
      </w:r>
      <w:r>
        <w:rPr>
          <w:rFonts w:ascii="Times New Roman" w:cs="Times New Roman" w:eastAsia="Times New Roman" w:hAnsi="Times New Roman"/>
          <w:sz w:val="21"/>
          <w:szCs w:val="21"/>
          <w:color w:val="auto"/>
        </w:rPr>
        <w:t xml:space="preserve"> the actual daily amount by which the aggregate amount of the Revolving Credit Lenders’ Revolving Credit Commitments exceeds the sum of (i) the Outstanding Amount of Revolving Credit Loans and (ii) the Outstanding Amount of L/C Obligations, subject to adjustment as provided in </w:t>
      </w:r>
      <w:r>
        <w:rPr>
          <w:rFonts w:ascii="Times New Roman" w:cs="Times New Roman" w:eastAsia="Times New Roman" w:hAnsi="Times New Roman"/>
          <w:sz w:val="21"/>
          <w:szCs w:val="21"/>
          <w:u w:val="single" w:color="auto"/>
          <w:color w:val="auto"/>
        </w:rPr>
        <w:t>Section 2.16</w:t>
      </w:r>
      <w:r>
        <w:rPr>
          <w:rFonts w:ascii="Times New Roman" w:cs="Times New Roman" w:eastAsia="Times New Roman" w:hAnsi="Times New Roman"/>
          <w:sz w:val="21"/>
          <w:szCs w:val="21"/>
          <w:color w:val="auto"/>
        </w:rPr>
        <w:t xml:space="preserve">. The commitment fee </w:t>
      </w:r>
      <w:r>
        <w:rPr>
          <w:rFonts w:ascii="Times New Roman" w:cs="Times New Roman" w:eastAsia="Times New Roman" w:hAnsi="Times New Roman"/>
          <w:sz w:val="21"/>
          <w:szCs w:val="21"/>
          <w:b w:val="1"/>
          <w:bCs w:val="1"/>
          <w:u w:val="single" w:color="auto"/>
          <w:color w:val="0000FF"/>
        </w:rPr>
        <w:t>under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0000FF"/>
        </w:rPr>
        <w:t>2025 Revolving Credit Commitments</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shall accrue at all times from the</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b w:val="1"/>
          <w:bCs w:val="1"/>
          <w:color w:val="FF0000"/>
          <w:strike w:val="1"/>
        </w:rPr>
        <w:t>Closing</w:t>
      </w:r>
      <w:r>
        <w:rPr>
          <w:rFonts w:ascii="Times New Roman" w:cs="Times New Roman" w:eastAsia="Times New Roman" w:hAnsi="Times New Roman"/>
          <w:sz w:val="21"/>
          <w:szCs w:val="21"/>
          <w:b w:val="1"/>
          <w:bCs w:val="1"/>
          <w:u w:val="single" w:color="auto"/>
          <w:color w:val="0000FF"/>
        </w:rPr>
        <w:t>First Amendment Effective</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Date until the</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 xml:space="preserve">applicable Maturity Date for the </w:t>
      </w:r>
      <w:r>
        <w:rPr>
          <w:rFonts w:ascii="Times New Roman" w:cs="Times New Roman" w:eastAsia="Times New Roman" w:hAnsi="Times New Roman"/>
          <w:sz w:val="21"/>
          <w:szCs w:val="21"/>
          <w:b w:val="1"/>
          <w:bCs w:val="1"/>
          <w:color w:val="FF0000"/>
          <w:strike w:val="1"/>
        </w:rPr>
        <w:t>applicable</w:t>
      </w:r>
      <w:r>
        <w:rPr>
          <w:rFonts w:ascii="Times New Roman" w:cs="Times New Roman" w:eastAsia="Times New Roman" w:hAnsi="Times New Roman"/>
          <w:sz w:val="21"/>
          <w:szCs w:val="21"/>
          <w:b w:val="1"/>
          <w:bCs w:val="1"/>
          <w:u w:val="single" w:color="auto"/>
          <w:color w:val="0000FF"/>
        </w:rPr>
        <w:t>2025</w:t>
      </w:r>
      <w:r>
        <w:rPr>
          <w:rFonts w:ascii="Times New Roman" w:cs="Times New Roman" w:eastAsia="Times New Roman" w:hAnsi="Times New Roman"/>
          <w:sz w:val="21"/>
          <w:szCs w:val="21"/>
          <w:color w:val="000000"/>
        </w:rPr>
        <w:t xml:space="preserve"> Revolving Credit Commitments, including at any time during which one or more of the conditions in </w:t>
      </w:r>
      <w:r>
        <w:rPr>
          <w:rFonts w:ascii="Times New Roman" w:cs="Times New Roman" w:eastAsia="Times New Roman" w:hAnsi="Times New Roman"/>
          <w:sz w:val="21"/>
          <w:szCs w:val="21"/>
          <w:u w:val="single" w:color="auto"/>
          <w:color w:val="000000"/>
        </w:rPr>
        <w:t>Section 4.02</w:t>
      </w:r>
      <w:r>
        <w:rPr>
          <w:rFonts w:ascii="Times New Roman" w:cs="Times New Roman" w:eastAsia="Times New Roman" w:hAnsi="Times New Roman"/>
          <w:sz w:val="21"/>
          <w:szCs w:val="21"/>
          <w:color w:val="000000"/>
        </w:rPr>
        <w:t xml:space="preserve"> is not met, and shall be due and payable quarterly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90</w:t>
      </w:r>
    </w:p>
    <w:p>
      <w:pPr>
        <w:sectPr>
          <w:pgSz w:w="11900" w:h="16838" w:orient="portrait"/>
          <w:cols w:equalWidth="0" w:num="1">
            <w:col w:w="11240"/>
          </w:cols>
          <w:pgMar w:left="320" w:top="1369" w:right="339" w:bottom="1440" w:gutter="0" w:footer="0" w:header="0"/>
        </w:sectPr>
      </w:pPr>
    </w:p>
    <w:bookmarkStart w:id="196" w:name="page197"/>
    <w:bookmarkEnd w:id="196"/>
    <w:p>
      <w:pPr>
        <w:jc w:val="both"/>
        <w:spacing w:after="0" w:line="233" w:lineRule="auto"/>
        <w:rPr>
          <w:sz w:val="20"/>
          <w:szCs w:val="20"/>
          <w:color w:val="auto"/>
        </w:rPr>
      </w:pPr>
      <w:r>
        <w:rPr>
          <w:rFonts w:ascii="Times New Roman" w:cs="Times New Roman" w:eastAsia="Times New Roman" w:hAnsi="Times New Roman"/>
          <w:sz w:val="21"/>
          <w:szCs w:val="21"/>
          <w:color w:val="auto"/>
        </w:rPr>
        <w:t xml:space="preserve">arrears </w:t>
      </w:r>
      <w:r>
        <w:rPr>
          <w:rFonts w:ascii="Times New Roman" w:cs="Times New Roman" w:eastAsia="Times New Roman" w:hAnsi="Times New Roman"/>
          <w:sz w:val="21"/>
          <w:szCs w:val="21"/>
          <w:b w:val="1"/>
          <w:bCs w:val="1"/>
          <w:color w:val="FF0000"/>
          <w:strike w:val="1"/>
        </w:rPr>
        <w:t>on</w:t>
      </w:r>
      <w:r>
        <w:rPr>
          <w:rFonts w:ascii="Times New Roman" w:cs="Times New Roman" w:eastAsia="Times New Roman" w:hAnsi="Times New Roman"/>
          <w:sz w:val="21"/>
          <w:szCs w:val="21"/>
          <w:b w:val="1"/>
          <w:bCs w:val="1"/>
          <w:u w:val="single" w:color="auto"/>
          <w:color w:val="0000FF"/>
        </w:rPr>
        <w:t>fifteen (15) days after</w:t>
      </w:r>
      <w:r>
        <w:rPr>
          <w:rFonts w:ascii="Times New Roman" w:cs="Times New Roman" w:eastAsia="Times New Roman" w:hAnsi="Times New Roman"/>
          <w:sz w:val="21"/>
          <w:szCs w:val="21"/>
          <w:color w:val="auto"/>
        </w:rPr>
        <w:t xml:space="preserve"> the last Business Day of each March, June, September and December, commencing with the first such date to occur following the </w:t>
      </w:r>
      <w:r>
        <w:rPr>
          <w:rFonts w:ascii="Times New Roman" w:cs="Times New Roman" w:eastAsia="Times New Roman" w:hAnsi="Times New Roman"/>
          <w:sz w:val="21"/>
          <w:szCs w:val="21"/>
          <w:b w:val="1"/>
          <w:bCs w:val="1"/>
          <w:color w:val="FF0000"/>
          <w:strike w:val="1"/>
        </w:rPr>
        <w:t>Closing</w:t>
      </w:r>
      <w:r>
        <w:rPr>
          <w:rFonts w:ascii="Times New Roman" w:cs="Times New Roman" w:eastAsia="Times New Roman" w:hAnsi="Times New Roman"/>
          <w:sz w:val="21"/>
          <w:szCs w:val="21"/>
          <w:b w:val="1"/>
          <w:bCs w:val="1"/>
          <w:u w:val="single" w:color="auto"/>
          <w:color w:val="0000FF"/>
        </w:rPr>
        <w:t>First Amendment Effective</w:t>
      </w:r>
      <w:r>
        <w:rPr>
          <w:rFonts w:ascii="Times New Roman" w:cs="Times New Roman" w:eastAsia="Times New Roman" w:hAnsi="Times New Roman"/>
          <w:sz w:val="21"/>
          <w:szCs w:val="21"/>
          <w:color w:val="auto"/>
        </w:rPr>
        <w:t xml:space="preserve"> Date and on the applicable Maturity Date for the applicable Revolving Credit Commitments. The commitment fee shall be calculated quarterly in arrears.</w:t>
      </w:r>
    </w:p>
    <w:p>
      <w:pPr>
        <w:spacing w:after="0" w:line="147" w:lineRule="exact"/>
        <w:rPr>
          <w:sz w:val="20"/>
          <w:szCs w:val="20"/>
          <w:color w:val="auto"/>
        </w:rPr>
      </w:pPr>
    </w:p>
    <w:p>
      <w:pPr>
        <w:jc w:val="both"/>
        <w:ind w:firstLine="1278"/>
        <w:spacing w:after="0" w:line="232" w:lineRule="auto"/>
        <w:tabs>
          <w:tab w:leader="none" w:pos="1903" w:val="left"/>
        </w:tabs>
        <w:numPr>
          <w:ilvl w:val="0"/>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Administrative Agent Fee</w:t>
      </w:r>
      <w:r>
        <w:rPr>
          <w:rFonts w:ascii="Times New Roman" w:cs="Times New Roman" w:eastAsia="Times New Roman" w:hAnsi="Times New Roman"/>
          <w:sz w:val="21"/>
          <w:szCs w:val="21"/>
          <w:color w:val="auto"/>
        </w:rPr>
        <w:t>. The Borrower agrees to pay to the Administrative Agent, for its own account,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fees set forth in the Fee Letter and such other fees payable in the amounts and at the times separately agreed upon between the Borrower and the Administrative Agent.</w:t>
      </w:r>
    </w:p>
    <w:p>
      <w:pPr>
        <w:spacing w:after="0" w:line="147" w:lineRule="exact"/>
        <w:rPr>
          <w:rFonts w:ascii="Times New Roman" w:cs="Times New Roman" w:eastAsia="Times New Roman" w:hAnsi="Times New Roman"/>
          <w:sz w:val="21"/>
          <w:szCs w:val="21"/>
          <w:color w:val="auto"/>
        </w:rPr>
      </w:pPr>
    </w:p>
    <w:p>
      <w:pPr>
        <w:jc w:val="both"/>
        <w:ind w:firstLine="1278"/>
        <w:spacing w:after="0" w:line="221" w:lineRule="auto"/>
        <w:tabs>
          <w:tab w:leader="none" w:pos="1905" w:val="left"/>
        </w:tabs>
        <w:numPr>
          <w:ilvl w:val="0"/>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Other Fees</w:t>
      </w:r>
      <w:r>
        <w:rPr>
          <w:rFonts w:ascii="Times New Roman" w:cs="Times New Roman" w:eastAsia="Times New Roman" w:hAnsi="Times New Roman"/>
          <w:sz w:val="21"/>
          <w:szCs w:val="21"/>
          <w:color w:val="auto"/>
        </w:rPr>
        <w:t>. The Borrower agrees to pay on the Closing Date to each Lender party to this Agreement as a</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Lender on the Closing Date, as fee compensation for the funding of such Lender’s funded and unfunded Revolving Credit Commitments, a closing fee in an amount separately agreed to by the Borrower and the Arrangers for the benefit of such Lenders on the Closing Date, payable to such Lender from the proceeds of the Revolving Credit Loans as and when funded on the Closing Date. Such closing fee shall be in all respects fully earned, due and payable on the Closing Date and non-refundable and non-creditable thereafter.</w:t>
      </w:r>
    </w:p>
    <w:p>
      <w:pPr>
        <w:spacing w:after="0" w:line="150" w:lineRule="exact"/>
        <w:rPr>
          <w:sz w:val="20"/>
          <w:szCs w:val="20"/>
          <w:color w:val="auto"/>
        </w:rPr>
      </w:pPr>
    </w:p>
    <w:p>
      <w:pPr>
        <w:ind w:left="640" w:right="2680"/>
        <w:spacing w:after="0" w:line="362" w:lineRule="auto"/>
        <w:rPr>
          <w:sz w:val="20"/>
          <w:szCs w:val="20"/>
          <w:color w:val="auto"/>
        </w:rPr>
      </w:pPr>
      <w:r>
        <w:rPr>
          <w:rFonts w:ascii="Times New Roman" w:cs="Times New Roman" w:eastAsia="Times New Roman" w:hAnsi="Times New Roman"/>
          <w:sz w:val="21"/>
          <w:szCs w:val="21"/>
          <w:color w:val="auto"/>
        </w:rPr>
        <w:t xml:space="preserve">Section 2.10 </w:t>
      </w:r>
      <w:r>
        <w:rPr>
          <w:rFonts w:ascii="Times New Roman" w:cs="Times New Roman" w:eastAsia="Times New Roman" w:hAnsi="Times New Roman"/>
          <w:sz w:val="21"/>
          <w:szCs w:val="21"/>
          <w:i w:val="1"/>
          <w:iCs w:val="1"/>
          <w:color w:val="auto"/>
        </w:rPr>
        <w:t>Computation of Interest and Fees; Retroactive Adjustments of Applicable Rate</w:t>
      </w:r>
      <w:r>
        <w:rPr>
          <w:rFonts w:ascii="Times New Roman" w:cs="Times New Roman" w:eastAsia="Times New Roman" w:hAnsi="Times New Roman"/>
          <w:sz w:val="21"/>
          <w:szCs w:val="21"/>
          <w:color w:val="auto"/>
        </w:rPr>
        <w:t xml:space="preserve"> .</w:t>
      </w:r>
    </w:p>
    <w:p>
      <w:pPr>
        <w:spacing w:after="0" w:line="200" w:lineRule="exact"/>
        <w:rPr>
          <w:sz w:val="20"/>
          <w:szCs w:val="20"/>
          <w:color w:val="auto"/>
        </w:rPr>
      </w:pPr>
    </w:p>
    <w:p>
      <w:pPr>
        <w:spacing w:after="0" w:line="326" w:lineRule="exact"/>
        <w:rPr>
          <w:sz w:val="20"/>
          <w:szCs w:val="20"/>
          <w:color w:val="auto"/>
        </w:rPr>
      </w:pPr>
    </w:p>
    <w:p>
      <w:pPr>
        <w:jc w:val="both"/>
        <w:ind w:firstLine="1278"/>
        <w:spacing w:after="0" w:line="216" w:lineRule="auto"/>
        <w:tabs>
          <w:tab w:leader="none" w:pos="1905" w:val="left"/>
        </w:tabs>
        <w:numPr>
          <w:ilvl w:val="0"/>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All computations of interest for Base Rate Loans based on the Prime Rate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or, in the case of interest in respect of Revolving Credit Loans denominated in Alternative Currencies, the applicable market practice for such Alternative Currency, which shall be either on the basis of a year of a 365 or 366 days or a 360-day year (it being understood that, in the case of interest computed by reference to the Daily Simple RFR, such interest shall be computed on the basis of a year of 365 days (or 366 days in a leap year)). Interest shall accrue on each Loan for the day on which the Loan is made, and shall not accrue on a Loan, or any portion thereof, for the day on which the Loan or such portion is paid,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any Loan that is repaid on the same day on which it is made shall, notwithstanding </w:t>
      </w:r>
      <w:r>
        <w:rPr>
          <w:rFonts w:ascii="Times New Roman" w:cs="Times New Roman" w:eastAsia="Times New Roman" w:hAnsi="Times New Roman"/>
          <w:sz w:val="21"/>
          <w:szCs w:val="21"/>
          <w:u w:val="single" w:color="auto"/>
          <w:color w:val="auto"/>
        </w:rPr>
        <w:t>Section 2.12(a)</w:t>
      </w:r>
      <w:r>
        <w:rPr>
          <w:rFonts w:ascii="Times New Roman" w:cs="Times New Roman" w:eastAsia="Times New Roman" w:hAnsi="Times New Roman"/>
          <w:sz w:val="21"/>
          <w:szCs w:val="21"/>
          <w:color w:val="auto"/>
        </w:rPr>
        <w:t>, bear interest for one day. Each determination by the Administrative Agent of an interest rate or fee hereunder shall be conclusive and binding for all purposes, absent manifest error.</w:t>
      </w:r>
    </w:p>
    <w:p>
      <w:pPr>
        <w:spacing w:after="0" w:line="153" w:lineRule="exact"/>
        <w:rPr>
          <w:rFonts w:ascii="Times New Roman" w:cs="Times New Roman" w:eastAsia="Times New Roman" w:hAnsi="Times New Roman"/>
          <w:sz w:val="21"/>
          <w:szCs w:val="21"/>
          <w:color w:val="auto"/>
        </w:rPr>
      </w:pPr>
    </w:p>
    <w:p>
      <w:pPr>
        <w:jc w:val="both"/>
        <w:ind w:firstLine="1278"/>
        <w:spacing w:after="0" w:line="216" w:lineRule="auto"/>
        <w:tabs>
          <w:tab w:leader="none" w:pos="1903" w:val="left"/>
        </w:tabs>
        <w:numPr>
          <w:ilvl w:val="0"/>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as a result of any restatement of or other adjustment to the financial statements of the Borrower or for any other reason, the Borrower, the Administrative Agent or the Required Lenders determine that (i) the Secured Net Leverage Ratio as calculated by the Borrower as of any applicable date was inaccurate and (ii) a proper calculation of the Secured Net Leverage Ratio would have resulted in higher pricing for such period, the Borrower shall immediately and retroactively be obligated to pay to the Administrative Agent for the account of the applicable Lenders or the applicable L/C Issuer, as the case may be, promptly on demand by the Administrative Agent (or, after the occurrence of an actual or deemed entry of an order for relief with respect to the Borrower under the Bankruptcy Code of the United States, automatically and without further action by the Administrative Agent, any Lender or any L/C Issuer), an amount equal to the excess of the amount of interest and fees that should have been paid for such period over the amount of interest and fees actually paid for such period. This paragraph shall not limit the rights of the Administrative Agent, any Lender or any L/C Issuer, as the case may be, under </w:t>
      </w:r>
      <w:r>
        <w:rPr>
          <w:rFonts w:ascii="Times New Roman" w:cs="Times New Roman" w:eastAsia="Times New Roman" w:hAnsi="Times New Roman"/>
          <w:sz w:val="21"/>
          <w:szCs w:val="21"/>
          <w:u w:val="single" w:color="auto"/>
          <w:color w:val="auto"/>
        </w:rPr>
        <w:t>Sections 2.03(h)</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2.08(b)</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2.09(a)</w:t>
      </w:r>
      <w:r>
        <w:rPr>
          <w:rFonts w:ascii="Times New Roman" w:cs="Times New Roman" w:eastAsia="Times New Roman" w:hAnsi="Times New Roman"/>
          <w:sz w:val="21"/>
          <w:szCs w:val="21"/>
          <w:color w:val="auto"/>
        </w:rPr>
        <w:t xml:space="preserve"> or under </w:t>
      </w:r>
      <w:r>
        <w:rPr>
          <w:rFonts w:ascii="Times New Roman" w:cs="Times New Roman" w:eastAsia="Times New Roman" w:hAnsi="Times New Roman"/>
          <w:sz w:val="21"/>
          <w:szCs w:val="21"/>
          <w:u w:val="single" w:color="auto"/>
          <w:color w:val="auto"/>
        </w:rPr>
        <w:t>Article 8</w:t>
      </w:r>
      <w:r>
        <w:rPr>
          <w:rFonts w:ascii="Times New Roman" w:cs="Times New Roman" w:eastAsia="Times New Roman" w:hAnsi="Times New Roman"/>
          <w:sz w:val="21"/>
          <w:szCs w:val="21"/>
          <w:color w:val="auto"/>
        </w:rPr>
        <w:t xml:space="preserve">. The Borrower’s obligations under this </w:t>
      </w:r>
      <w:r>
        <w:rPr>
          <w:rFonts w:ascii="Times New Roman" w:cs="Times New Roman" w:eastAsia="Times New Roman" w:hAnsi="Times New Roman"/>
          <w:sz w:val="21"/>
          <w:szCs w:val="21"/>
          <w:u w:val="single" w:color="auto"/>
          <w:color w:val="auto"/>
        </w:rPr>
        <w:t>Section 2.10(b)</w:t>
      </w:r>
      <w:r>
        <w:rPr>
          <w:rFonts w:ascii="Times New Roman" w:cs="Times New Roman" w:eastAsia="Times New Roman" w:hAnsi="Times New Roman"/>
          <w:sz w:val="21"/>
          <w:szCs w:val="21"/>
          <w:color w:val="auto"/>
        </w:rPr>
        <w:t xml:space="preserve"> shall survive the termination of the Aggregate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91</w:t>
      </w:r>
    </w:p>
    <w:p>
      <w:pPr>
        <w:sectPr>
          <w:pgSz w:w="11900" w:h="16838" w:orient="portrait"/>
          <w:cols w:equalWidth="0" w:num="1">
            <w:col w:w="11240"/>
          </w:cols>
          <w:pgMar w:left="320" w:top="1367" w:right="33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21"/>
          <w:szCs w:val="21"/>
          <w:color w:val="auto"/>
        </w:rPr>
        <w:t>Commitments and the repayment of all other Obligations hereunder for 90 days after such termination and repayment.</w:t>
      </w:r>
    </w:p>
    <w:p>
      <w:pPr>
        <w:spacing w:after="0" w:line="181" w:lineRule="exact"/>
        <w:rPr>
          <w:sz w:val="20"/>
          <w:szCs w:val="20"/>
          <w:color w:val="auto"/>
        </w:rPr>
      </w:pPr>
    </w:p>
    <w:p>
      <w:pPr>
        <w:ind w:left="640"/>
        <w:spacing w:after="0"/>
        <w:tabs>
          <w:tab w:leader="none" w:pos="1880" w:val="left"/>
        </w:tabs>
        <w:rPr>
          <w:sz w:val="20"/>
          <w:szCs w:val="20"/>
          <w:color w:val="auto"/>
        </w:rPr>
      </w:pPr>
      <w:r>
        <w:rPr>
          <w:rFonts w:ascii="Times New Roman" w:cs="Times New Roman" w:eastAsia="Times New Roman" w:hAnsi="Times New Roman"/>
          <w:sz w:val="21"/>
          <w:szCs w:val="21"/>
          <w:color w:val="auto"/>
        </w:rPr>
        <w:t>Section 2.11</w:t>
      </w:r>
      <w:r>
        <w:rPr>
          <w:sz w:val="20"/>
          <w:szCs w:val="20"/>
          <w:color w:val="auto"/>
        </w:rPr>
        <w:tab/>
      </w:r>
      <w:r>
        <w:rPr>
          <w:rFonts w:ascii="Times New Roman" w:cs="Times New Roman" w:eastAsia="Times New Roman" w:hAnsi="Times New Roman"/>
          <w:sz w:val="21"/>
          <w:szCs w:val="21"/>
          <w:i w:val="1"/>
          <w:iCs w:val="1"/>
          <w:color w:val="auto"/>
        </w:rPr>
        <w:t>Evidence of Debt</w:t>
      </w:r>
    </w:p>
    <w:p>
      <w:pPr>
        <w:spacing w:after="0" w:line="207" w:lineRule="exact"/>
        <w:rPr>
          <w:sz w:val="20"/>
          <w:szCs w:val="20"/>
          <w:color w:val="auto"/>
        </w:rPr>
      </w:pPr>
    </w:p>
    <w:p>
      <w:pPr>
        <w:jc w:val="both"/>
        <w:ind w:firstLine="642"/>
        <w:spacing w:after="0" w:line="256" w:lineRule="auto"/>
        <w:tabs>
          <w:tab w:leader="none" w:pos="742" w:val="left"/>
        </w:tabs>
        <w:numPr>
          <w:ilvl w:val="0"/>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FF0000"/>
          <w:strike w:val="1"/>
        </w:rPr>
        <w:t>(a)</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color w:val="000000"/>
        </w:rPr>
        <w:t>The Credit Extensions made by each Lender shall be evidenced by one or more accounts or records maintained by such</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color w:val="000000"/>
        </w:rPr>
        <w:t>Lender and by the Administrative Agent in the ordinary course of business. The accounts or records maintained by the Administrative Agent and each Lender shall be conclusive absent manifest error of the amount of the Credit Extensions made by the Lenders to the Borrower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made through the Administrative Agent, the Borrower shall execute and deliver to such Lender (through the Administrative Agent) a Note, which shall evidence such Lender’s Loans in addition to such accounts or records. Each Lender may attach schedules to its Note and endorse thereon the date, Type (if applicable), amount and maturity of its Loans and payments with respect thereto.</w:t>
      </w:r>
    </w:p>
    <w:p>
      <w:pPr>
        <w:spacing w:after="0" w:line="147" w:lineRule="exact"/>
        <w:rPr>
          <w:rFonts w:ascii="Times New Roman" w:cs="Times New Roman" w:eastAsia="Times New Roman" w:hAnsi="Times New Roman"/>
          <w:sz w:val="21"/>
          <w:szCs w:val="21"/>
          <w:color w:val="auto"/>
        </w:rPr>
      </w:pPr>
    </w:p>
    <w:p>
      <w:pPr>
        <w:jc w:val="both"/>
        <w:ind w:firstLine="1278"/>
        <w:spacing w:after="0" w:line="224" w:lineRule="auto"/>
        <w:tabs>
          <w:tab w:leader="none" w:pos="1903" w:val="left"/>
        </w:tabs>
        <w:numPr>
          <w:ilvl w:val="1"/>
          <w:numId w:val="142"/>
        </w:numPr>
        <w:rPr>
          <w:rFonts w:ascii="Times New Roman" w:cs="Times New Roman" w:eastAsia="Times New Roman" w:hAnsi="Times New Roman"/>
          <w:sz w:val="21"/>
          <w:szCs w:val="21"/>
          <w:b w:val="1"/>
          <w:bCs w:val="1"/>
          <w:u w:val="single" w:color="auto"/>
          <w:color w:val="0000FF"/>
        </w:rPr>
      </w:pPr>
      <w:r>
        <w:rPr>
          <w:rFonts w:ascii="Times New Roman" w:cs="Times New Roman" w:eastAsia="Times New Roman" w:hAnsi="Times New Roman"/>
          <w:sz w:val="21"/>
          <w:szCs w:val="21"/>
          <w:b w:val="1"/>
          <w:bCs w:val="1"/>
          <w:color w:val="FF0000"/>
          <w:strike w:val="1"/>
        </w:rPr>
        <w:t>(b)</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color w:val="000000"/>
        </w:rPr>
        <w:t>In addition to the accounts and records referred to in</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u w:val="single" w:color="auto"/>
          <w:color w:val="000000"/>
        </w:rPr>
        <w:t>Section 2.11(a)</w:t>
      </w:r>
      <w:r>
        <w:rPr>
          <w:rFonts w:ascii="Times New Roman" w:cs="Times New Roman" w:eastAsia="Times New Roman" w:hAnsi="Times New Roman"/>
          <w:sz w:val="21"/>
          <w:szCs w:val="21"/>
          <w:color w:val="000000"/>
        </w:rPr>
        <w:t>, each Revolving Credit Lender and</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color w:val="000000"/>
        </w:rPr>
        <w:t>the Administrative Agent shall maintain in accordance with its usual practice accounts or records evidencing the purchases and sales by such Revolving Credit Lender of participations in Letters of Credit. In the event of any conflict between the accounts and records maintained by the Administrative Agent and the accounts and records of any Revolving Credit Lender in respect of such matters, the accounts and records of the Administrative Agent shall control in the absence of manifest error.</w:t>
      </w:r>
    </w:p>
    <w:p>
      <w:pPr>
        <w:spacing w:after="0" w:line="147" w:lineRule="exact"/>
        <w:rPr>
          <w:sz w:val="20"/>
          <w:szCs w:val="20"/>
          <w:color w:val="auto"/>
        </w:rPr>
      </w:pPr>
    </w:p>
    <w:p>
      <w:pPr>
        <w:ind w:left="640" w:right="4660"/>
        <w:spacing w:after="0" w:line="362" w:lineRule="auto"/>
        <w:rPr>
          <w:sz w:val="20"/>
          <w:szCs w:val="20"/>
          <w:color w:val="auto"/>
        </w:rPr>
      </w:pPr>
      <w:r>
        <w:rPr>
          <w:rFonts w:ascii="Times New Roman" w:cs="Times New Roman" w:eastAsia="Times New Roman" w:hAnsi="Times New Roman"/>
          <w:sz w:val="21"/>
          <w:szCs w:val="21"/>
          <w:color w:val="auto"/>
        </w:rPr>
        <w:t xml:space="preserve">Section 2.12 </w:t>
      </w:r>
      <w:r>
        <w:rPr>
          <w:rFonts w:ascii="Times New Roman" w:cs="Times New Roman" w:eastAsia="Times New Roman" w:hAnsi="Times New Roman"/>
          <w:sz w:val="21"/>
          <w:szCs w:val="21"/>
          <w:i w:val="1"/>
          <w:iCs w:val="1"/>
          <w:color w:val="auto"/>
        </w:rPr>
        <w:t>Payments Generally; Administrative Agent’s Clawback</w:t>
      </w:r>
      <w:r>
        <w:rPr>
          <w:rFonts w:ascii="Times New Roman" w:cs="Times New Roman" w:eastAsia="Times New Roman" w:hAnsi="Times New Roman"/>
          <w:sz w:val="21"/>
          <w:szCs w:val="21"/>
          <w:color w:val="auto"/>
        </w:rPr>
        <w:t xml:space="preserve"> .</w:t>
      </w:r>
    </w:p>
    <w:p>
      <w:pPr>
        <w:spacing w:after="0" w:line="200" w:lineRule="exact"/>
        <w:rPr>
          <w:sz w:val="20"/>
          <w:szCs w:val="20"/>
          <w:color w:val="auto"/>
        </w:rPr>
      </w:pPr>
    </w:p>
    <w:p>
      <w:pPr>
        <w:spacing w:after="0" w:line="324" w:lineRule="exact"/>
        <w:rPr>
          <w:sz w:val="20"/>
          <w:szCs w:val="20"/>
          <w:color w:val="auto"/>
        </w:rPr>
      </w:pPr>
    </w:p>
    <w:p>
      <w:pPr>
        <w:jc w:val="both"/>
        <w:ind w:firstLine="1278"/>
        <w:spacing w:after="0" w:line="215" w:lineRule="auto"/>
        <w:tabs>
          <w:tab w:leader="none" w:pos="1905" w:val="left"/>
        </w:tabs>
        <w:numPr>
          <w:ilvl w:val="0"/>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General</w:t>
      </w:r>
      <w:r>
        <w:rPr>
          <w:rFonts w:ascii="Times New Roman" w:cs="Times New Roman" w:eastAsia="Times New Roman" w:hAnsi="Times New Roman"/>
          <w:sz w:val="21"/>
          <w:szCs w:val="21"/>
          <w:color w:val="auto"/>
        </w:rPr>
        <w:t>. All payments to be made by the Borrower shall be made without condition or deduction for any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counterclaim, defense, recoupment or setoff. Except as otherwise expressly provided herein and except with respect to principal and interest on Loans and L/C Obligations denominated in an Alternative Currency, all payments by the Borrower hereunder shall be made to the Administrative Agent, for the account of the respective Lenders to which such payment is owed, at the Administrative Agent’s Office in U.S. Dollars and in Same Day Funds not later than 12:00 p.m. on the date specified herein. Except as otherwise expressly provided herein, all payments by the Borrower hereunder with respect to principal and interest on Loans and L/C Obligations denominated in an Alternative Currency shall be made to the Administrative Agent, for the account of the respective Lenders to which such payment is owed, at the Administrative Agent’s Office in such Alternative Currency and in Same Day Funds not later than the Applicable Time specified by the Administrative Agent on the dates specified herein. If, for any reason, the Borrower is prohibited by any Law from making any required payment hereunder in an Alternative Currency, the Borrower shall make such payment in U.S. Dollars in an amount equal to the U.S. Dollar Equivalent of the amount due in such Alternative Currency as of the date of payment. The Administrative Agent will promptly distribute to each Lender its Applicable Percentage (or other applicable share as provided herein) of all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92</w:t>
      </w:r>
    </w:p>
    <w:p>
      <w:pPr>
        <w:sectPr>
          <w:pgSz w:w="11900" w:h="16838" w:orient="portrait"/>
          <w:cols w:equalWidth="0" w:num="1">
            <w:col w:w="11240"/>
          </w:cols>
          <w:pgMar w:left="320" w:top="1371" w:right="339" w:bottom="1440" w:gutter="0" w:footer="0" w:header="0"/>
        </w:sectPr>
      </w:pPr>
    </w:p>
    <w:bookmarkStart w:id="198" w:name="page199"/>
    <w:bookmarkEnd w:id="198"/>
    <w:p>
      <w:pPr>
        <w:jc w:val="both"/>
        <w:spacing w:after="0" w:line="219" w:lineRule="auto"/>
        <w:rPr>
          <w:sz w:val="20"/>
          <w:szCs w:val="20"/>
          <w:color w:val="auto"/>
        </w:rPr>
      </w:pPr>
      <w:r>
        <w:rPr>
          <w:rFonts w:ascii="Times New Roman" w:cs="Times New Roman" w:eastAsia="Times New Roman" w:hAnsi="Times New Roman"/>
          <w:sz w:val="21"/>
          <w:szCs w:val="21"/>
          <w:color w:val="auto"/>
        </w:rPr>
        <w:t>and prepayments of principal and interest due hereunder, together with all other amounts due thereto, including all fees payable with respect thereto, in like funds as received by wire transfer to such Lender’s Lending Office. All payments received by the Administrative Agent after 2:00 p.m., in the case of payments in U.S. Dollars, or after the Applicable Time specified by the Administrative Agent, in the case of payments in an Alternative Currency, shall in each case be deemed received on the next succeeding Business Day and any applicable interest or fee shall continue to accrue. If any payment to be made by the Borrower shall come due on a day other than a Business Day, payment shall be made on the next following Business Day, and such extension of time shall be reflected in computing interest or fees, as the case may be.</w:t>
      </w:r>
    </w:p>
    <w:p>
      <w:pPr>
        <w:spacing w:after="0" w:line="152" w:lineRule="exact"/>
        <w:rPr>
          <w:sz w:val="20"/>
          <w:szCs w:val="20"/>
          <w:color w:val="auto"/>
        </w:rPr>
      </w:pPr>
    </w:p>
    <w:p>
      <w:pPr>
        <w:jc w:val="both"/>
        <w:ind w:firstLine="1278"/>
        <w:spacing w:after="0" w:line="214" w:lineRule="auto"/>
        <w:tabs>
          <w:tab w:leader="none" w:pos="1903" w:val="left"/>
        </w:tabs>
        <w:numPr>
          <w:ilvl w:val="0"/>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Funding by Lenders</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Presumption by Administrative Agent</w:t>
      </w:r>
      <w:r>
        <w:rPr>
          <w:rFonts w:ascii="Times New Roman" w:cs="Times New Roman" w:eastAsia="Times New Roman" w:hAnsi="Times New Roman"/>
          <w:sz w:val="21"/>
          <w:szCs w:val="21"/>
          <w:color w:val="auto"/>
        </w:rPr>
        <w:t>. Unless the Administrative Agent shall have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received notice from a Lender prior to the proposed date of any Borrowing of Term SOFR Loans, Eurodollar Rate Loans or RFR Loans (or, in the case of any Borrowing of Base Rate Loans, prior to 12:00 p.m.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Times New Roman" w:cs="Times New Roman" w:eastAsia="Times New Roman" w:hAnsi="Times New Roman"/>
          <w:sz w:val="21"/>
          <w:szCs w:val="21"/>
          <w:u w:val="single" w:color="auto"/>
          <w:color w:val="auto"/>
        </w:rPr>
        <w:t>Section 2.02</w:t>
      </w:r>
      <w:r>
        <w:rPr>
          <w:rFonts w:ascii="Times New Roman" w:cs="Times New Roman" w:eastAsia="Times New Roman" w:hAnsi="Times New Roman"/>
          <w:sz w:val="21"/>
          <w:szCs w:val="21"/>
          <w:color w:val="auto"/>
        </w:rPr>
        <w:t xml:space="preserve"> (or, in the case of a Borrowing of Base Rate Loans, that such Lender has made such share available in accordance with and at the time required by </w:t>
      </w:r>
      <w:r>
        <w:rPr>
          <w:rFonts w:ascii="Times New Roman" w:cs="Times New Roman" w:eastAsia="Times New Roman" w:hAnsi="Times New Roman"/>
          <w:sz w:val="21"/>
          <w:szCs w:val="21"/>
          <w:u w:val="single" w:color="auto"/>
          <w:color w:val="auto"/>
        </w:rPr>
        <w:t>Section 2.02</w:t>
      </w:r>
      <w:r>
        <w:rPr>
          <w:rFonts w:ascii="Times New Roman" w:cs="Times New Roman" w:eastAsia="Times New Roman" w:hAnsi="Times New Roman"/>
          <w:sz w:val="21"/>
          <w:szCs w:val="21"/>
          <w:color w:val="auto"/>
        </w:rPr>
        <w:t xml:space="preserve">)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in Same Day Funds with interest thereon, for each day from and including the date such amount is made available to the Borrower to but excluding the date of payment to the Administrative Agent, at (A) in the case of a payment to be made by such Lender, the greater of the Federal Funds Effective Rate and a rate determined by the Administrative Agent in accordance with banking industry rules on interbank compensation,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any administrative, processing or similar fees customarily charged by the Administrative Agent in connection with the foregoing, and (B) in the case of a payment to be made by the Borrower, the interest rate applicable to Base Rate Loans.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w:t>
      </w:r>
    </w:p>
    <w:p>
      <w:pPr>
        <w:spacing w:after="0" w:line="148" w:lineRule="exact"/>
        <w:rPr>
          <w:rFonts w:ascii="Times New Roman" w:cs="Times New Roman" w:eastAsia="Times New Roman" w:hAnsi="Times New Roman"/>
          <w:sz w:val="21"/>
          <w:szCs w:val="21"/>
          <w:color w:val="auto"/>
        </w:rPr>
      </w:pPr>
    </w:p>
    <w:p>
      <w:pPr>
        <w:jc w:val="both"/>
        <w:ind w:firstLine="1278"/>
        <w:spacing w:after="0" w:line="218" w:lineRule="auto"/>
        <w:tabs>
          <w:tab w:leader="none" w:pos="1905" w:val="left"/>
        </w:tabs>
        <w:numPr>
          <w:ilvl w:val="0"/>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Payments by Borrower</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Presumptions by Administrative Agent</w:t>
      </w:r>
      <w:r>
        <w:rPr>
          <w:rFonts w:ascii="Times New Roman" w:cs="Times New Roman" w:eastAsia="Times New Roman" w:hAnsi="Times New Roman"/>
          <w:sz w:val="21"/>
          <w:szCs w:val="21"/>
          <w:color w:val="auto"/>
        </w:rPr>
        <w:t>. Unless the Administrative Agent shall have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received notice from the Borrower prior to the time at which any payment is due to the Administrative Agent for the account of the Lenders or the applicable L/C Issuer hereunder that the Borrower will not make such payment, the Administrative Agent may assume that the Borrower has made such payment on such date in accordance herewith and may, in reliance upon such assumption, distribute to the Appropriate Lenders the amount due. In such event, if the Borrower has not in fact made such payment, then each of the Appropriate Lenders severally agrees to repay to the Administrative Agent forthwith on demand the amount so distributed to such Appropriate Lender, in Same Day Funds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spacing w:after="0" w:line="174" w:lineRule="exact"/>
        <w:rPr>
          <w:sz w:val="20"/>
          <w:szCs w:val="20"/>
          <w:color w:val="auto"/>
        </w:rPr>
      </w:pPr>
    </w:p>
    <w:p>
      <w:pPr>
        <w:ind w:firstLine="636"/>
        <w:spacing w:after="0" w:line="285" w:lineRule="auto"/>
        <w:rPr>
          <w:sz w:val="20"/>
          <w:szCs w:val="20"/>
          <w:color w:val="auto"/>
        </w:rPr>
      </w:pPr>
      <w:r>
        <w:rPr>
          <w:rFonts w:ascii="Times New Roman" w:cs="Times New Roman" w:eastAsia="Times New Roman" w:hAnsi="Times New Roman"/>
          <w:sz w:val="21"/>
          <w:szCs w:val="21"/>
          <w:color w:val="auto"/>
        </w:rPr>
        <w:t xml:space="preserve">A notice of the Administrative Agent to any Lender, any L/C Issuer or the Borrower with respect to any amount owing under this </w:t>
      </w:r>
      <w:r>
        <w:rPr>
          <w:rFonts w:ascii="Times New Roman" w:cs="Times New Roman" w:eastAsia="Times New Roman" w:hAnsi="Times New Roman"/>
          <w:sz w:val="21"/>
          <w:szCs w:val="21"/>
          <w:u w:val="single" w:color="auto"/>
          <w:color w:val="auto"/>
        </w:rPr>
        <w:t>subsection (c)</w:t>
      </w:r>
      <w:r>
        <w:rPr>
          <w:rFonts w:ascii="Times New Roman" w:cs="Times New Roman" w:eastAsia="Times New Roman" w:hAnsi="Times New Roman"/>
          <w:sz w:val="21"/>
          <w:szCs w:val="21"/>
          <w:color w:val="auto"/>
        </w:rPr>
        <w:t xml:space="preserve"> shall be conclusive, absent manifest error.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93</w:t>
      </w:r>
    </w:p>
    <w:p>
      <w:pPr>
        <w:sectPr>
          <w:pgSz w:w="11900" w:h="16838" w:orient="portrait"/>
          <w:cols w:equalWidth="0" w:num="1">
            <w:col w:w="11240"/>
          </w:cols>
          <w:pgMar w:left="320" w:top="1371" w:right="339" w:bottom="1440" w:gutter="0" w:footer="0" w:header="0"/>
        </w:sectPr>
      </w:pPr>
    </w:p>
    <w:bookmarkStart w:id="199" w:name="page200"/>
    <w:bookmarkEnd w:id="199"/>
    <w:p>
      <w:pPr>
        <w:jc w:val="both"/>
        <w:ind w:firstLine="1278"/>
        <w:spacing w:after="0" w:line="223" w:lineRule="auto"/>
        <w:tabs>
          <w:tab w:leader="none" w:pos="1903" w:val="left"/>
        </w:tabs>
        <w:numPr>
          <w:ilvl w:val="0"/>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Failure to Satisfy Conditions Precedent</w:t>
      </w:r>
      <w:r>
        <w:rPr>
          <w:rFonts w:ascii="Times New Roman" w:cs="Times New Roman" w:eastAsia="Times New Roman" w:hAnsi="Times New Roman"/>
          <w:sz w:val="21"/>
          <w:szCs w:val="21"/>
          <w:color w:val="auto"/>
        </w:rPr>
        <w:t>. If any Lender makes available to the Administrative Agent funds for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any Loan to be made by such Lender as provided in this </w:t>
      </w:r>
      <w:r>
        <w:rPr>
          <w:rFonts w:ascii="Times New Roman" w:cs="Times New Roman" w:eastAsia="Times New Roman" w:hAnsi="Times New Roman"/>
          <w:sz w:val="21"/>
          <w:szCs w:val="21"/>
          <w:u w:val="single" w:color="auto"/>
          <w:color w:val="auto"/>
        </w:rPr>
        <w:t>Article 2</w:t>
      </w:r>
      <w:r>
        <w:rPr>
          <w:rFonts w:ascii="Times New Roman" w:cs="Times New Roman" w:eastAsia="Times New Roman" w:hAnsi="Times New Roman"/>
          <w:sz w:val="21"/>
          <w:szCs w:val="21"/>
          <w:color w:val="auto"/>
        </w:rPr>
        <w:t xml:space="preserve">, and such funds are not made available to the Borrower by the Administrative Agent because the conditions to the applicable Credit Extension set forth in </w:t>
      </w:r>
      <w:r>
        <w:rPr>
          <w:rFonts w:ascii="Times New Roman" w:cs="Times New Roman" w:eastAsia="Times New Roman" w:hAnsi="Times New Roman"/>
          <w:sz w:val="21"/>
          <w:szCs w:val="21"/>
          <w:u w:val="single" w:color="auto"/>
          <w:color w:val="auto"/>
        </w:rPr>
        <w:t>Article 4</w:t>
      </w:r>
      <w:r>
        <w:rPr>
          <w:rFonts w:ascii="Times New Roman" w:cs="Times New Roman" w:eastAsia="Times New Roman" w:hAnsi="Times New Roman"/>
          <w:sz w:val="21"/>
          <w:szCs w:val="21"/>
          <w:color w:val="auto"/>
        </w:rPr>
        <w:t xml:space="preserve"> or in the applicable Joinder Agreement or Refinancing Amendment are not satisfied or waived in accordance with the terms hereof, the Administrative Agent shall promptly return such funds (in like funds as received from such Lender) to such Lender, without interest.</w:t>
      </w:r>
    </w:p>
    <w:p>
      <w:pPr>
        <w:spacing w:after="0" w:line="150" w:lineRule="exact"/>
        <w:rPr>
          <w:rFonts w:ascii="Times New Roman" w:cs="Times New Roman" w:eastAsia="Times New Roman" w:hAnsi="Times New Roman"/>
          <w:sz w:val="21"/>
          <w:szCs w:val="21"/>
          <w:color w:val="auto"/>
        </w:rPr>
      </w:pPr>
    </w:p>
    <w:p>
      <w:pPr>
        <w:jc w:val="both"/>
        <w:ind w:firstLine="1278"/>
        <w:spacing w:after="0" w:line="221" w:lineRule="auto"/>
        <w:tabs>
          <w:tab w:leader="none" w:pos="1905" w:val="left"/>
        </w:tabs>
        <w:numPr>
          <w:ilvl w:val="0"/>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Obligations of Lenders Several</w:t>
      </w:r>
      <w:r>
        <w:rPr>
          <w:rFonts w:ascii="Times New Roman" w:cs="Times New Roman" w:eastAsia="Times New Roman" w:hAnsi="Times New Roman"/>
          <w:sz w:val="21"/>
          <w:szCs w:val="21"/>
          <w:color w:val="auto"/>
        </w:rPr>
        <w:t>. The obligations of the Lenders hereunder to make Term Loans and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Revolving Credit Loans, to fund participations in Letters of Credit and to make payments pursuant to </w:t>
      </w:r>
      <w:r>
        <w:rPr>
          <w:rFonts w:ascii="Times New Roman" w:cs="Times New Roman" w:eastAsia="Times New Roman" w:hAnsi="Times New Roman"/>
          <w:sz w:val="21"/>
          <w:szCs w:val="21"/>
          <w:u w:val="single" w:color="auto"/>
          <w:color w:val="auto"/>
        </w:rPr>
        <w:t>Section 10.04(c)</w:t>
      </w:r>
      <w:r>
        <w:rPr>
          <w:rFonts w:ascii="Times New Roman" w:cs="Times New Roman" w:eastAsia="Times New Roman" w:hAnsi="Times New Roman"/>
          <w:sz w:val="21"/>
          <w:szCs w:val="21"/>
          <w:color w:val="auto"/>
        </w:rPr>
        <w:t xml:space="preserve"> are several and not joint. The failure of any Lender to make any Loan, to fund any such participation or to make any payment under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10.04(c)</w:t>
      </w:r>
      <w:r>
        <w:rPr>
          <w:rFonts w:ascii="Times New Roman" w:cs="Times New Roman" w:eastAsia="Times New Roman" w:hAnsi="Times New Roman"/>
          <w:sz w:val="21"/>
          <w:szCs w:val="21"/>
          <w:color w:val="auto"/>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Times New Roman" w:cs="Times New Roman" w:eastAsia="Times New Roman" w:hAnsi="Times New Roman"/>
          <w:sz w:val="21"/>
          <w:szCs w:val="21"/>
          <w:u w:val="single" w:color="auto"/>
          <w:color w:val="auto"/>
        </w:rPr>
        <w:t>Section 10.04(c)</w:t>
      </w:r>
      <w:r>
        <w:rPr>
          <w:rFonts w:ascii="Times New Roman" w:cs="Times New Roman" w:eastAsia="Times New Roman" w:hAnsi="Times New Roman"/>
          <w:sz w:val="21"/>
          <w:szCs w:val="21"/>
          <w:color w:val="auto"/>
        </w:rPr>
        <w:t>.</w:t>
      </w:r>
    </w:p>
    <w:p>
      <w:pPr>
        <w:spacing w:after="0" w:line="149" w:lineRule="exact"/>
        <w:rPr>
          <w:rFonts w:ascii="Times New Roman" w:cs="Times New Roman" w:eastAsia="Times New Roman" w:hAnsi="Times New Roman"/>
          <w:sz w:val="21"/>
          <w:szCs w:val="21"/>
          <w:color w:val="auto"/>
        </w:rPr>
      </w:pPr>
    </w:p>
    <w:p>
      <w:pPr>
        <w:jc w:val="both"/>
        <w:ind w:firstLine="1278"/>
        <w:spacing w:after="0" w:line="232" w:lineRule="auto"/>
        <w:tabs>
          <w:tab w:leader="none" w:pos="1908" w:val="left"/>
        </w:tabs>
        <w:numPr>
          <w:ilvl w:val="0"/>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Funding Source</w:t>
      </w:r>
      <w:r>
        <w:rPr>
          <w:rFonts w:ascii="Times New Roman" w:cs="Times New Roman" w:eastAsia="Times New Roman" w:hAnsi="Times New Roman"/>
          <w:sz w:val="21"/>
          <w:szCs w:val="21"/>
          <w:color w:val="auto"/>
        </w:rPr>
        <w:t>. Nothing herein shall be deemed to obligate any Lender to obtain the funds for any Loan in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any particular place or manner or to constitute a representation by any Lender that it has obtained or will obtain the funds for any Loan in any particular place or manner.</w:t>
      </w:r>
    </w:p>
    <w:p>
      <w:pPr>
        <w:spacing w:after="0" w:line="147" w:lineRule="exact"/>
        <w:rPr>
          <w:rFonts w:ascii="Times New Roman" w:cs="Times New Roman" w:eastAsia="Times New Roman" w:hAnsi="Times New Roman"/>
          <w:sz w:val="21"/>
          <w:szCs w:val="21"/>
          <w:color w:val="auto"/>
        </w:rPr>
      </w:pPr>
    </w:p>
    <w:p>
      <w:pPr>
        <w:jc w:val="both"/>
        <w:ind w:firstLine="1278"/>
        <w:spacing w:after="0" w:line="223" w:lineRule="auto"/>
        <w:tabs>
          <w:tab w:leader="none" w:pos="1903" w:val="left"/>
        </w:tabs>
        <w:numPr>
          <w:ilvl w:val="0"/>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Insufficient Funds</w:t>
      </w:r>
      <w:r>
        <w:rPr>
          <w:rFonts w:ascii="Times New Roman" w:cs="Times New Roman" w:eastAsia="Times New Roman" w:hAnsi="Times New Roman"/>
          <w:sz w:val="21"/>
          <w:szCs w:val="21"/>
          <w:color w:val="auto"/>
        </w:rPr>
        <w:t>. If at any time insufficient funds are received by and available to the Administrative Agent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to pay fully all amounts of principal, L/C Borrowings, interest and fees then due hereunder, such funds shall be applied (i) </w:t>
      </w:r>
      <w:r>
        <w:rPr>
          <w:rFonts w:ascii="Times New Roman" w:cs="Times New Roman" w:eastAsia="Times New Roman" w:hAnsi="Times New Roman"/>
          <w:sz w:val="21"/>
          <w:szCs w:val="21"/>
          <w:i w:val="1"/>
          <w:iCs w:val="1"/>
          <w:color w:val="auto"/>
        </w:rPr>
        <w:t>first</w:t>
      </w:r>
      <w:r>
        <w:rPr>
          <w:rFonts w:ascii="Times New Roman" w:cs="Times New Roman" w:eastAsia="Times New Roman" w:hAnsi="Times New Roman"/>
          <w:sz w:val="21"/>
          <w:szCs w:val="21"/>
          <w:color w:val="auto"/>
        </w:rPr>
        <w:t xml:space="preserve">, toward payment of interest and fees then due hereunder, ratably among the parties entitled thereto in accordance with the amounts of interest and fees then due to such parties, and (ii) </w:t>
      </w:r>
      <w:r>
        <w:rPr>
          <w:rFonts w:ascii="Times New Roman" w:cs="Times New Roman" w:eastAsia="Times New Roman" w:hAnsi="Times New Roman"/>
          <w:sz w:val="21"/>
          <w:szCs w:val="21"/>
          <w:i w:val="1"/>
          <w:iCs w:val="1"/>
          <w:color w:val="auto"/>
        </w:rPr>
        <w:t>second</w:t>
      </w:r>
      <w:r>
        <w:rPr>
          <w:rFonts w:ascii="Times New Roman" w:cs="Times New Roman" w:eastAsia="Times New Roman" w:hAnsi="Times New Roman"/>
          <w:sz w:val="21"/>
          <w:szCs w:val="21"/>
          <w:color w:val="auto"/>
        </w:rPr>
        <w:t>, toward payment of principal and L/C Borrowings then due hereunder, ratably among the parties entitled thereto in accordance with the amounts of principal and L/C Borrowings then due to such parties.</w:t>
      </w:r>
    </w:p>
    <w:p>
      <w:pPr>
        <w:spacing w:after="0" w:line="150"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2.13</w:t>
      </w:r>
      <w:r>
        <w:rPr>
          <w:sz w:val="20"/>
          <w:szCs w:val="20"/>
          <w:color w:val="auto"/>
        </w:rPr>
        <w:tab/>
      </w:r>
      <w:r>
        <w:rPr>
          <w:rFonts w:ascii="Times New Roman" w:cs="Times New Roman" w:eastAsia="Times New Roman" w:hAnsi="Times New Roman"/>
          <w:sz w:val="21"/>
          <w:szCs w:val="21"/>
          <w:i w:val="1"/>
          <w:iCs w:val="1"/>
          <w:color w:val="auto"/>
        </w:rPr>
        <w:t>Sharing of Payments by Lenders</w:t>
      </w:r>
    </w:p>
    <w:p>
      <w:pPr>
        <w:spacing w:after="0" w:line="211" w:lineRule="exact"/>
        <w:rPr>
          <w:sz w:val="20"/>
          <w:szCs w:val="20"/>
          <w:color w:val="auto"/>
        </w:rPr>
      </w:pPr>
    </w:p>
    <w:p>
      <w:pPr>
        <w:jc w:val="both"/>
        <w:ind w:firstLine="642"/>
        <w:spacing w:after="0" w:line="254" w:lineRule="auto"/>
        <w:tabs>
          <w:tab w:leader="none" w:pos="768" w:val="left"/>
        </w:tabs>
        <w:numPr>
          <w:ilvl w:val="0"/>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Lender shall, by exercising any right of setoff or counterclaim or otherwise, obtain payment in respect of (a) Obligations in respect of any of the Facilities due and payable to such Lender hereunder and under the other Loan Documents at such time in excess of its ratable share (according to the proportion of (i) the amount of such Obligations due and payable to such Lender at such time to (ii) the aggregate amount of the Obligations in respect of the Facilities due and payable to all Lenders hereunder and under the other Loan Documents at such time) of payments on account of the Obligations in respect of the Facilities due and payable to all Lenders hereunder and under the other Loan Documents at such time obtained by all the Lenders at such time or (b) Obligations in respect of any of the Facilities owing (but not due and payable) to such Lender hereunder and under the other Loan Documents at such time in excess of its ratable share (according to the proportion of (i) the amount of such Obligations owing (but not due and payable) to such Lender at such time to (ii) the aggregate amount of the Obligations in respect of the Facilities owing (but not due and payable) to all Lenders hereunder and under the other Loan Documents at such time) of payment on account of the Obligations in respect of the Facilities owing (but not due and payable) to all Lenders hereunder and under the other Loan Documents at such time obtained by all of the Lenders at such time, then the Lender receiving such greater proportion shall (a) notify the Administrative Agent of such fact, and (b) purchase (for cash at face value) participations in the Loans and subparticipations in L/C Obligations of the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94</w:t>
      </w:r>
    </w:p>
    <w:p>
      <w:pPr>
        <w:sectPr>
          <w:pgSz w:w="11900" w:h="16838" w:orient="portrait"/>
          <w:cols w:equalWidth="0" w:num="1">
            <w:col w:w="11240"/>
          </w:cols>
          <w:pgMar w:left="320" w:top="1369" w:right="339" w:bottom="1440" w:gutter="0" w:footer="0" w:header="0"/>
        </w:sectPr>
      </w:pPr>
    </w:p>
    <w:bookmarkStart w:id="200" w:name="page201"/>
    <w:bookmarkEnd w:id="200"/>
    <w:p>
      <w:pPr>
        <w:jc w:val="both"/>
        <w:spacing w:after="0" w:line="267" w:lineRule="auto"/>
        <w:rPr>
          <w:sz w:val="20"/>
          <w:szCs w:val="20"/>
          <w:color w:val="auto"/>
        </w:rPr>
      </w:pPr>
      <w:r>
        <w:rPr>
          <w:rFonts w:ascii="Times New Roman" w:cs="Times New Roman" w:eastAsia="Times New Roman" w:hAnsi="Times New Roman"/>
          <w:sz w:val="21"/>
          <w:szCs w:val="21"/>
          <w:color w:val="auto"/>
        </w:rPr>
        <w:t xml:space="preserve">Lenders, or make such other adjustments as shall be equitable, so that the benefit of all such payments shall be shared by the Lenders ratably in accordance with the aggregate amount of Obligations in respect of the Facilities then due and payable to the Lenders or owing (but not due and payable) to the Lenders, as the case may be,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w:t>
      </w:r>
    </w:p>
    <w:p>
      <w:pPr>
        <w:spacing w:after="0" w:line="148" w:lineRule="exact"/>
        <w:rPr>
          <w:sz w:val="20"/>
          <w:szCs w:val="20"/>
          <w:color w:val="auto"/>
        </w:rPr>
      </w:pPr>
    </w:p>
    <w:p>
      <w:pPr>
        <w:jc w:val="both"/>
        <w:ind w:left="640" w:firstLine="1274"/>
        <w:spacing w:after="0" w:line="232" w:lineRule="auto"/>
        <w:tabs>
          <w:tab w:leader="none" w:pos="2536" w:val="left"/>
        </w:tabs>
        <w:numPr>
          <w:ilvl w:val="1"/>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147" w:lineRule="exact"/>
        <w:rPr>
          <w:rFonts w:ascii="Times New Roman" w:cs="Times New Roman" w:eastAsia="Times New Roman" w:hAnsi="Times New Roman"/>
          <w:sz w:val="21"/>
          <w:szCs w:val="21"/>
          <w:color w:val="auto"/>
        </w:rPr>
      </w:pPr>
    </w:p>
    <w:p>
      <w:pPr>
        <w:jc w:val="both"/>
        <w:ind w:left="640" w:firstLine="1274"/>
        <w:spacing w:after="0" w:line="218" w:lineRule="auto"/>
        <w:tabs>
          <w:tab w:leader="none" w:pos="2542" w:val="left"/>
        </w:tabs>
        <w:numPr>
          <w:ilvl w:val="1"/>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provisions of this Section shall not be construed to apply to (A) any payment made by or on behalf of the Borrower pursuant to and in accordance with the express terms of this Agreement (including the application of funds arising from the existence of a Defaulting Lender), (B) the application of Cash Collateral provided for in </w:t>
      </w:r>
      <w:r>
        <w:rPr>
          <w:rFonts w:ascii="Times New Roman" w:cs="Times New Roman" w:eastAsia="Times New Roman" w:hAnsi="Times New Roman"/>
          <w:sz w:val="21"/>
          <w:szCs w:val="21"/>
          <w:u w:val="single" w:color="auto"/>
          <w:color w:val="auto"/>
        </w:rPr>
        <w:t>Section 2.15</w:t>
      </w:r>
      <w:r>
        <w:rPr>
          <w:rFonts w:ascii="Times New Roman" w:cs="Times New Roman" w:eastAsia="Times New Roman" w:hAnsi="Times New Roman"/>
          <w:sz w:val="21"/>
          <w:szCs w:val="21"/>
          <w:color w:val="auto"/>
        </w:rPr>
        <w:t>, or</w:t>
      </w:r>
    </w:p>
    <w:p>
      <w:pPr>
        <w:spacing w:after="0" w:line="1" w:lineRule="exact"/>
        <w:rPr>
          <w:rFonts w:ascii="Times New Roman" w:cs="Times New Roman" w:eastAsia="Times New Roman" w:hAnsi="Times New Roman"/>
          <w:sz w:val="21"/>
          <w:szCs w:val="21"/>
          <w:color w:val="auto"/>
        </w:rPr>
      </w:pPr>
    </w:p>
    <w:p>
      <w:pPr>
        <w:jc w:val="both"/>
        <w:ind w:left="640" w:firstLine="2"/>
        <w:spacing w:after="0" w:line="220" w:lineRule="auto"/>
        <w:tabs>
          <w:tab w:leader="none" w:pos="979" w:val="left"/>
        </w:tabs>
        <w:numPr>
          <w:ilvl w:val="0"/>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payment obtained by a Lender as consideration for the assignment of or sale of a participation in any of its Loans or subparticipations in L/C Obligations to any assignee or participant, other than to the Borrower or any Restricted Subsidiary or Affiliate thereof (as to which the provisions of this Section shall apply unless such purchase is made by the Borrower pursuant to </w:t>
      </w:r>
      <w:r>
        <w:rPr>
          <w:rFonts w:ascii="Times New Roman" w:cs="Times New Roman" w:eastAsia="Times New Roman" w:hAnsi="Times New Roman"/>
          <w:sz w:val="21"/>
          <w:szCs w:val="21"/>
          <w:u w:val="single" w:color="auto"/>
          <w:color w:val="auto"/>
        </w:rPr>
        <w:t>Section 10.06(b)(vii)</w:t>
      </w:r>
      <w:r>
        <w:rPr>
          <w:rFonts w:ascii="Times New Roman" w:cs="Times New Roman" w:eastAsia="Times New Roman" w:hAnsi="Times New Roman"/>
          <w:sz w:val="21"/>
          <w:szCs w:val="21"/>
          <w:color w:val="auto"/>
        </w:rPr>
        <w:t>).</w:t>
      </w:r>
    </w:p>
    <w:p>
      <w:pPr>
        <w:spacing w:after="0" w:line="177"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21"/>
          <w:szCs w:val="21"/>
          <w:color w:val="auto"/>
        </w:rPr>
        <w:t>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40"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2.14</w:t>
      </w:r>
      <w:r>
        <w:rPr>
          <w:sz w:val="20"/>
          <w:szCs w:val="20"/>
          <w:color w:val="auto"/>
        </w:rPr>
        <w:tab/>
      </w:r>
      <w:r>
        <w:rPr>
          <w:rFonts w:ascii="Times New Roman" w:cs="Times New Roman" w:eastAsia="Times New Roman" w:hAnsi="Times New Roman"/>
          <w:sz w:val="20"/>
          <w:szCs w:val="20"/>
          <w:i w:val="1"/>
          <w:iCs w:val="1"/>
          <w:color w:val="auto"/>
        </w:rPr>
        <w:t>Incremental Facilities</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p>
    <w:p>
      <w:pPr>
        <w:spacing w:after="0" w:line="209" w:lineRule="exact"/>
        <w:rPr>
          <w:sz w:val="20"/>
          <w:szCs w:val="20"/>
          <w:color w:val="auto"/>
        </w:rPr>
      </w:pPr>
    </w:p>
    <w:p>
      <w:pPr>
        <w:jc w:val="both"/>
        <w:ind w:firstLine="1278"/>
        <w:spacing w:after="0" w:line="223" w:lineRule="auto"/>
        <w:tabs>
          <w:tab w:leader="none" w:pos="1905"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may by written notice to the Administrative Agent elect to increase the existing Revolving Credit Commitments of any Class (any such increase, the “</w:t>
      </w:r>
      <w:r>
        <w:rPr>
          <w:rFonts w:ascii="Times New Roman" w:cs="Times New Roman" w:eastAsia="Times New Roman" w:hAnsi="Times New Roman"/>
          <w:sz w:val="21"/>
          <w:szCs w:val="21"/>
          <w:b w:val="1"/>
          <w:bCs w:val="1"/>
          <w:color w:val="auto"/>
        </w:rPr>
        <w:t>Incremental Revolving Credit Commitments</w:t>
      </w:r>
      <w:r>
        <w:rPr>
          <w:rFonts w:ascii="Times New Roman" w:cs="Times New Roman" w:eastAsia="Times New Roman" w:hAnsi="Times New Roman"/>
          <w:sz w:val="21"/>
          <w:szCs w:val="21"/>
          <w:color w:val="auto"/>
        </w:rPr>
        <w:t>”) and/or incur one or more new term loan commitments and/or increase the commitments of any Class of Term Loans (the “</w:t>
      </w:r>
      <w:r>
        <w:rPr>
          <w:rFonts w:ascii="Times New Roman" w:cs="Times New Roman" w:eastAsia="Times New Roman" w:hAnsi="Times New Roman"/>
          <w:sz w:val="21"/>
          <w:szCs w:val="21"/>
          <w:b w:val="1"/>
          <w:bCs w:val="1"/>
          <w:color w:val="auto"/>
        </w:rPr>
        <w:t>Incremental Term Loan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Commitments</w:t>
      </w:r>
      <w:r>
        <w:rPr>
          <w:rFonts w:ascii="Times New Roman" w:cs="Times New Roman" w:eastAsia="Times New Roman" w:hAnsi="Times New Roman"/>
          <w:sz w:val="21"/>
          <w:szCs w:val="21"/>
          <w:color w:val="auto"/>
        </w:rPr>
        <w:t>”) by an amount (1) not to exceed in the aggregate, at the time of incurrence, the Incremental Available Amount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referred to in </w:t>
      </w:r>
      <w:r>
        <w:rPr>
          <w:rFonts w:ascii="Times New Roman" w:cs="Times New Roman" w:eastAsia="Times New Roman" w:hAnsi="Times New Roman"/>
          <w:sz w:val="21"/>
          <w:szCs w:val="21"/>
          <w:u w:val="single" w:color="auto"/>
          <w:color w:val="auto"/>
        </w:rPr>
        <w:t>clauses (a)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(c)(i)</w:t>
      </w:r>
      <w:r>
        <w:rPr>
          <w:rFonts w:ascii="Times New Roman" w:cs="Times New Roman" w:eastAsia="Times New Roman" w:hAnsi="Times New Roman"/>
          <w:sz w:val="21"/>
          <w:szCs w:val="21"/>
          <w:color w:val="auto"/>
        </w:rPr>
        <w:t xml:space="preserve"> of the definition thereof and (2) not less than, individually, $25,000,000.</w:t>
      </w:r>
    </w:p>
    <w:p>
      <w:pPr>
        <w:spacing w:after="0" w:line="146" w:lineRule="exact"/>
        <w:rPr>
          <w:rFonts w:ascii="Times New Roman" w:cs="Times New Roman" w:eastAsia="Times New Roman" w:hAnsi="Times New Roman"/>
          <w:sz w:val="21"/>
          <w:szCs w:val="21"/>
          <w:color w:val="auto"/>
        </w:rPr>
      </w:pPr>
    </w:p>
    <w:p>
      <w:pPr>
        <w:jc w:val="both"/>
        <w:ind w:firstLine="1278"/>
        <w:spacing w:after="0" w:line="216" w:lineRule="auto"/>
        <w:tabs>
          <w:tab w:leader="none" w:pos="1903"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such notice shall specify (i) the date (each, an “</w:t>
      </w:r>
      <w:r>
        <w:rPr>
          <w:rFonts w:ascii="Times New Roman" w:cs="Times New Roman" w:eastAsia="Times New Roman" w:hAnsi="Times New Roman"/>
          <w:sz w:val="21"/>
          <w:szCs w:val="21"/>
          <w:b w:val="1"/>
          <w:bCs w:val="1"/>
          <w:color w:val="auto"/>
        </w:rPr>
        <w:t>Increased Amount Date</w:t>
      </w:r>
      <w:r>
        <w:rPr>
          <w:rFonts w:ascii="Times New Roman" w:cs="Times New Roman" w:eastAsia="Times New Roman" w:hAnsi="Times New Roman"/>
          <w:sz w:val="21"/>
          <w:szCs w:val="21"/>
          <w:color w:val="auto"/>
        </w:rPr>
        <w:t>”) on which the Borrower proposes that the Incremental Revolving Credit Commitments or Incremental Term Loan Commitments, as applicable, shall be effective, which shall be a date not less than 10 Business Days after the date on which such notice is delivered to the Administrative Agent (or such shorter period of time as may be agreed to by the Administrative Agent in its sole discretion); and (ii) the identity of each Lender or other Person, which must be an Eligible Assignee (each, an “</w:t>
      </w:r>
      <w:r>
        <w:rPr>
          <w:rFonts w:ascii="Times New Roman" w:cs="Times New Roman" w:eastAsia="Times New Roman" w:hAnsi="Times New Roman"/>
          <w:sz w:val="21"/>
          <w:szCs w:val="21"/>
          <w:b w:val="1"/>
          <w:bCs w:val="1"/>
          <w:color w:val="auto"/>
        </w:rPr>
        <w:t>Incremental Revolving Loan Lender</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color w:val="auto"/>
        </w:rPr>
        <w:t>Incremental Term Loan Lender</w:t>
      </w:r>
      <w:r>
        <w:rPr>
          <w:rFonts w:ascii="Times New Roman" w:cs="Times New Roman" w:eastAsia="Times New Roman" w:hAnsi="Times New Roman"/>
          <w:sz w:val="21"/>
          <w:szCs w:val="21"/>
          <w:color w:val="auto"/>
        </w:rPr>
        <w:t>,” as applicable) to whom the Borrower proposes any portion of such Incremental Revolving Credit Commitments or Incremental Term Loan Commitments, as applicable, be allocated and the amounts of such allocations. Any Lender approached to provide all or a portion of the Incremental Revolving Credit Commitments or Incremental Term Loan Commitments, as applicable, may elect or decline, in its sole discretion, to provide an Incremental Revolving Credit Commitment or Incremental Term Loan Commitment. Any Incremental Term Loan Commitments effected through the establishment of one or more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95</w:t>
      </w:r>
    </w:p>
    <w:p>
      <w:pPr>
        <w:sectPr>
          <w:pgSz w:w="11900" w:h="16838" w:orient="portrait"/>
          <w:cols w:equalWidth="0" w:num="1">
            <w:col w:w="11240"/>
          </w:cols>
          <w:pgMar w:left="320" w:top="1398" w:right="339" w:bottom="1440" w:gutter="0" w:footer="0" w:header="0"/>
        </w:sectPr>
      </w:pPr>
    </w:p>
    <w:bookmarkStart w:id="201" w:name="page202"/>
    <w:bookmarkEnd w:id="201"/>
    <w:p>
      <w:pPr>
        <w:jc w:val="both"/>
        <w:spacing w:after="0" w:line="223" w:lineRule="auto"/>
        <w:rPr>
          <w:sz w:val="20"/>
          <w:szCs w:val="20"/>
          <w:color w:val="auto"/>
        </w:rPr>
      </w:pPr>
      <w:r>
        <w:rPr>
          <w:rFonts w:ascii="Times New Roman" w:cs="Times New Roman" w:eastAsia="Times New Roman" w:hAnsi="Times New Roman"/>
          <w:sz w:val="21"/>
          <w:szCs w:val="21"/>
          <w:color w:val="auto"/>
        </w:rPr>
        <w:t>loan commitments made on an Increased Amount Date that are not fungible for United States federal income tax purposes with an existing Class of Term Loans shall be designated a separate Class of Incremental Term Loan Commitments for all purposes of this Agreement. Notwithstanding the foregoing, any Incremental Term Loans may be treated as part of the same Class as any other Incremental Term Loans if such Incremental Term Loans have identical terms (other than effective yield) and are fungible for United States federal income tax purposes with such other Incremental Term Loans.</w:t>
      </w:r>
    </w:p>
    <w:p>
      <w:pPr>
        <w:spacing w:after="0" w:line="150" w:lineRule="exact"/>
        <w:rPr>
          <w:sz w:val="20"/>
          <w:szCs w:val="20"/>
          <w:color w:val="auto"/>
        </w:rPr>
      </w:pPr>
    </w:p>
    <w:p>
      <w:pPr>
        <w:jc w:val="both"/>
        <w:ind w:firstLine="1278"/>
        <w:spacing w:after="0" w:line="223" w:lineRule="auto"/>
        <w:tabs>
          <w:tab w:leader="none" w:pos="1905" w:val="left"/>
        </w:tabs>
        <w:numPr>
          <w:ilvl w:val="0"/>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shall notify the Lenders promptly upon receipt of the Borrower’s notice of each Increased Amount Date and in respect thereof (i) the Incremental Revolving Credit Commitments and the Incremental Revolving Loan Lenders or Incremental Term Loan Commitments and the Incremental Term Loan Lenders, as applicable and (ii) in the case of each notice to any applicable Revolving Credit Lender of any such given Class, the respective interests in such Revolving Credit Lender’s Revolving Credit Loans of such Class, in each case subject to the assignments contemplated by this Section.</w:t>
      </w:r>
    </w:p>
    <w:p>
      <w:pPr>
        <w:spacing w:after="0" w:line="150" w:lineRule="exact"/>
        <w:rPr>
          <w:rFonts w:ascii="Times New Roman" w:cs="Times New Roman" w:eastAsia="Times New Roman" w:hAnsi="Times New Roman"/>
          <w:sz w:val="21"/>
          <w:szCs w:val="21"/>
          <w:color w:val="auto"/>
        </w:rPr>
      </w:pPr>
    </w:p>
    <w:p>
      <w:pPr>
        <w:ind w:firstLine="1278"/>
        <w:spacing w:after="0" w:line="245" w:lineRule="auto"/>
        <w:tabs>
          <w:tab w:leader="none" w:pos="1903" w:val="left"/>
        </w:tabs>
        <w:numPr>
          <w:ilvl w:val="0"/>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Such Incremental Revolving Credit Commitments or Incremental Term Loan Commitments shall become effective as of such Increased Amount Date;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w:t>
      </w:r>
    </w:p>
    <w:p>
      <w:pPr>
        <w:spacing w:after="0" w:line="142" w:lineRule="exact"/>
        <w:rPr>
          <w:rFonts w:ascii="Times New Roman" w:cs="Times New Roman" w:eastAsia="Times New Roman" w:hAnsi="Times New Roman"/>
          <w:sz w:val="21"/>
          <w:szCs w:val="21"/>
          <w:color w:val="auto"/>
        </w:rPr>
      </w:pPr>
    </w:p>
    <w:p>
      <w:pPr>
        <w:jc w:val="both"/>
        <w:ind w:left="640" w:firstLine="1274"/>
        <w:spacing w:after="0" w:line="215" w:lineRule="auto"/>
        <w:tabs>
          <w:tab w:leader="none" w:pos="2536" w:val="left"/>
        </w:tabs>
        <w:numPr>
          <w:ilvl w:val="1"/>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(x) subject, solely in the case of Incremental Term Loans, to </w:t>
      </w:r>
      <w:r>
        <w:rPr>
          <w:rFonts w:ascii="Times New Roman" w:cs="Times New Roman" w:eastAsia="Times New Roman" w:hAnsi="Times New Roman"/>
          <w:sz w:val="21"/>
          <w:szCs w:val="21"/>
          <w:u w:val="single" w:color="auto"/>
          <w:color w:val="auto"/>
        </w:rPr>
        <w:t>Section 1.09(c)</w:t>
      </w:r>
      <w:r>
        <w:rPr>
          <w:rFonts w:ascii="Times New Roman" w:cs="Times New Roman" w:eastAsia="Times New Roman" w:hAnsi="Times New Roman"/>
          <w:sz w:val="21"/>
          <w:szCs w:val="21"/>
          <w:color w:val="auto"/>
        </w:rPr>
        <w:t xml:space="preserve">, no Event of Default shall exist on such Increased Amount Date before or after giving effect to such Incremental Revolving Credit Commitments or Incremental Term Loan Commitments, as applicable and the extensions of credit to be made thereunder on such date; </w:t>
      </w: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21"/>
          <w:szCs w:val="21"/>
          <w:color w:val="auto"/>
        </w:rPr>
        <w:t>that this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u w:val="single" w:color="auto"/>
          <w:color w:val="auto"/>
        </w:rPr>
        <w:t>clause (i)(x)</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may be waived or limited as agreed in the Joinder Agreement between the Borrower and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applicable Incremental Term Loan Lenders; and (y) the representations and warranties of the Borrower and each other Loan Party contained in </w:t>
      </w:r>
      <w:r>
        <w:rPr>
          <w:rFonts w:ascii="Times New Roman" w:cs="Times New Roman" w:eastAsia="Times New Roman" w:hAnsi="Times New Roman"/>
          <w:sz w:val="21"/>
          <w:szCs w:val="21"/>
          <w:u w:val="single" w:color="auto"/>
          <w:color w:val="auto"/>
        </w:rPr>
        <w:t>Article 5</w:t>
      </w:r>
      <w:r>
        <w:rPr>
          <w:rFonts w:ascii="Times New Roman" w:cs="Times New Roman" w:eastAsia="Times New Roman" w:hAnsi="Times New Roman"/>
          <w:sz w:val="21"/>
          <w:szCs w:val="21"/>
          <w:color w:val="auto"/>
        </w:rPr>
        <w:t xml:space="preserve"> hereof shall be true and correct in all material respects (except that any representation and warranty that is qualified as to “materiality,” “Material Adverse Effect” or similar language shall be true and correct (after giving effect to any qualification therein) on and as of such date, except in each case to the extent that such representations and warranties specifically refer to an earlier date, in which case they shall be true and correct in all material respects as of such earlier date except that any representation and warranty that is qualified as to “materiality,” “Material Adverse Effect” or similar language shall be true and correct (after giving effect to any qualification therein) on and as of such date); </w:t>
      </w: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21"/>
          <w:szCs w:val="21"/>
          <w:color w:val="auto"/>
        </w:rPr>
        <w:t>that, in the case of Incremental Term Loans incurred to finance a Permitted Acquisition or other Investment in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nature of an acquisition, this </w:t>
      </w:r>
      <w:r>
        <w:rPr>
          <w:rFonts w:ascii="Times New Roman" w:cs="Times New Roman" w:eastAsia="Times New Roman" w:hAnsi="Times New Roman"/>
          <w:sz w:val="21"/>
          <w:szCs w:val="21"/>
          <w:u w:val="single" w:color="auto"/>
          <w:color w:val="auto"/>
        </w:rPr>
        <w:t>clause (i)(y)</w:t>
      </w:r>
      <w:r>
        <w:rPr>
          <w:rFonts w:ascii="Times New Roman" w:cs="Times New Roman" w:eastAsia="Times New Roman" w:hAnsi="Times New Roman"/>
          <w:sz w:val="21"/>
          <w:szCs w:val="21"/>
          <w:color w:val="auto"/>
        </w:rPr>
        <w:t xml:space="preserve"> shall be limited to </w:t>
      </w:r>
      <w:r>
        <w:rPr>
          <w:rFonts w:ascii="Times New Roman" w:cs="Times New Roman" w:eastAsia="Times New Roman" w:hAnsi="Times New Roman"/>
          <w:sz w:val="21"/>
          <w:szCs w:val="21"/>
          <w:u w:val="single" w:color="auto"/>
          <w:color w:val="auto"/>
        </w:rPr>
        <w:t>Sections 5.01(a)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5.01(b)</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5.02(a)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5.13</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5.17</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5.18</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5.19</w:t>
      </w:r>
      <w:r>
        <w:rPr>
          <w:rFonts w:ascii="Times New Roman" w:cs="Times New Roman" w:eastAsia="Times New Roman" w:hAnsi="Times New Roman"/>
          <w:sz w:val="21"/>
          <w:szCs w:val="21"/>
          <w:color w:val="auto"/>
        </w:rPr>
        <w:t xml:space="preserve"> (other than the first or second sentence thereof) and </w:t>
      </w:r>
      <w:r>
        <w:rPr>
          <w:rFonts w:ascii="Times New Roman" w:cs="Times New Roman" w:eastAsia="Times New Roman" w:hAnsi="Times New Roman"/>
          <w:sz w:val="21"/>
          <w:szCs w:val="21"/>
          <w:u w:val="single" w:color="auto"/>
          <w:color w:val="auto"/>
        </w:rPr>
        <w:t>5.20</w:t>
      </w:r>
      <w:r>
        <w:rPr>
          <w:rFonts w:ascii="Times New Roman" w:cs="Times New Roman" w:eastAsia="Times New Roman" w:hAnsi="Times New Roman"/>
          <w:sz w:val="21"/>
          <w:szCs w:val="21"/>
          <w:color w:val="auto"/>
        </w:rPr>
        <w:t>;</w:t>
      </w:r>
    </w:p>
    <w:p>
      <w:pPr>
        <w:spacing w:after="0" w:line="151" w:lineRule="exact"/>
        <w:rPr>
          <w:rFonts w:ascii="Times New Roman" w:cs="Times New Roman" w:eastAsia="Times New Roman" w:hAnsi="Times New Roman"/>
          <w:sz w:val="21"/>
          <w:szCs w:val="21"/>
          <w:color w:val="auto"/>
        </w:rPr>
      </w:pPr>
    </w:p>
    <w:p>
      <w:pPr>
        <w:jc w:val="both"/>
        <w:ind w:left="640" w:firstLine="1274"/>
        <w:spacing w:after="0" w:line="223" w:lineRule="auto"/>
        <w:tabs>
          <w:tab w:leader="none" w:pos="2542" w:val="left"/>
        </w:tabs>
        <w:numPr>
          <w:ilvl w:val="1"/>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Incremental Revolving Credit Commitments or Incremental Term Loan Commitments, as applicable, shall be effected pursuant to one or more Joinder Agreements executed and delivered by the Borrower, the Incremental Revolving Loan Lender(s) or Incremental Term Loan Lender(s), as applicable, and the Administrative Agent, each of which shall be recorded in the Register (and each Incremental Revolving Loan Lender and Incremental Term Loan Lender shall be subject to the requirements set forth in </w:t>
      </w:r>
      <w:r>
        <w:rPr>
          <w:rFonts w:ascii="Times New Roman" w:cs="Times New Roman" w:eastAsia="Times New Roman" w:hAnsi="Times New Roman"/>
          <w:sz w:val="21"/>
          <w:szCs w:val="21"/>
          <w:u w:val="single" w:color="auto"/>
          <w:color w:val="auto"/>
        </w:rPr>
        <w:t>Section 3.01</w:t>
      </w:r>
      <w:r>
        <w:rPr>
          <w:rFonts w:ascii="Times New Roman" w:cs="Times New Roman" w:eastAsia="Times New Roman" w:hAnsi="Times New Roman"/>
          <w:sz w:val="21"/>
          <w:szCs w:val="21"/>
          <w:color w:val="auto"/>
        </w:rPr>
        <w:t>);</w:t>
      </w:r>
    </w:p>
    <w:p>
      <w:pPr>
        <w:spacing w:after="0" w:line="148" w:lineRule="exact"/>
        <w:rPr>
          <w:rFonts w:ascii="Times New Roman" w:cs="Times New Roman" w:eastAsia="Times New Roman" w:hAnsi="Times New Roman"/>
          <w:sz w:val="21"/>
          <w:szCs w:val="21"/>
          <w:color w:val="auto"/>
        </w:rPr>
      </w:pPr>
    </w:p>
    <w:p>
      <w:pPr>
        <w:ind w:left="640" w:firstLine="1274"/>
        <w:spacing w:after="0" w:line="247" w:lineRule="auto"/>
        <w:tabs>
          <w:tab w:leader="none" w:pos="2548" w:val="left"/>
        </w:tabs>
        <w:numPr>
          <w:ilvl w:val="1"/>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Incremental Facilities shall be Guaranteed by the Guarantors, rank </w:t>
      </w:r>
      <w:r>
        <w:rPr>
          <w:rFonts w:ascii="Times New Roman" w:cs="Times New Roman" w:eastAsia="Times New Roman" w:hAnsi="Times New Roman"/>
          <w:sz w:val="21"/>
          <w:szCs w:val="21"/>
          <w:i w:val="1"/>
          <w:iCs w:val="1"/>
          <w:color w:val="auto"/>
        </w:rPr>
        <w:t>pari passu</w:t>
      </w:r>
      <w:r>
        <w:rPr>
          <w:rFonts w:ascii="Times New Roman" w:cs="Times New Roman" w:eastAsia="Times New Roman" w:hAnsi="Times New Roman"/>
          <w:sz w:val="21"/>
          <w:szCs w:val="21"/>
          <w:color w:val="auto"/>
        </w:rPr>
        <w:t xml:space="preserve"> in right of security with the other Facilities and shall not be secured by any property or assets other than the Collateral;</w:t>
      </w:r>
    </w:p>
    <w:p>
      <w:pPr>
        <w:spacing w:after="0" w:line="140" w:lineRule="exact"/>
        <w:rPr>
          <w:rFonts w:ascii="Times New Roman" w:cs="Times New Roman" w:eastAsia="Times New Roman" w:hAnsi="Times New Roman"/>
          <w:sz w:val="21"/>
          <w:szCs w:val="21"/>
          <w:color w:val="auto"/>
        </w:rPr>
      </w:pPr>
    </w:p>
    <w:p>
      <w:pPr>
        <w:ind w:left="640" w:firstLine="1274"/>
        <w:spacing w:after="0" w:line="245" w:lineRule="auto"/>
        <w:tabs>
          <w:tab w:leader="none" w:pos="2536" w:val="left"/>
        </w:tabs>
        <w:numPr>
          <w:ilvl w:val="1"/>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fees and reasonable out-of-pocket expenses owing to the Administrative Agent and the Lenders (other than a Defaulting Lender) in respect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96</w:t>
      </w:r>
    </w:p>
    <w:p>
      <w:pPr>
        <w:sectPr>
          <w:pgSz w:w="11900" w:h="16838" w:orient="portrait"/>
          <w:cols w:equalWidth="0" w:num="1">
            <w:col w:w="11240"/>
          </w:cols>
          <w:pgMar w:left="320" w:top="1371" w:right="339" w:bottom="1440" w:gutter="0" w:footer="0" w:header="0"/>
        </w:sectPr>
      </w:pPr>
    </w:p>
    <w:bookmarkStart w:id="202" w:name="page203"/>
    <w:bookmarkEnd w:id="202"/>
    <w:p>
      <w:pPr>
        <w:ind w:left="640"/>
        <w:spacing w:after="0"/>
        <w:rPr>
          <w:sz w:val="20"/>
          <w:szCs w:val="20"/>
          <w:color w:val="auto"/>
        </w:rPr>
      </w:pPr>
      <w:r>
        <w:rPr>
          <w:rFonts w:ascii="Times New Roman" w:cs="Times New Roman" w:eastAsia="Times New Roman" w:hAnsi="Times New Roman"/>
          <w:sz w:val="21"/>
          <w:szCs w:val="21"/>
          <w:color w:val="auto"/>
        </w:rPr>
        <w:t>Incremental Revolving Credit Commitments and Incremental Term Loan Commitments shall have been paid; and</w:t>
      </w:r>
    </w:p>
    <w:p>
      <w:pPr>
        <w:spacing w:after="0" w:line="183" w:lineRule="exact"/>
        <w:rPr>
          <w:sz w:val="20"/>
          <w:szCs w:val="20"/>
          <w:color w:val="auto"/>
        </w:rPr>
      </w:pPr>
    </w:p>
    <w:p>
      <w:pPr>
        <w:ind w:left="640" w:firstLine="1274"/>
        <w:spacing w:after="0" w:line="245" w:lineRule="auto"/>
        <w:tabs>
          <w:tab w:leader="none" w:pos="2543" w:val="left"/>
        </w:tabs>
        <w:numPr>
          <w:ilvl w:val="1"/>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shall deliver or cause to be delivered legal opinions, officer’s certificates and such other documents reasonably requested by the Administrative Agent in connection with any such transaction.</w:t>
      </w:r>
    </w:p>
    <w:p>
      <w:pPr>
        <w:spacing w:after="0" w:line="142" w:lineRule="exact"/>
        <w:rPr>
          <w:rFonts w:ascii="Times New Roman" w:cs="Times New Roman" w:eastAsia="Times New Roman" w:hAnsi="Times New Roman"/>
          <w:sz w:val="21"/>
          <w:szCs w:val="21"/>
          <w:color w:val="auto"/>
        </w:rPr>
      </w:pPr>
    </w:p>
    <w:p>
      <w:pPr>
        <w:jc w:val="both"/>
        <w:ind w:firstLine="1278"/>
        <w:spacing w:after="0" w:line="215" w:lineRule="auto"/>
        <w:tabs>
          <w:tab w:leader="none" w:pos="1905" w:val="left"/>
        </w:tabs>
        <w:numPr>
          <w:ilvl w:val="0"/>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any Increased Amount Date on which Incremental Revolving Credit Commitments are effected, subject to the satisfaction of the foregoing terms and conditions, (i) each of the existing Revolving Credit Lenders of the Class being so increased shall assign to each of the Incremental Revolving Loan Lenders, and each of the Incremental Revolving Loan Lenders shall purchase from each of the existing Revolving Credit Lenders of the Class being so increased, at the principal amount thereof (together with accrued interest), such interests in the Revolving Credit Loans of the Class being so increased and participations in Letters of Credit outstanding on such Increased Amount Date as shall be necessary in order that, after giving effect to all such assignments and purchases, such Revolving Credit Loans and participations in Letters of Credit will be held by existing Revolving Credit Lenders of such Class and Incremental Revolving Loan Lenders ratably in accordance with their Revolving Credit Commitments of the Class being so increased after giving effect to the addition of such Incremental Revolving Credit Commitments to the Revolving Credit Commitments of such Class, (ii) each Incremental Revolving Credit Commitment shall be deemed for all purposes a Revolving Credit Commitment of the Class being so increased and each Loan made thereunder (an “</w:t>
      </w:r>
      <w:r>
        <w:rPr>
          <w:rFonts w:ascii="Times New Roman" w:cs="Times New Roman" w:eastAsia="Times New Roman" w:hAnsi="Times New Roman"/>
          <w:sz w:val="21"/>
          <w:szCs w:val="21"/>
          <w:b w:val="1"/>
          <w:bCs w:val="1"/>
          <w:color w:val="auto"/>
        </w:rPr>
        <w:t>Incremental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Revolving Loan</w:t>
      </w:r>
      <w:r>
        <w:rPr>
          <w:rFonts w:ascii="Times New Roman" w:cs="Times New Roman" w:eastAsia="Times New Roman" w:hAnsi="Times New Roman"/>
          <w:sz w:val="21"/>
          <w:szCs w:val="21"/>
          <w:color w:val="auto"/>
        </w:rPr>
        <w:t>”) shall be deemed, for all purposes, a Revolving Credit Loan of the Class being so increased and (iii) each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Incremental Revolving Loan Lender shall become a Lender with respect to the Incremental Revolving Credit Commitment and all matters relating thereto.</w:t>
      </w:r>
    </w:p>
    <w:p>
      <w:pPr>
        <w:spacing w:after="0" w:line="151" w:lineRule="exact"/>
        <w:rPr>
          <w:rFonts w:ascii="Times New Roman" w:cs="Times New Roman" w:eastAsia="Times New Roman" w:hAnsi="Times New Roman"/>
          <w:sz w:val="21"/>
          <w:szCs w:val="21"/>
          <w:color w:val="auto"/>
        </w:rPr>
      </w:pPr>
    </w:p>
    <w:p>
      <w:pPr>
        <w:jc w:val="both"/>
        <w:ind w:firstLine="1278"/>
        <w:spacing w:after="0" w:line="221" w:lineRule="auto"/>
        <w:tabs>
          <w:tab w:leader="none" w:pos="1908" w:val="left"/>
        </w:tabs>
        <w:numPr>
          <w:ilvl w:val="0"/>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any Increased Amount Date on which any Incremental Term Loan Commitments of any Class (or any Incremental Term Loan Commitments increasing any existing Term Loans) are effective, subject to the satisfaction of the foregoing terms and conditions, (i) each Incremental Term Loan Lender of such Class or increase shall make a Loan to the Borrower (an “</w:t>
      </w:r>
      <w:r>
        <w:rPr>
          <w:rFonts w:ascii="Times New Roman" w:cs="Times New Roman" w:eastAsia="Times New Roman" w:hAnsi="Times New Roman"/>
          <w:sz w:val="21"/>
          <w:szCs w:val="21"/>
          <w:b w:val="1"/>
          <w:bCs w:val="1"/>
          <w:color w:val="auto"/>
        </w:rPr>
        <w:t>Incremental Term Loan</w:t>
      </w:r>
      <w:r>
        <w:rPr>
          <w:rFonts w:ascii="Times New Roman" w:cs="Times New Roman" w:eastAsia="Times New Roman" w:hAnsi="Times New Roman"/>
          <w:sz w:val="21"/>
          <w:szCs w:val="21"/>
          <w:color w:val="auto"/>
        </w:rPr>
        <w:t>”) in an amount equal to its Incremental Term Loan Commitment of such Class or increase and (ii) each Incremental Term Loan Lender of such Class or increase shall become a Lender hereunder with respect to the Incremental Term Loan Commitment of such Class or increase and the Incremental Term Loans of such Class or increase made pursuant thereto.</w:t>
      </w:r>
    </w:p>
    <w:p>
      <w:pPr>
        <w:spacing w:after="0" w:line="149" w:lineRule="exact"/>
        <w:rPr>
          <w:rFonts w:ascii="Times New Roman" w:cs="Times New Roman" w:eastAsia="Times New Roman" w:hAnsi="Times New Roman"/>
          <w:sz w:val="21"/>
          <w:szCs w:val="21"/>
          <w:color w:val="auto"/>
        </w:rPr>
      </w:pPr>
    </w:p>
    <w:p>
      <w:pPr>
        <w:jc w:val="both"/>
        <w:ind w:firstLine="1278"/>
        <w:spacing w:after="0" w:line="215" w:lineRule="auto"/>
        <w:tabs>
          <w:tab w:leader="none" w:pos="1903" w:val="left"/>
        </w:tabs>
        <w:numPr>
          <w:ilvl w:val="0"/>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terms (including pricing, “most favored nations” provisions, premiums, fees, rate floors, optional prepayment provisions, and/or mandatory prepayment provisions relating to excess cash flow, asset sale proceeds and condemnation proceeds) and conditions of the Incremental Term Loans and Incremental Term Loan Commitments shall be, except as otherwise explicitly set forth herein, as agreed in the Joinder Agreement between the Borrower, the applicable Incremental Term Loan Lenders providing such Incremental Term Loan Commitments and the Administrative Agent;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 other than in the case of customary bridge loans, the terms of such Indebtedness shall not be more restrictive, taken as a whole, to the Borrower and the other Loan Parties than those set forth in this Agreement prior to the execution of such Joinder Agreement unless (x) such terms apply only after the Latest Maturity Date at the time such Indebtedness is established or (y) this Agreement is amended so that such terms are also applicable for the benefit of any Lenders under any then-existing Facilities, (ii) other than in the case of customary bridge loans, the Weighted Average Life to Maturity of all Incremental Term Loans of any such Class shall be no shorter than (x) if there are no Term Loans outstanding at such time, 36 months and (y) if there are Term Loans outstanding at such time, the Weighted Average Life to Maturity of any other Term Loans at the time of the incurrence of such Incremental Term Loans, (iii) other than in the case of customary bridge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97</w:t>
      </w:r>
    </w:p>
    <w:p>
      <w:pPr>
        <w:sectPr>
          <w:pgSz w:w="11900" w:h="16838" w:orient="portrait"/>
          <w:cols w:equalWidth="0" w:num="1">
            <w:col w:w="11240"/>
          </w:cols>
          <w:pgMar w:left="320" w:top="1371" w:right="339" w:bottom="1440" w:gutter="0" w:footer="0" w:header="0"/>
        </w:sectPr>
      </w:pPr>
    </w:p>
    <w:bookmarkStart w:id="203" w:name="page204"/>
    <w:bookmarkEnd w:id="203"/>
    <w:p>
      <w:pPr>
        <w:jc w:val="both"/>
        <w:spacing w:after="0" w:line="221" w:lineRule="auto"/>
        <w:rPr>
          <w:sz w:val="20"/>
          <w:szCs w:val="20"/>
          <w:color w:val="auto"/>
        </w:rPr>
      </w:pPr>
      <w:r>
        <w:rPr>
          <w:rFonts w:ascii="Times New Roman" w:cs="Times New Roman" w:eastAsia="Times New Roman" w:hAnsi="Times New Roman"/>
          <w:sz w:val="21"/>
          <w:szCs w:val="21"/>
          <w:color w:val="auto"/>
        </w:rPr>
        <w:t>loans, the applicable Incremental Term Loan Maturity Date of each Class shall be no earlier than the Latest Maturity Date at the time of the incurrence of such Incremental Term Loans, (iv) the pricing of each Class of Incremental Term Loans may be subject to “most favored nations” provisions if and to the extent set forth in the Joinder Agreement for such Class and (v) such Indebtedness may contain mandatory prepayment or exchange provisions and may participate on a pro rata basis or less than pro rata basis (but not on a greater than pro rata basis) in any mandatory prepayments of Term Loans hereunder, as specified in the applicable Joinder Agreement.</w:t>
      </w:r>
    </w:p>
    <w:p>
      <w:pPr>
        <w:spacing w:after="0" w:line="150" w:lineRule="exact"/>
        <w:rPr>
          <w:sz w:val="20"/>
          <w:szCs w:val="20"/>
          <w:color w:val="auto"/>
        </w:rPr>
      </w:pPr>
    </w:p>
    <w:p>
      <w:pPr>
        <w:jc w:val="both"/>
        <w:ind w:firstLine="1278"/>
        <w:spacing w:after="0" w:line="217" w:lineRule="auto"/>
        <w:tabs>
          <w:tab w:leader="none" w:pos="1903"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terms and provisions of the Incremental Revolving Loans and Incremental Revolving Credit Commitments shall be identical to the other Revolving Credit Loans of the Class being so increased and the Revolving Credit Commitments of the Class being so increased;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the Incremental Revolving Loan Lenders require an interest rate in excess of the interest rate then applicable to the Revolving Credit Facility of the Class being so increased, the interest rate on the Revolving Credit Facility of such Class shall be increased to equal such required rate without further consent of the affected Lenders;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that if the Incremental Revolving Loan Lenders require a commitment fee on the undrawn portion of such Incremental Revolving Loans and Incremental Revolving Commitments in excess of the commitment fee then applicable to the Revolving Credit Facility of the Class being so increased, the commitment fee on the Revolving Credit Facility of such Class shall be increased to equal such commitment fee without further consent of the affected Lenders.</w:t>
      </w:r>
    </w:p>
    <w:p>
      <w:pPr>
        <w:spacing w:after="0" w:line="154" w:lineRule="exact"/>
        <w:rPr>
          <w:rFonts w:ascii="Times New Roman" w:cs="Times New Roman" w:eastAsia="Times New Roman" w:hAnsi="Times New Roman"/>
          <w:sz w:val="21"/>
          <w:szCs w:val="21"/>
          <w:color w:val="auto"/>
        </w:rPr>
      </w:pPr>
    </w:p>
    <w:p>
      <w:pPr>
        <w:jc w:val="both"/>
        <w:ind w:firstLine="1278"/>
        <w:spacing w:after="0" w:line="219" w:lineRule="auto"/>
        <w:tabs>
          <w:tab w:leader="none" w:pos="1896"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Joinder Agreement may, without the consent of any other Lenders, effect such amendments to this Agreement and the other Loan Documents as may be necessary or appropriate, in the opinion of the Administrative Agent, to effect the provisions of this </w:t>
      </w:r>
      <w:r>
        <w:rPr>
          <w:rFonts w:ascii="Times New Roman" w:cs="Times New Roman" w:eastAsia="Times New Roman" w:hAnsi="Times New Roman"/>
          <w:sz w:val="21"/>
          <w:szCs w:val="21"/>
          <w:u w:val="single" w:color="auto"/>
          <w:color w:val="auto"/>
        </w:rPr>
        <w:t>Section 2.14</w:t>
      </w:r>
      <w:r>
        <w:rPr>
          <w:rFonts w:ascii="Times New Roman" w:cs="Times New Roman" w:eastAsia="Times New Roman" w:hAnsi="Times New Roman"/>
          <w:sz w:val="21"/>
          <w:szCs w:val="21"/>
          <w:color w:val="auto"/>
        </w:rPr>
        <w:t xml:space="preserve"> (including any amendments that are not adverse to the interests of any Lender that are made to effectuate changes necessary or appropriate to enable any Incremental Term Loans that are intended to be fungible with any other Term Loans to be fungible with such other Term Loans, which shall include any amendments that modify the aggregate principal amount of scheduled installment payments to the extent such amendment does not decrease the installment payment an existing Term Lender would have received prior to giving effect to any such amendment).</w:t>
      </w:r>
    </w:p>
    <w:p>
      <w:pPr>
        <w:spacing w:after="0" w:line="153" w:lineRule="exact"/>
        <w:rPr>
          <w:rFonts w:ascii="Times New Roman" w:cs="Times New Roman" w:eastAsia="Times New Roman" w:hAnsi="Times New Roman"/>
          <w:sz w:val="21"/>
          <w:szCs w:val="21"/>
          <w:color w:val="auto"/>
        </w:rPr>
      </w:pPr>
    </w:p>
    <w:p>
      <w:pPr>
        <w:ind w:left="1900" w:hanging="622"/>
        <w:spacing w:after="0"/>
        <w:tabs>
          <w:tab w:leader="none" w:pos="1900"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This </w:t>
      </w:r>
      <w:r>
        <w:rPr>
          <w:rFonts w:ascii="Times New Roman" w:cs="Times New Roman" w:eastAsia="Times New Roman" w:hAnsi="Times New Roman"/>
          <w:sz w:val="21"/>
          <w:szCs w:val="21"/>
          <w:u w:val="single" w:color="auto"/>
          <w:color w:val="auto"/>
        </w:rPr>
        <w:t>Section 2.14</w:t>
      </w:r>
      <w:r>
        <w:rPr>
          <w:rFonts w:ascii="Times New Roman" w:cs="Times New Roman" w:eastAsia="Times New Roman" w:hAnsi="Times New Roman"/>
          <w:sz w:val="21"/>
          <w:szCs w:val="21"/>
          <w:color w:val="auto"/>
        </w:rPr>
        <w:t xml:space="preserve"> shall supersede any provisions in </w:t>
      </w:r>
      <w:r>
        <w:rPr>
          <w:rFonts w:ascii="Times New Roman" w:cs="Times New Roman" w:eastAsia="Times New Roman" w:hAnsi="Times New Roman"/>
          <w:sz w:val="21"/>
          <w:szCs w:val="21"/>
          <w:u w:val="single" w:color="auto"/>
          <w:color w:val="auto"/>
        </w:rPr>
        <w:t>Section 2.13</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10.01</w:t>
      </w:r>
      <w:r>
        <w:rPr>
          <w:rFonts w:ascii="Times New Roman" w:cs="Times New Roman" w:eastAsia="Times New Roman" w:hAnsi="Times New Roman"/>
          <w:sz w:val="21"/>
          <w:szCs w:val="21"/>
          <w:color w:val="auto"/>
        </w:rPr>
        <w:t xml:space="preserve"> to the contrary.</w:t>
      </w:r>
    </w:p>
    <w:p>
      <w:pPr>
        <w:spacing w:after="0" w:line="181"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2.15</w:t>
      </w:r>
      <w:r>
        <w:rPr>
          <w:sz w:val="20"/>
          <w:szCs w:val="20"/>
          <w:color w:val="auto"/>
        </w:rPr>
        <w:tab/>
      </w:r>
      <w:r>
        <w:rPr>
          <w:rFonts w:ascii="Times New Roman" w:cs="Times New Roman" w:eastAsia="Times New Roman" w:hAnsi="Times New Roman"/>
          <w:sz w:val="21"/>
          <w:szCs w:val="21"/>
          <w:i w:val="1"/>
          <w:iCs w:val="1"/>
          <w:color w:val="auto"/>
        </w:rPr>
        <w:t>Cash Collateral</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p>
    <w:p>
      <w:pPr>
        <w:spacing w:after="0" w:line="194" w:lineRule="exact"/>
        <w:rPr>
          <w:sz w:val="20"/>
          <w:szCs w:val="20"/>
          <w:color w:val="auto"/>
        </w:rPr>
      </w:pPr>
    </w:p>
    <w:p>
      <w:pPr>
        <w:jc w:val="both"/>
        <w:ind w:firstLine="1278"/>
        <w:spacing w:after="0" w:line="221" w:lineRule="auto"/>
        <w:tabs>
          <w:tab w:leader="none" w:pos="1905"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Certain Credit Support Events</w:t>
      </w:r>
      <w:r>
        <w:rPr>
          <w:rFonts w:ascii="Times New Roman" w:cs="Times New Roman" w:eastAsia="Times New Roman" w:hAnsi="Times New Roman"/>
          <w:sz w:val="21"/>
          <w:szCs w:val="21"/>
          <w:color w:val="auto"/>
        </w:rPr>
        <w:t>. Upon the request of the Administrative Agent or any L/C Issuer if, as of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Letter of Credit Expiration Date, any L/C Obligation for any reason remains outstanding, the Borrower shall, in each case, immediately Cash Collateralize all L/C Obligations in an amount equal to 105% of the then Outstanding Amount of all L/C Obligations. At any time that there shall exist a Defaulting Lender, immediately upon the request of the Administrative Agent or any L/C Issuer, the Borrower shall deliver to the Administrative Agent Cash Collateral in an amount sufficient to cover all Fronting Exposure (after giving effect to </w:t>
      </w:r>
      <w:r>
        <w:rPr>
          <w:rFonts w:ascii="Times New Roman" w:cs="Times New Roman" w:eastAsia="Times New Roman" w:hAnsi="Times New Roman"/>
          <w:sz w:val="21"/>
          <w:szCs w:val="21"/>
          <w:u w:val="single" w:color="auto"/>
          <w:color w:val="auto"/>
        </w:rPr>
        <w:t>Section 2.16(a)(iv)</w:t>
      </w:r>
      <w:r>
        <w:rPr>
          <w:rFonts w:ascii="Times New Roman" w:cs="Times New Roman" w:eastAsia="Times New Roman" w:hAnsi="Times New Roman"/>
          <w:sz w:val="21"/>
          <w:szCs w:val="21"/>
          <w:color w:val="auto"/>
        </w:rPr>
        <w:t xml:space="preserve"> and any Cash Collateral provided by the Defaulting Lender).</w:t>
      </w:r>
    </w:p>
    <w:p>
      <w:pPr>
        <w:spacing w:after="0" w:line="149" w:lineRule="exact"/>
        <w:rPr>
          <w:rFonts w:ascii="Times New Roman" w:cs="Times New Roman" w:eastAsia="Times New Roman" w:hAnsi="Times New Roman"/>
          <w:sz w:val="21"/>
          <w:szCs w:val="21"/>
          <w:color w:val="auto"/>
        </w:rPr>
      </w:pPr>
    </w:p>
    <w:p>
      <w:pPr>
        <w:jc w:val="both"/>
        <w:ind w:firstLine="1278"/>
        <w:spacing w:after="0" w:line="232" w:lineRule="auto"/>
        <w:tabs>
          <w:tab w:leader="none" w:pos="1903"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Grant of Security Interest</w:t>
      </w:r>
      <w:r>
        <w:rPr>
          <w:rFonts w:ascii="Times New Roman" w:cs="Times New Roman" w:eastAsia="Times New Roman" w:hAnsi="Times New Roman"/>
          <w:sz w:val="21"/>
          <w:szCs w:val="21"/>
          <w:color w:val="auto"/>
        </w:rPr>
        <w:t>. All Cash Collateral (other than credit support not constituting funds subject to</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deposit) shall be maintained in blocked, non-interest bearing deposit accounts at a bank selected by the Borrower and reasonably acceptable to the Administrative Agent. The Borrower, and to the extent provided by any Lender, such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98</w:t>
      </w:r>
    </w:p>
    <w:p>
      <w:pPr>
        <w:sectPr>
          <w:pgSz w:w="11900" w:h="16838" w:orient="portrait"/>
          <w:cols w:equalWidth="0" w:num="1">
            <w:col w:w="11240"/>
          </w:cols>
          <w:pgMar w:left="320" w:top="1371" w:right="339" w:bottom="1440" w:gutter="0" w:footer="0" w:header="0"/>
        </w:sectPr>
      </w:pPr>
    </w:p>
    <w:bookmarkStart w:id="204" w:name="page205"/>
    <w:bookmarkEnd w:id="204"/>
    <w:p>
      <w:pPr>
        <w:jc w:val="both"/>
        <w:spacing w:after="0" w:line="218" w:lineRule="auto"/>
        <w:rPr>
          <w:sz w:val="20"/>
          <w:szCs w:val="20"/>
          <w:color w:val="auto"/>
        </w:rPr>
      </w:pPr>
      <w:r>
        <w:rPr>
          <w:rFonts w:ascii="Times New Roman" w:cs="Times New Roman" w:eastAsia="Times New Roman" w:hAnsi="Times New Roman"/>
          <w:sz w:val="21"/>
          <w:szCs w:val="21"/>
          <w:color w:val="auto"/>
        </w:rPr>
        <w:t xml:space="preserve">hereby grants to (and subjects to the control of) the Administrative Agent, for the benefit of the Administrative Agent, the L/C Issuers and the Revolving Credit Lenders, and agrees to maintain, a first priority security interest in all such cash, deposit accounts and all balances therein, and all other property so provided as Cash Collateral pursuant hereto, and in all proceeds of the foregoing, all as security for the obligations to which such Cash Collateral may be applied pursuant to </w:t>
      </w:r>
      <w:r>
        <w:rPr>
          <w:rFonts w:ascii="Times New Roman" w:cs="Times New Roman" w:eastAsia="Times New Roman" w:hAnsi="Times New Roman"/>
          <w:sz w:val="21"/>
          <w:szCs w:val="21"/>
          <w:u w:val="single" w:color="auto"/>
          <w:color w:val="auto"/>
        </w:rPr>
        <w:t>Section 2.15(c)</w:t>
      </w:r>
      <w:r>
        <w:rPr>
          <w:rFonts w:ascii="Times New Roman" w:cs="Times New Roman" w:eastAsia="Times New Roman" w:hAnsi="Times New Roman"/>
          <w:sz w:val="21"/>
          <w:szCs w:val="21"/>
          <w:color w:val="auto"/>
        </w:rPr>
        <w:t>. If at any time the Administrative Agent determines that Cash Collateral is subject to any right or claim of any Person other than the Administrative Agent as herein provided, or that the total amount of such Cash Collateral is less than the applicable Fronting Exposure and other obligations secured thereby, the Borrower or the relevant Defaulting Lender will, promptly upon demand by the Administrative Agent, pay or provide to the Administrative Agent additional Cash Collateral in an amount sufficient to eliminate such deficiency.</w:t>
      </w:r>
    </w:p>
    <w:p>
      <w:pPr>
        <w:spacing w:after="0" w:line="151" w:lineRule="exact"/>
        <w:rPr>
          <w:sz w:val="20"/>
          <w:szCs w:val="20"/>
          <w:color w:val="auto"/>
        </w:rPr>
      </w:pPr>
    </w:p>
    <w:p>
      <w:pPr>
        <w:jc w:val="both"/>
        <w:ind w:firstLine="1278"/>
        <w:spacing w:after="0" w:line="223" w:lineRule="auto"/>
        <w:tabs>
          <w:tab w:leader="none" w:pos="1905" w:val="left"/>
        </w:tabs>
        <w:numPr>
          <w:ilvl w:val="0"/>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Application</w:t>
      </w:r>
      <w:r>
        <w:rPr>
          <w:rFonts w:ascii="Times New Roman" w:cs="Times New Roman" w:eastAsia="Times New Roman" w:hAnsi="Times New Roman"/>
          <w:sz w:val="21"/>
          <w:szCs w:val="21"/>
          <w:color w:val="auto"/>
        </w:rPr>
        <w:t>. Notwithstanding anything to the contrary contained in this Agreement, Cash Collateral provided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under any of this </w:t>
      </w:r>
      <w:r>
        <w:rPr>
          <w:rFonts w:ascii="Times New Roman" w:cs="Times New Roman" w:eastAsia="Times New Roman" w:hAnsi="Times New Roman"/>
          <w:sz w:val="21"/>
          <w:szCs w:val="21"/>
          <w:u w:val="single" w:color="auto"/>
          <w:color w:val="auto"/>
        </w:rPr>
        <w:t>Section 2.15</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Sections 2.03</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2.05</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2.16</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8.02</w:t>
      </w:r>
      <w:r>
        <w:rPr>
          <w:rFonts w:ascii="Times New Roman" w:cs="Times New Roman" w:eastAsia="Times New Roman" w:hAnsi="Times New Roman"/>
          <w:sz w:val="21"/>
          <w:szCs w:val="21"/>
          <w:color w:val="auto"/>
        </w:rPr>
        <w:t xml:space="preserve"> in respect of Letters of Credit shall be held and applied to the satisfaction of the specific L/C Obligations, obligations to fund participations therein (including, as to Cash Collateral provided by a Defaulting Lender, any interest accrued on such obligation) and other obligations for which the Cash Collateral was so provided, prior to any other application of such property as may be provided for herein.</w:t>
      </w:r>
    </w:p>
    <w:p>
      <w:pPr>
        <w:spacing w:after="0" w:line="150" w:lineRule="exact"/>
        <w:rPr>
          <w:rFonts w:ascii="Times New Roman" w:cs="Times New Roman" w:eastAsia="Times New Roman" w:hAnsi="Times New Roman"/>
          <w:sz w:val="21"/>
          <w:szCs w:val="21"/>
          <w:color w:val="auto"/>
        </w:rPr>
      </w:pPr>
    </w:p>
    <w:p>
      <w:pPr>
        <w:jc w:val="both"/>
        <w:ind w:firstLine="1278"/>
        <w:spacing w:after="0" w:line="219" w:lineRule="auto"/>
        <w:tabs>
          <w:tab w:leader="none" w:pos="1903" w:val="left"/>
        </w:tabs>
        <w:numPr>
          <w:ilvl w:val="0"/>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Release</w:t>
      </w:r>
      <w:r>
        <w:rPr>
          <w:rFonts w:ascii="Times New Roman" w:cs="Times New Roman" w:eastAsia="Times New Roman" w:hAnsi="Times New Roman"/>
          <w:sz w:val="21"/>
          <w:szCs w:val="21"/>
          <w:color w:val="auto"/>
        </w:rPr>
        <w:t>. Cash Collateral (or the appropriate portion thereof) provided to reduce Fronting Exposure or other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Times New Roman" w:cs="Times New Roman" w:eastAsia="Times New Roman" w:hAnsi="Times New Roman"/>
          <w:sz w:val="21"/>
          <w:szCs w:val="21"/>
          <w:u w:val="single" w:color="auto"/>
          <w:color w:val="auto"/>
        </w:rPr>
        <w:t>Section 10.06(b)</w:t>
      </w:r>
      <w:r>
        <w:rPr>
          <w:rFonts w:ascii="Times New Roman" w:cs="Times New Roman" w:eastAsia="Times New Roman" w:hAnsi="Times New Roman"/>
          <w:sz w:val="21"/>
          <w:szCs w:val="21"/>
          <w:color w:val="auto"/>
        </w:rPr>
        <w:t xml:space="preserve">)) or (ii) the Administrative Agent’s good faith determination that there exists excess Cash Collateral;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(x) Cash Collateral furnished by or on behalf of a Loan Party shall not be released during the continuance of an Event of Default (and following application as provided in this </w:t>
      </w:r>
      <w:r>
        <w:rPr>
          <w:rFonts w:ascii="Times New Roman" w:cs="Times New Roman" w:eastAsia="Times New Roman" w:hAnsi="Times New Roman"/>
          <w:sz w:val="21"/>
          <w:szCs w:val="21"/>
          <w:u w:val="single" w:color="auto"/>
          <w:color w:val="auto"/>
        </w:rPr>
        <w:t>Section 2.15</w:t>
      </w:r>
      <w:r>
        <w:rPr>
          <w:rFonts w:ascii="Times New Roman" w:cs="Times New Roman" w:eastAsia="Times New Roman" w:hAnsi="Times New Roman"/>
          <w:sz w:val="21"/>
          <w:szCs w:val="21"/>
          <w:color w:val="auto"/>
        </w:rPr>
        <w:t xml:space="preserve"> may be otherwise applied in accordance with </w:t>
      </w:r>
      <w:r>
        <w:rPr>
          <w:rFonts w:ascii="Times New Roman" w:cs="Times New Roman" w:eastAsia="Times New Roman" w:hAnsi="Times New Roman"/>
          <w:sz w:val="21"/>
          <w:szCs w:val="21"/>
          <w:u w:val="single" w:color="auto"/>
          <w:color w:val="auto"/>
        </w:rPr>
        <w:t>Section 8.03</w:t>
      </w:r>
      <w:r>
        <w:rPr>
          <w:rFonts w:ascii="Times New Roman" w:cs="Times New Roman" w:eastAsia="Times New Roman" w:hAnsi="Times New Roman"/>
          <w:sz w:val="21"/>
          <w:szCs w:val="21"/>
          <w:color w:val="auto"/>
        </w:rPr>
        <w:t>), and (y) the Person providing Cash Collateral and the applicable L/C Issuer may agree that Cash Collateral shall not be released but instead held to support future anticipated Fronting Exposure or other obligations.</w:t>
      </w:r>
    </w:p>
    <w:p>
      <w:pPr>
        <w:spacing w:after="0" w:line="145"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2.16</w:t>
      </w:r>
      <w:r>
        <w:rPr>
          <w:sz w:val="20"/>
          <w:szCs w:val="20"/>
          <w:color w:val="auto"/>
        </w:rPr>
        <w:tab/>
      </w:r>
      <w:r>
        <w:rPr>
          <w:rFonts w:ascii="Times New Roman" w:cs="Times New Roman" w:eastAsia="Times New Roman" w:hAnsi="Times New Roman"/>
          <w:sz w:val="21"/>
          <w:szCs w:val="21"/>
          <w:i w:val="1"/>
          <w:iCs w:val="1"/>
          <w:color w:val="auto"/>
        </w:rPr>
        <w:t>Defaulting Lenders</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p>
    <w:p>
      <w:pPr>
        <w:spacing w:after="0" w:line="194" w:lineRule="exact"/>
        <w:rPr>
          <w:sz w:val="20"/>
          <w:szCs w:val="20"/>
          <w:color w:val="auto"/>
        </w:rPr>
      </w:pPr>
    </w:p>
    <w:p>
      <w:pPr>
        <w:ind w:right="20" w:firstLine="1278"/>
        <w:spacing w:after="0" w:line="247" w:lineRule="auto"/>
        <w:tabs>
          <w:tab w:leader="none" w:pos="1905" w:val="left"/>
        </w:tabs>
        <w:numPr>
          <w:ilvl w:val="0"/>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Adjustments</w:t>
      </w:r>
      <w:r>
        <w:rPr>
          <w:rFonts w:ascii="Times New Roman" w:cs="Times New Roman" w:eastAsia="Times New Roman" w:hAnsi="Times New Roman"/>
          <w:sz w:val="21"/>
          <w:szCs w:val="21"/>
          <w:color w:val="auto"/>
        </w:rPr>
        <w:t>. Notwithstanding anything to the contrary contained in this Agreement, if any Lender becomes a</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Defaulting Lender, then, until such time as that Lender is no longer a Defaulting Lender, to the extent permitted by applicable Law:</w:t>
      </w:r>
    </w:p>
    <w:p>
      <w:pPr>
        <w:spacing w:after="0" w:line="138" w:lineRule="exact"/>
        <w:rPr>
          <w:rFonts w:ascii="Times New Roman" w:cs="Times New Roman" w:eastAsia="Times New Roman" w:hAnsi="Times New Roman"/>
          <w:sz w:val="21"/>
          <w:szCs w:val="21"/>
          <w:color w:val="auto"/>
        </w:rPr>
      </w:pPr>
    </w:p>
    <w:p>
      <w:pPr>
        <w:jc w:val="both"/>
        <w:ind w:left="640" w:firstLine="1274"/>
        <w:spacing w:after="0" w:line="220" w:lineRule="auto"/>
        <w:tabs>
          <w:tab w:leader="none" w:pos="2536" w:val="left"/>
        </w:tabs>
        <w:numPr>
          <w:ilvl w:val="1"/>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Waivers and Amendments</w:t>
      </w:r>
      <w:r>
        <w:rPr>
          <w:rFonts w:ascii="Times New Roman" w:cs="Times New Roman" w:eastAsia="Times New Roman" w:hAnsi="Times New Roman"/>
          <w:sz w:val="21"/>
          <w:szCs w:val="21"/>
          <w:color w:val="auto"/>
        </w:rPr>
        <w:t>. That Defaulting Lender’s right to approve or disapprove any amendment,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modification, waiver or consent with respect to this Agreement shall be restricted as set forth in the definitions of Required Lenders, Required Revolving Credit Lenders, and Required Facility Lenders and, in addition, Defaulting Lenders shall not be permitted to vote with respect to any other amendment, modification, waiver or consent pursuant to </w:t>
      </w:r>
      <w:r>
        <w:rPr>
          <w:rFonts w:ascii="Times New Roman" w:cs="Times New Roman" w:eastAsia="Times New Roman" w:hAnsi="Times New Roman"/>
          <w:sz w:val="21"/>
          <w:szCs w:val="21"/>
          <w:u w:val="single" w:color="auto"/>
          <w:color w:val="auto"/>
        </w:rPr>
        <w:t>Section 10.01</w:t>
      </w:r>
      <w:r>
        <w:rPr>
          <w:rFonts w:ascii="Times New Roman" w:cs="Times New Roman" w:eastAsia="Times New Roman" w:hAnsi="Times New Roman"/>
          <w:sz w:val="21"/>
          <w:szCs w:val="21"/>
          <w:color w:val="auto"/>
        </w:rPr>
        <w:t xml:space="preserve"> or otherwise direct the Administrative Agent pursuant to the terms hereof or of the other Loan Documents;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any amendment, modification, waiver or consent requiring the consent of all Lenders or each affected Lender which affects such Defaulting Lender differently than other affected Lenders shall require the consent of such Defaulting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99</w:t>
      </w:r>
    </w:p>
    <w:p>
      <w:pPr>
        <w:sectPr>
          <w:pgSz w:w="11900" w:h="16838" w:orient="portrait"/>
          <w:cols w:equalWidth="0" w:num="1">
            <w:col w:w="11240"/>
          </w:cols>
          <w:pgMar w:left="320" w:top="1371" w:right="339" w:bottom="1440" w:gutter="0" w:footer="0" w:header="0"/>
        </w:sectPr>
      </w:pPr>
    </w:p>
    <w:bookmarkStart w:id="205" w:name="page206"/>
    <w:bookmarkEnd w:id="205"/>
    <w:p>
      <w:pPr>
        <w:jc w:val="both"/>
        <w:ind w:left="-2" w:firstLine="1274"/>
        <w:spacing w:after="0" w:line="213" w:lineRule="auto"/>
        <w:tabs>
          <w:tab w:leader="none" w:pos="1900" w:val="left"/>
        </w:tabs>
        <w:numPr>
          <w:ilvl w:val="1"/>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Reallocation of Payments</w:t>
      </w:r>
      <w:r>
        <w:rPr>
          <w:rFonts w:ascii="Times New Roman" w:cs="Times New Roman" w:eastAsia="Times New Roman" w:hAnsi="Times New Roman"/>
          <w:sz w:val="21"/>
          <w:szCs w:val="21"/>
          <w:color w:val="auto"/>
        </w:rPr>
        <w:t>. Any payment of principal, interest, fees or other amounts received by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Administrative Agent for the account of that Defaulting Lender (whether voluntary or mandatory, at maturity, pursuant to </w:t>
      </w:r>
      <w:r>
        <w:rPr>
          <w:rFonts w:ascii="Times New Roman" w:cs="Times New Roman" w:eastAsia="Times New Roman" w:hAnsi="Times New Roman"/>
          <w:sz w:val="21"/>
          <w:szCs w:val="21"/>
          <w:u w:val="single" w:color="auto"/>
          <w:color w:val="auto"/>
        </w:rPr>
        <w:t>Article 8</w:t>
      </w:r>
      <w:r>
        <w:rPr>
          <w:rFonts w:ascii="Times New Roman" w:cs="Times New Roman" w:eastAsia="Times New Roman" w:hAnsi="Times New Roman"/>
          <w:sz w:val="21"/>
          <w:szCs w:val="21"/>
          <w:color w:val="auto"/>
        </w:rPr>
        <w:t xml:space="preserve"> or otherwise, and including any amounts made available to the Administrative Agent by that Defaulting Lender pursuant to </w:t>
      </w:r>
      <w:r>
        <w:rPr>
          <w:rFonts w:ascii="Times New Roman" w:cs="Times New Roman" w:eastAsia="Times New Roman" w:hAnsi="Times New Roman"/>
          <w:sz w:val="21"/>
          <w:szCs w:val="21"/>
          <w:u w:val="single" w:color="auto"/>
          <w:color w:val="auto"/>
        </w:rPr>
        <w:t>Section 10.08</w:t>
      </w:r>
      <w:r>
        <w:rPr>
          <w:rFonts w:ascii="Times New Roman" w:cs="Times New Roman" w:eastAsia="Times New Roman" w:hAnsi="Times New Roman"/>
          <w:sz w:val="21"/>
          <w:szCs w:val="21"/>
          <w:color w:val="auto"/>
        </w:rPr>
        <w:t xml:space="preserve">), shall be applied at such time or times as may be determined by the Administrative Agent as follows: </w:t>
      </w:r>
      <w:r>
        <w:rPr>
          <w:rFonts w:ascii="Times New Roman" w:cs="Times New Roman" w:eastAsia="Times New Roman" w:hAnsi="Times New Roman"/>
          <w:sz w:val="21"/>
          <w:szCs w:val="21"/>
          <w:i w:val="1"/>
          <w:iCs w:val="1"/>
          <w:color w:val="auto"/>
        </w:rPr>
        <w:t>first</w:t>
      </w:r>
      <w:r>
        <w:rPr>
          <w:rFonts w:ascii="Times New Roman" w:cs="Times New Roman" w:eastAsia="Times New Roman" w:hAnsi="Times New Roman"/>
          <w:sz w:val="21"/>
          <w:szCs w:val="21"/>
          <w:color w:val="auto"/>
        </w:rPr>
        <w:t xml:space="preserve">, to the payment of any amounts owing by that Defaulting Lender to the Administrative Agent hereunder; </w:t>
      </w:r>
      <w:r>
        <w:rPr>
          <w:rFonts w:ascii="Times New Roman" w:cs="Times New Roman" w:eastAsia="Times New Roman" w:hAnsi="Times New Roman"/>
          <w:sz w:val="21"/>
          <w:szCs w:val="21"/>
          <w:i w:val="1"/>
          <w:iCs w:val="1"/>
          <w:color w:val="auto"/>
        </w:rPr>
        <w:t>second</w:t>
      </w:r>
      <w:r>
        <w:rPr>
          <w:rFonts w:ascii="Times New Roman" w:cs="Times New Roman" w:eastAsia="Times New Roman" w:hAnsi="Times New Roman"/>
          <w:sz w:val="21"/>
          <w:szCs w:val="21"/>
          <w:color w:val="auto"/>
        </w:rPr>
        <w:t>, to the payment on a pro rata basis of any amounts owing by that Defaulting Lender to the L/C Issuers;</w:t>
      </w:r>
      <w:r>
        <w:rPr>
          <w:rFonts w:ascii="Times New Roman" w:cs="Times New Roman" w:eastAsia="Times New Roman" w:hAnsi="Times New Roman"/>
          <w:sz w:val="21"/>
          <w:szCs w:val="21"/>
          <w:i w:val="1"/>
          <w:iCs w:val="1"/>
          <w:color w:val="auto"/>
        </w:rPr>
        <w:t xml:space="preserve"> third</w:t>
      </w:r>
      <w:r>
        <w:rPr>
          <w:rFonts w:ascii="Times New Roman" w:cs="Times New Roman" w:eastAsia="Times New Roman" w:hAnsi="Times New Roman"/>
          <w:sz w:val="21"/>
          <w:szCs w:val="21"/>
          <w:color w:val="auto"/>
        </w:rPr>
        <w:t>, if so</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determined by the Administrative Agent or requested by any L/C Issuer, to be held as Cash Collateral for future funding obligations of that Defaulting Lender of any participation in any Letter of Credit; </w:t>
      </w:r>
      <w:r>
        <w:rPr>
          <w:rFonts w:ascii="Times New Roman" w:cs="Times New Roman" w:eastAsia="Times New Roman" w:hAnsi="Times New Roman"/>
          <w:sz w:val="21"/>
          <w:szCs w:val="21"/>
          <w:i w:val="1"/>
          <w:iCs w:val="1"/>
          <w:color w:val="auto"/>
        </w:rPr>
        <w:t>fourth</w:t>
      </w:r>
      <w:r>
        <w:rPr>
          <w:rFonts w:ascii="Times New Roman" w:cs="Times New Roman" w:eastAsia="Times New Roman" w:hAnsi="Times New Roman"/>
          <w:sz w:val="21"/>
          <w:szCs w:val="21"/>
          <w:color w:val="auto"/>
        </w:rPr>
        <w:t xml:space="preserve">, as the Borrower may request (so long as no Default exists), to the funding of any Loan in respect of which that Defaulting Lender has failed to fund its portion thereof as required by this Agreement, as determined by the Administrative Agent; </w:t>
      </w:r>
      <w:r>
        <w:rPr>
          <w:rFonts w:ascii="Times New Roman" w:cs="Times New Roman" w:eastAsia="Times New Roman" w:hAnsi="Times New Roman"/>
          <w:sz w:val="21"/>
          <w:szCs w:val="21"/>
          <w:i w:val="1"/>
          <w:iCs w:val="1"/>
          <w:color w:val="auto"/>
        </w:rPr>
        <w:t>fifth</w:t>
      </w:r>
      <w:r>
        <w:rPr>
          <w:rFonts w:ascii="Times New Roman" w:cs="Times New Roman" w:eastAsia="Times New Roman" w:hAnsi="Times New Roman"/>
          <w:sz w:val="21"/>
          <w:szCs w:val="21"/>
          <w:color w:val="auto"/>
        </w:rPr>
        <w:t xml:space="preserve">, if so determined by the Administrative Agent and the Borrower, to be held in a non-interest bearing deposit account and released in order to satisfy obligations of that Defaulting Lender to fund Loans under this Agreement; </w:t>
      </w:r>
      <w:r>
        <w:rPr>
          <w:rFonts w:ascii="Times New Roman" w:cs="Times New Roman" w:eastAsia="Times New Roman" w:hAnsi="Times New Roman"/>
          <w:sz w:val="21"/>
          <w:szCs w:val="21"/>
          <w:i w:val="1"/>
          <w:iCs w:val="1"/>
          <w:color w:val="auto"/>
        </w:rPr>
        <w:t>sixth</w:t>
      </w:r>
      <w:r>
        <w:rPr>
          <w:rFonts w:ascii="Times New Roman" w:cs="Times New Roman" w:eastAsia="Times New Roman" w:hAnsi="Times New Roman"/>
          <w:sz w:val="21"/>
          <w:szCs w:val="21"/>
          <w:color w:val="auto"/>
        </w:rPr>
        <w:t xml:space="preserve">, to the payment of any amounts owing to the Lenders or any L/C Issuer as a result of any judgment of a court of competent jurisdiction obtained by any Lender or any L/C Issuer against that Defaulting Lender as a result of that Defaulting Lender’s breach of its obligations under this Agreement; </w:t>
      </w:r>
      <w:r>
        <w:rPr>
          <w:rFonts w:ascii="Times New Roman" w:cs="Times New Roman" w:eastAsia="Times New Roman" w:hAnsi="Times New Roman"/>
          <w:sz w:val="21"/>
          <w:szCs w:val="21"/>
          <w:i w:val="1"/>
          <w:iCs w:val="1"/>
          <w:color w:val="auto"/>
        </w:rPr>
        <w:t>seventh</w:t>
      </w:r>
      <w:r>
        <w:rPr>
          <w:rFonts w:ascii="Times New Roman" w:cs="Times New Roman" w:eastAsia="Times New Roman" w:hAnsi="Times New Roman"/>
          <w:sz w:val="21"/>
          <w:szCs w:val="21"/>
          <w:color w:val="auto"/>
        </w:rPr>
        <w:t xml:space="preserve">, so long as no Default exists, to the payment of any amounts owing to the Borrower as a result of any judgment of a court of competent jurisdiction obtained by the Borrower against that Defaulting Lender as a result of that Defaulting Lender’s breach of its obligations under this Agreement; and </w:t>
      </w:r>
      <w:r>
        <w:rPr>
          <w:rFonts w:ascii="Times New Roman" w:cs="Times New Roman" w:eastAsia="Times New Roman" w:hAnsi="Times New Roman"/>
          <w:sz w:val="21"/>
          <w:szCs w:val="21"/>
          <w:i w:val="1"/>
          <w:iCs w:val="1"/>
          <w:color w:val="auto"/>
        </w:rPr>
        <w:t>eighth</w:t>
      </w:r>
      <w:r>
        <w:rPr>
          <w:rFonts w:ascii="Times New Roman" w:cs="Times New Roman" w:eastAsia="Times New Roman" w:hAnsi="Times New Roman"/>
          <w:sz w:val="21"/>
          <w:szCs w:val="21"/>
          <w:color w:val="auto"/>
        </w:rPr>
        <w:t xml:space="preserve">, to that Defaulting Lender or as otherwise directed by a court of competent jurisdiction;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(x) such payment is a payment of the principal amount of any Loans or L/C Borrowings in respect of which that Defaulting Lender has not fully funded its appropriate share and (y) such Loans or L/C Borrowings were made at a time when the conditions set forth in </w:t>
      </w:r>
      <w:r>
        <w:rPr>
          <w:rFonts w:ascii="Times New Roman" w:cs="Times New Roman" w:eastAsia="Times New Roman" w:hAnsi="Times New Roman"/>
          <w:sz w:val="21"/>
          <w:szCs w:val="21"/>
          <w:u w:val="single" w:color="auto"/>
          <w:color w:val="auto"/>
        </w:rPr>
        <w:t>Section 4.02</w:t>
      </w:r>
      <w:r>
        <w:rPr>
          <w:rFonts w:ascii="Times New Roman" w:cs="Times New Roman" w:eastAsia="Times New Roman" w:hAnsi="Times New Roman"/>
          <w:sz w:val="21"/>
          <w:szCs w:val="21"/>
          <w:color w:val="auto"/>
        </w:rPr>
        <w:t xml:space="preserve"> were satisfied or waived, such payment shall be applied solely to pay the Loans of, and L/C Borrowings owed to, all non-Defaulting Lenders on a pro rata basis prior to being applied to the payment of any Loans of, or L/C Borrowings owed to, that Defaulting Lender. Any payments, prepayments or other amounts paid or payable to a Defaulting Lender that are applied (or held) to pay amounts owed by a Defaulting Lender or to post Cash Collateral pursuant to this </w:t>
      </w:r>
      <w:r>
        <w:rPr>
          <w:rFonts w:ascii="Times New Roman" w:cs="Times New Roman" w:eastAsia="Times New Roman" w:hAnsi="Times New Roman"/>
          <w:sz w:val="21"/>
          <w:szCs w:val="21"/>
          <w:u w:val="single" w:color="auto"/>
          <w:color w:val="auto"/>
        </w:rPr>
        <w:t>Section 2.16(a)(ii)</w:t>
      </w:r>
      <w:r>
        <w:rPr>
          <w:rFonts w:ascii="Times New Roman" w:cs="Times New Roman" w:eastAsia="Times New Roman" w:hAnsi="Times New Roman"/>
          <w:sz w:val="21"/>
          <w:szCs w:val="21"/>
          <w:color w:val="auto"/>
        </w:rPr>
        <w:t xml:space="preserve"> shall be deemed paid to and redirected by that Defaulting Lender, and each Lender irrevocably consents hereto.</w:t>
      </w:r>
    </w:p>
    <w:p>
      <w:pPr>
        <w:spacing w:after="0" w:line="154" w:lineRule="exact"/>
        <w:rPr>
          <w:rFonts w:ascii="Times New Roman" w:cs="Times New Roman" w:eastAsia="Times New Roman" w:hAnsi="Times New Roman"/>
          <w:sz w:val="21"/>
          <w:szCs w:val="21"/>
          <w:color w:val="auto"/>
        </w:rPr>
      </w:pPr>
    </w:p>
    <w:p>
      <w:pPr>
        <w:jc w:val="both"/>
        <w:ind w:left="-2" w:firstLine="1274"/>
        <w:spacing w:after="0" w:line="214" w:lineRule="auto"/>
        <w:tabs>
          <w:tab w:leader="none" w:pos="1906" w:val="left"/>
        </w:tabs>
        <w:numPr>
          <w:ilvl w:val="1"/>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Certain Fees</w:t>
      </w:r>
      <w:r>
        <w:rPr>
          <w:rFonts w:ascii="Times New Roman" w:cs="Times New Roman" w:eastAsia="Times New Roman" w:hAnsi="Times New Roman"/>
          <w:sz w:val="21"/>
          <w:szCs w:val="21"/>
          <w:color w:val="auto"/>
        </w:rPr>
        <w:t>. That Defaulting Lender (x) shall not be entitled to receive a commitment fee pursuant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to </w:t>
      </w:r>
      <w:r>
        <w:rPr>
          <w:rFonts w:ascii="Times New Roman" w:cs="Times New Roman" w:eastAsia="Times New Roman" w:hAnsi="Times New Roman"/>
          <w:sz w:val="21"/>
          <w:szCs w:val="21"/>
          <w:u w:val="single" w:color="auto"/>
          <w:color w:val="auto"/>
        </w:rPr>
        <w:t>Section 2.09(a)</w:t>
      </w:r>
      <w:r>
        <w:rPr>
          <w:rFonts w:ascii="Times New Roman" w:cs="Times New Roman" w:eastAsia="Times New Roman" w:hAnsi="Times New Roman"/>
          <w:sz w:val="21"/>
          <w:szCs w:val="21"/>
          <w:color w:val="auto"/>
        </w:rPr>
        <w:t xml:space="preserve"> for any period during which that Lender is a Defaulting Lender (and the Borrower shall not be required to pay any such fee that otherwise would have been required to have been paid to that Defaulting Lender) and (y) shall be limited in its right to receive Letter of Credit Fees as provided in </w:t>
      </w:r>
      <w:r>
        <w:rPr>
          <w:rFonts w:ascii="Times New Roman" w:cs="Times New Roman" w:eastAsia="Times New Roman" w:hAnsi="Times New Roman"/>
          <w:sz w:val="21"/>
          <w:szCs w:val="21"/>
          <w:u w:val="single" w:color="auto"/>
          <w:color w:val="auto"/>
        </w:rPr>
        <w:t>Section 2.03(h)</w:t>
      </w:r>
      <w:r>
        <w:rPr>
          <w:rFonts w:ascii="Times New Roman" w:cs="Times New Roman" w:eastAsia="Times New Roman" w:hAnsi="Times New Roman"/>
          <w:sz w:val="21"/>
          <w:szCs w:val="21"/>
          <w:color w:val="auto"/>
        </w:rPr>
        <w:t xml:space="preserve">. With respect to any fee not required to be paid to any Defaulting Lender pursuant to this </w:t>
      </w:r>
      <w:r>
        <w:rPr>
          <w:rFonts w:ascii="Times New Roman" w:cs="Times New Roman" w:eastAsia="Times New Roman" w:hAnsi="Times New Roman"/>
          <w:sz w:val="21"/>
          <w:szCs w:val="21"/>
          <w:u w:val="single" w:color="auto"/>
          <w:color w:val="auto"/>
        </w:rPr>
        <w:t>Section 2.16(a)(iii)</w:t>
      </w:r>
      <w:r>
        <w:rPr>
          <w:rFonts w:ascii="Times New Roman" w:cs="Times New Roman" w:eastAsia="Times New Roman" w:hAnsi="Times New Roman"/>
          <w:sz w:val="21"/>
          <w:szCs w:val="21"/>
          <w:color w:val="auto"/>
        </w:rPr>
        <w:t xml:space="preserve">, the Borrower shall (1) pay to each Lender that is not a Defaulting Lender that portion of any such fee otherwise payable to such Defaulting Lender with respect to such Defaulting Lender’s participation in Letters of Credit that has been reallocated to such non-Defaulting Lender pursuant to </w:t>
      </w:r>
      <w:r>
        <w:rPr>
          <w:rFonts w:ascii="Times New Roman" w:cs="Times New Roman" w:eastAsia="Times New Roman" w:hAnsi="Times New Roman"/>
          <w:sz w:val="21"/>
          <w:szCs w:val="21"/>
          <w:u w:val="single" w:color="auto"/>
          <w:color w:val="auto"/>
        </w:rPr>
        <w:t>Section 2.03</w:t>
      </w:r>
      <w:r>
        <w:rPr>
          <w:rFonts w:ascii="Times New Roman" w:cs="Times New Roman" w:eastAsia="Times New Roman" w:hAnsi="Times New Roman"/>
          <w:sz w:val="21"/>
          <w:szCs w:val="21"/>
          <w:color w:val="auto"/>
        </w:rPr>
        <w:t>,</w:t>
      </w:r>
    </w:p>
    <w:p>
      <w:pPr>
        <w:spacing w:after="0" w:line="2" w:lineRule="exact"/>
        <w:rPr>
          <w:rFonts w:ascii="Times New Roman" w:cs="Times New Roman" w:eastAsia="Times New Roman" w:hAnsi="Times New Roman"/>
          <w:sz w:val="21"/>
          <w:szCs w:val="21"/>
          <w:color w:val="auto"/>
        </w:rPr>
      </w:pPr>
    </w:p>
    <w:p>
      <w:pPr>
        <w:jc w:val="both"/>
        <w:ind w:left="-2" w:firstLine="2"/>
        <w:spacing w:after="0" w:line="224" w:lineRule="auto"/>
        <w:tabs>
          <w:tab w:leader="none" w:pos="300" w:val="left"/>
        </w:tabs>
        <w:numPr>
          <w:ilvl w:val="0"/>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pay to each L/C Issuer the amount of any such fee otherwise payable to such Defaulting Lender to the extent allocable to such L/C Issuer’s Fronting Exposure to such Defaulting Lender, and (3) not be required to pay the remaining amount of any such fee.</w:t>
      </w:r>
    </w:p>
    <w:p>
      <w:pPr>
        <w:spacing w:after="0" w:line="145" w:lineRule="exact"/>
        <w:rPr>
          <w:rFonts w:ascii="Times New Roman" w:cs="Times New Roman" w:eastAsia="Times New Roman" w:hAnsi="Times New Roman"/>
          <w:sz w:val="21"/>
          <w:szCs w:val="21"/>
          <w:color w:val="auto"/>
        </w:rPr>
      </w:pPr>
    </w:p>
    <w:p>
      <w:pPr>
        <w:jc w:val="both"/>
        <w:ind w:left="-2" w:firstLine="1274"/>
        <w:spacing w:after="0" w:line="232" w:lineRule="auto"/>
        <w:tabs>
          <w:tab w:leader="none" w:pos="1894" w:val="left"/>
        </w:tabs>
        <w:numPr>
          <w:ilvl w:val="1"/>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Reallocation of Applicable Percentages to Reduce Fronting Exposure</w:t>
      </w:r>
      <w:r>
        <w:rPr>
          <w:rFonts w:ascii="Times New Roman" w:cs="Times New Roman" w:eastAsia="Times New Roman" w:hAnsi="Times New Roman"/>
          <w:sz w:val="21"/>
          <w:szCs w:val="21"/>
          <w:color w:val="auto"/>
        </w:rPr>
        <w:t>. During any period in which</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there is a Defaulting Lender in respect of the Revolving Credit Facility, for purposes of computing the amount of the obligation of each Revolving Credit Lender that is not a Defaulting Lender to acquire, refinance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818"/>
        <w:spacing w:after="0"/>
        <w:rPr>
          <w:sz w:val="20"/>
          <w:szCs w:val="20"/>
          <w:color w:val="auto"/>
        </w:rPr>
      </w:pPr>
      <w:r>
        <w:rPr>
          <w:rFonts w:ascii="Times New Roman" w:cs="Times New Roman" w:eastAsia="Times New Roman" w:hAnsi="Times New Roman"/>
          <w:sz w:val="21"/>
          <w:szCs w:val="21"/>
          <w:color w:val="auto"/>
        </w:rPr>
        <w:t>100</w:t>
      </w:r>
    </w:p>
    <w:p>
      <w:pPr>
        <w:sectPr>
          <w:pgSz w:w="11900" w:h="16838" w:orient="portrait"/>
          <w:cols w:equalWidth="0" w:num="1">
            <w:col w:w="10598"/>
          </w:cols>
          <w:pgMar w:left="962" w:top="1369" w:right="339" w:bottom="1440" w:gutter="0" w:footer="0" w:header="0"/>
        </w:sectPr>
      </w:pPr>
    </w:p>
    <w:bookmarkStart w:id="206" w:name="page207"/>
    <w:bookmarkEnd w:id="206"/>
    <w:p>
      <w:pPr>
        <w:jc w:val="both"/>
        <w:ind w:left="640"/>
        <w:spacing w:after="0" w:line="217" w:lineRule="auto"/>
        <w:rPr>
          <w:sz w:val="20"/>
          <w:szCs w:val="20"/>
          <w:color w:val="auto"/>
        </w:rPr>
      </w:pPr>
      <w:r>
        <w:rPr>
          <w:rFonts w:ascii="Times New Roman" w:cs="Times New Roman" w:eastAsia="Times New Roman" w:hAnsi="Times New Roman"/>
          <w:sz w:val="21"/>
          <w:szCs w:val="21"/>
          <w:color w:val="auto"/>
        </w:rPr>
        <w:t xml:space="preserve">fund participations in Letters of Credit pursuant to </w:t>
      </w:r>
      <w:r>
        <w:rPr>
          <w:rFonts w:ascii="Times New Roman" w:cs="Times New Roman" w:eastAsia="Times New Roman" w:hAnsi="Times New Roman"/>
          <w:sz w:val="21"/>
          <w:szCs w:val="21"/>
          <w:u w:val="single" w:color="auto"/>
          <w:color w:val="auto"/>
        </w:rPr>
        <w:t>Section 2.03</w:t>
      </w:r>
      <w:r>
        <w:rPr>
          <w:rFonts w:ascii="Times New Roman" w:cs="Times New Roman" w:eastAsia="Times New Roman" w:hAnsi="Times New Roman"/>
          <w:sz w:val="21"/>
          <w:szCs w:val="21"/>
          <w:color w:val="auto"/>
        </w:rPr>
        <w:t xml:space="preserve">, the “Applicable Percentage” and “Applicable Revolving Credit Percentage” of each Revolving Credit Lender that is not a Defaulting Lender in respect of the Revolving Credit Facility shall be computed without giving effect to the Revolving Credit Commitment of that Defaulting Lender;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 each such reallocation shall be given effect only if, at the date the applicable Revolving Credit Lender becomes a Defaulting Lender, no Default exists; and (ii) the aggregate obligation of each Revolving Credit Lender that is not a Defaulting Lender to acquire, refinance or fund participations in Letters of Credit shall not exceed the positive difference, if any, of (x) the Revolving Credit Commitment of that Revolving Credit Lender that is not a Defaulting Lender </w:t>
      </w:r>
      <w:r>
        <w:rPr>
          <w:rFonts w:ascii="Times New Roman" w:cs="Times New Roman" w:eastAsia="Times New Roman" w:hAnsi="Times New Roman"/>
          <w:sz w:val="21"/>
          <w:szCs w:val="21"/>
          <w:u w:val="single" w:color="auto"/>
          <w:color w:val="auto"/>
        </w:rPr>
        <w:t>minus</w:t>
      </w:r>
      <w:r>
        <w:rPr>
          <w:rFonts w:ascii="Times New Roman" w:cs="Times New Roman" w:eastAsia="Times New Roman" w:hAnsi="Times New Roman"/>
          <w:sz w:val="21"/>
          <w:szCs w:val="21"/>
          <w:color w:val="auto"/>
        </w:rPr>
        <w:t xml:space="preserve"> (y) the aggregate Outstanding Amount of the Revolving Credit Loans of such Revolving Credit Lender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such Revolving Credit Lender’s Applicable Revolving Credit Percentage of the Outstanding Amount of all L/C Obligations.</w:t>
      </w:r>
    </w:p>
    <w:p>
      <w:pPr>
        <w:spacing w:after="0" w:line="153" w:lineRule="exact"/>
        <w:rPr>
          <w:sz w:val="20"/>
          <w:szCs w:val="20"/>
          <w:color w:val="auto"/>
        </w:rPr>
      </w:pPr>
    </w:p>
    <w:p>
      <w:pPr>
        <w:jc w:val="both"/>
        <w:ind w:firstLine="1278"/>
        <w:spacing w:after="0" w:line="215" w:lineRule="auto"/>
        <w:tabs>
          <w:tab w:leader="none" w:pos="1903" w:val="left"/>
        </w:tabs>
        <w:numPr>
          <w:ilvl w:val="0"/>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Defaulting Lender Cure</w:t>
      </w:r>
      <w:r>
        <w:rPr>
          <w:rFonts w:ascii="Times New Roman" w:cs="Times New Roman" w:eastAsia="Times New Roman" w:hAnsi="Times New Roman"/>
          <w:sz w:val="21"/>
          <w:szCs w:val="21"/>
          <w:color w:val="auto"/>
        </w:rPr>
        <w:t>. If the Borrower, the Administrative Agent and the L/C Issuers agree in writing in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their sole discretion that a Defaulting Lender should no longer be deemed to be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(and shall pay to such other Lenders any break funding costs that such other Lenders may incur as a result of such purchase) or take such other actions as the Administrative Agent may determine to be necessary to cause the Loans and funded and unfunded participations in Letters of Credit to be held on a pro rata basis by the Revolving Credit Lenders in accordance with their Applicable Revolving Credit Percentages (without giving effect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2.16(a)(iv)</w:t>
      </w:r>
      <w:r>
        <w:rPr>
          <w:rFonts w:ascii="Times New Roman" w:cs="Times New Roman" w:eastAsia="Times New Roman" w:hAnsi="Times New Roman"/>
          <w:sz w:val="21"/>
          <w:szCs w:val="21"/>
          <w:color w:val="auto"/>
        </w:rPr>
        <w:t xml:space="preserve">), whereupon that Lender will cease to be a Defaulting Lender;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no adjustments will be made retroactively with respect to fees accrued or payments made by or on behalf of the Borrower while that Lender was a Defaulting Lender; and </w:t>
      </w:r>
      <w:r>
        <w:rPr>
          <w:rFonts w:ascii="Times New Roman" w:cs="Times New Roman" w:eastAsia="Times New Roman" w:hAnsi="Times New Roman"/>
          <w:sz w:val="21"/>
          <w:szCs w:val="21"/>
          <w:i w:val="1"/>
          <w:iCs w:val="1"/>
          <w:color w:val="auto"/>
        </w:rPr>
        <w:t xml:space="preserve">provided, further, </w:t>
      </w:r>
      <w:r>
        <w:rPr>
          <w:rFonts w:ascii="Times New Roman" w:cs="Times New Roman" w:eastAsia="Times New Roman" w:hAnsi="Times New Roman"/>
          <w:sz w:val="21"/>
          <w:szCs w:val="21"/>
          <w:color w:val="auto"/>
        </w:rPr>
        <w:t>that except to the extent otherwise expressly agreed by the affected parties, no change hereunder from Defaulting</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Lender to Revolving Credit Lender will constitute a waiver or release of any claim of any party hereunder arising from that Revolving Credit Lender’s having been a Defaulting Lender.</w:t>
      </w:r>
    </w:p>
    <w:p>
      <w:pPr>
        <w:spacing w:after="0" w:line="156"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color w:val="auto"/>
        </w:rPr>
        <w:t>Section 2.17</w:t>
      </w:r>
      <w:r>
        <w:rPr>
          <w:sz w:val="20"/>
          <w:szCs w:val="20"/>
          <w:color w:val="auto"/>
        </w:rPr>
        <w:tab/>
      </w:r>
      <w:r>
        <w:rPr>
          <w:rFonts w:ascii="Times New Roman" w:cs="Times New Roman" w:eastAsia="Times New Roman" w:hAnsi="Times New Roman"/>
          <w:sz w:val="21"/>
          <w:szCs w:val="21"/>
          <w:i w:val="1"/>
          <w:iCs w:val="1"/>
          <w:color w:val="auto"/>
        </w:rPr>
        <w:t>Refinancing Facilities</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p>
    <w:p>
      <w:pPr>
        <w:spacing w:after="0" w:line="196" w:lineRule="exact"/>
        <w:rPr>
          <w:sz w:val="20"/>
          <w:szCs w:val="20"/>
          <w:color w:val="auto"/>
        </w:rPr>
      </w:pPr>
    </w:p>
    <w:p>
      <w:pPr>
        <w:jc w:val="both"/>
        <w:ind w:firstLine="1278"/>
        <w:spacing w:after="0" w:line="235" w:lineRule="auto"/>
        <w:tabs>
          <w:tab w:leader="none" w:pos="1905" w:val="left"/>
        </w:tabs>
        <w:numPr>
          <w:ilvl w:val="0"/>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On one or more occasions, the Borrower may obtain, from any Lender or any other bank or financial institution or other institutional lender or investor that would constitute an Eligible Assignee if it were purchasing Loans hereunder and that agrees to provide any portion of Refinancing Term Commitments, Refinancing Term Loans, Other Revolving Commitments or Other Revolving Loans, Credit Agreement Refinancing Indebtedness in the form of Refinancing Term Commitments, Refinancing Term Loans, Other Revolving Commitments or Other Revolving Loans, in each case pursuant to a Refinancing Amendment in accordance with this </w:t>
      </w:r>
      <w:r>
        <w:rPr>
          <w:rFonts w:ascii="Times New Roman" w:cs="Times New Roman" w:eastAsia="Times New Roman" w:hAnsi="Times New Roman"/>
          <w:sz w:val="21"/>
          <w:szCs w:val="21"/>
          <w:u w:val="single" w:color="auto"/>
          <w:color w:val="auto"/>
        </w:rPr>
        <w:t>Section 2.17</w:t>
      </w:r>
      <w:r>
        <w:rPr>
          <w:rFonts w:ascii="Times New Roman" w:cs="Times New Roman" w:eastAsia="Times New Roman" w:hAnsi="Times New Roman"/>
          <w:sz w:val="21"/>
          <w:szCs w:val="21"/>
          <w:color w:val="auto"/>
        </w:rPr>
        <w:t xml:space="preserve"> (each, an “</w:t>
      </w:r>
      <w:r>
        <w:rPr>
          <w:rFonts w:ascii="Times New Roman" w:cs="Times New Roman" w:eastAsia="Times New Roman" w:hAnsi="Times New Roman"/>
          <w:sz w:val="21"/>
          <w:szCs w:val="21"/>
          <w:b w:val="1"/>
          <w:bCs w:val="1"/>
          <w:color w:val="auto"/>
        </w:rPr>
        <w:t>Additional Refinancing Lender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 the Administrative Agent and each L/C Issuer shall have consented (such consent not to be unreasonably withheld, conditioned, or delayed) to such Lender’s or Additional Refinancing Lender’s providing such Refinancing Term Commitments, Refinancing Term Loans, Other Revolving Commitments or Other Revolving Loans to the extent such consent, if any, would be required under </w:t>
      </w:r>
      <w:r>
        <w:rPr>
          <w:rFonts w:ascii="Times New Roman" w:cs="Times New Roman" w:eastAsia="Times New Roman" w:hAnsi="Times New Roman"/>
          <w:sz w:val="21"/>
          <w:szCs w:val="21"/>
          <w:u w:val="single" w:color="auto"/>
          <w:color w:val="auto"/>
        </w:rPr>
        <w:t>Section 10.06</w:t>
      </w:r>
      <w:r>
        <w:rPr>
          <w:rFonts w:ascii="Times New Roman" w:cs="Times New Roman" w:eastAsia="Times New Roman" w:hAnsi="Times New Roman"/>
          <w:sz w:val="21"/>
          <w:szCs w:val="21"/>
          <w:color w:val="auto"/>
        </w:rPr>
        <w:t xml:space="preserve"> for an assignment of Refinancing Term Commitments, Refinancing Term Loans, Other Revolving Commitments or Other Revolving Loans, as applicable, to such Lender or Additional Refinancing Lender;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further</w:t>
      </w:r>
      <w:r>
        <w:rPr>
          <w:rFonts w:ascii="Times New Roman" w:cs="Times New Roman" w:eastAsia="Times New Roman" w:hAnsi="Times New Roman"/>
          <w:sz w:val="21"/>
          <w:szCs w:val="21"/>
          <w:color w:val="auto"/>
        </w:rPr>
        <w:t>, that the following terms are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101</w:t>
      </w:r>
    </w:p>
    <w:p>
      <w:pPr>
        <w:sectPr>
          <w:pgSz w:w="11900" w:h="16838" w:orient="portrait"/>
          <w:cols w:equalWidth="0" w:num="1">
            <w:col w:w="11240"/>
          </w:cols>
          <w:pgMar w:left="320" w:top="1371" w:right="339" w:bottom="1440" w:gutter="0" w:footer="0" w:header="0"/>
        </w:sectPr>
      </w:pPr>
    </w:p>
    <w:bookmarkStart w:id="207" w:name="page208"/>
    <w:bookmarkEnd w:id="207"/>
    <w:p>
      <w:pPr>
        <w:jc w:val="both"/>
        <w:ind w:left="640" w:firstLine="1274"/>
        <w:spacing w:after="0" w:line="226" w:lineRule="auto"/>
        <w:tabs>
          <w:tab w:leader="none" w:pos="2536" w:val="left"/>
        </w:tabs>
        <w:numPr>
          <w:ilvl w:val="2"/>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Refinancing Term Loans may participate on a pro rata basis or on a less than pro rata basis (but not on a greater than pro rata basis) as among the various Classes of Term Loans (in accordance with the respective outstanding principal amounts thereof) in any voluntary or mandatory repayments or prepayments of Term Loans hereunder, as specified in the applicable Refinancing Amendment;</w:t>
      </w:r>
    </w:p>
    <w:p>
      <w:pPr>
        <w:spacing w:after="0" w:line="150" w:lineRule="exact"/>
        <w:rPr>
          <w:rFonts w:ascii="Times New Roman" w:cs="Times New Roman" w:eastAsia="Times New Roman" w:hAnsi="Times New Roman"/>
          <w:sz w:val="21"/>
          <w:szCs w:val="21"/>
          <w:color w:val="auto"/>
        </w:rPr>
      </w:pPr>
    </w:p>
    <w:p>
      <w:pPr>
        <w:jc w:val="both"/>
        <w:ind w:left="640" w:firstLine="1274"/>
        <w:spacing w:after="0" w:line="223" w:lineRule="auto"/>
        <w:tabs>
          <w:tab w:leader="none" w:pos="2542" w:val="left"/>
        </w:tabs>
        <w:numPr>
          <w:ilvl w:val="2"/>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(x) all Other Revolving Commitments shall be deemed to be Revolving Credit Commitments for purposes of borrowings and prepayments of Revolving Credit Loans and participations in Letters of Credit and (y) the borrowing and repayment of Other Revolving Loans and the termination or reduction of Other Revolving Commitments after the date of obtaining any Other Revolving Commitments shall be made on a pro rata basis or non-pro rata basis with all other Revolving Commitments as directed by the Borrower;</w:t>
      </w:r>
    </w:p>
    <w:p>
      <w:pPr>
        <w:spacing w:after="0" w:line="150" w:lineRule="exact"/>
        <w:rPr>
          <w:rFonts w:ascii="Times New Roman" w:cs="Times New Roman" w:eastAsia="Times New Roman" w:hAnsi="Times New Roman"/>
          <w:sz w:val="21"/>
          <w:szCs w:val="21"/>
          <w:color w:val="auto"/>
        </w:rPr>
      </w:pPr>
    </w:p>
    <w:p>
      <w:pPr>
        <w:jc w:val="both"/>
        <w:ind w:left="640" w:firstLine="1274"/>
        <w:spacing w:after="0" w:line="226" w:lineRule="auto"/>
        <w:tabs>
          <w:tab w:leader="none" w:pos="2548" w:val="left"/>
        </w:tabs>
        <w:numPr>
          <w:ilvl w:val="2"/>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the provisions of </w:t>
      </w:r>
      <w:r>
        <w:rPr>
          <w:rFonts w:ascii="Times New Roman" w:cs="Times New Roman" w:eastAsia="Times New Roman" w:hAnsi="Times New Roman"/>
          <w:sz w:val="21"/>
          <w:szCs w:val="21"/>
          <w:u w:val="single" w:color="auto"/>
          <w:color w:val="auto"/>
        </w:rPr>
        <w:t>Section 2.03(k)</w:t>
      </w:r>
      <w:r>
        <w:rPr>
          <w:rFonts w:ascii="Times New Roman" w:cs="Times New Roman" w:eastAsia="Times New Roman" w:hAnsi="Times New Roman"/>
          <w:sz w:val="21"/>
          <w:szCs w:val="21"/>
          <w:color w:val="auto"/>
        </w:rPr>
        <w:t xml:space="preserve"> to the extent dealing with Letters of Credit which mature or expire after a maturity date when there exist Other Revolving Commitments with a longer maturity date, all Letters of Credit shall be participated on a pro rata basis by all Lenders with Revolving Credit Commitments (including Other Revolving Commitments) in accordance with their Applicable Revolving Credit Percentage; and</w:t>
      </w:r>
    </w:p>
    <w:p>
      <w:pPr>
        <w:spacing w:after="0" w:line="150" w:lineRule="exact"/>
        <w:rPr>
          <w:rFonts w:ascii="Times New Roman" w:cs="Times New Roman" w:eastAsia="Times New Roman" w:hAnsi="Times New Roman"/>
          <w:sz w:val="21"/>
          <w:szCs w:val="21"/>
          <w:color w:val="auto"/>
        </w:rPr>
      </w:pPr>
    </w:p>
    <w:p>
      <w:pPr>
        <w:jc w:val="both"/>
        <w:ind w:left="640" w:firstLine="1274"/>
        <w:spacing w:after="0" w:line="232" w:lineRule="auto"/>
        <w:tabs>
          <w:tab w:leader="none" w:pos="2536" w:val="left"/>
        </w:tabs>
        <w:numPr>
          <w:ilvl w:val="2"/>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assignments and participations of Other Revolving Commitments and Other Revolving Loans shall be governed by the same assignment and participation provisions applicable to </w:t>
      </w:r>
      <w:r>
        <w:rPr>
          <w:rFonts w:ascii="Times New Roman" w:cs="Times New Roman" w:eastAsia="Times New Roman" w:hAnsi="Times New Roman"/>
          <w:sz w:val="21"/>
          <w:szCs w:val="21"/>
          <w:b w:val="1"/>
          <w:bCs w:val="1"/>
          <w:color w:val="FF0000"/>
          <w:strike w:val="1"/>
        </w:rPr>
        <w:t>Original</w:t>
      </w:r>
      <w:r>
        <w:rPr>
          <w:rFonts w:ascii="Times New Roman" w:cs="Times New Roman" w:eastAsia="Times New Roman" w:hAnsi="Times New Roman"/>
          <w:sz w:val="21"/>
          <w:szCs w:val="21"/>
          <w:b w:val="1"/>
          <w:bCs w:val="1"/>
          <w:u w:val="single" w:color="auto"/>
          <w:color w:val="0000FF"/>
        </w:rPr>
        <w:t>2025</w:t>
      </w:r>
      <w:r>
        <w:rPr>
          <w:rFonts w:ascii="Times New Roman" w:cs="Times New Roman" w:eastAsia="Times New Roman" w:hAnsi="Times New Roman"/>
          <w:sz w:val="21"/>
          <w:szCs w:val="21"/>
          <w:color w:val="auto"/>
        </w:rPr>
        <w:t xml:space="preserve"> Revolving Credit Commitments and </w:t>
      </w:r>
      <w:r>
        <w:rPr>
          <w:rFonts w:ascii="Times New Roman" w:cs="Times New Roman" w:eastAsia="Times New Roman" w:hAnsi="Times New Roman"/>
          <w:sz w:val="21"/>
          <w:szCs w:val="21"/>
          <w:b w:val="1"/>
          <w:bCs w:val="1"/>
          <w:color w:val="FF0000"/>
          <w:strike w:val="1"/>
        </w:rPr>
        <w:t>Original</w:t>
      </w:r>
      <w:r>
        <w:rPr>
          <w:rFonts w:ascii="Times New Roman" w:cs="Times New Roman" w:eastAsia="Times New Roman" w:hAnsi="Times New Roman"/>
          <w:sz w:val="21"/>
          <w:szCs w:val="21"/>
          <w:b w:val="1"/>
          <w:bCs w:val="1"/>
          <w:u w:val="single" w:color="auto"/>
          <w:color w:val="0000FF"/>
        </w:rPr>
        <w:t>2025</w:t>
      </w:r>
      <w:r>
        <w:rPr>
          <w:rFonts w:ascii="Times New Roman" w:cs="Times New Roman" w:eastAsia="Times New Roman" w:hAnsi="Times New Roman"/>
          <w:sz w:val="21"/>
          <w:szCs w:val="21"/>
          <w:color w:val="auto"/>
        </w:rPr>
        <w:t xml:space="preserve"> Revolving Credit Loans.</w:t>
      </w:r>
    </w:p>
    <w:p>
      <w:pPr>
        <w:spacing w:after="0" w:line="147" w:lineRule="exact"/>
        <w:rPr>
          <w:rFonts w:ascii="Times New Roman" w:cs="Times New Roman" w:eastAsia="Times New Roman" w:hAnsi="Times New Roman"/>
          <w:sz w:val="21"/>
          <w:szCs w:val="21"/>
          <w:color w:val="auto"/>
        </w:rPr>
      </w:pPr>
    </w:p>
    <w:p>
      <w:pPr>
        <w:jc w:val="both"/>
        <w:ind w:firstLine="1278"/>
        <w:spacing w:after="0" w:line="219" w:lineRule="auto"/>
        <w:tabs>
          <w:tab w:leader="none" w:pos="1903" w:val="left"/>
        </w:tabs>
        <w:numPr>
          <w:ilvl w:val="1"/>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effectiveness of any Refinancing Amendment shall be subject to the satisfaction on the date thereof of each of the conditions set forth in </w:t>
      </w:r>
      <w:r>
        <w:rPr>
          <w:rFonts w:ascii="Times New Roman" w:cs="Times New Roman" w:eastAsia="Times New Roman" w:hAnsi="Times New Roman"/>
          <w:sz w:val="21"/>
          <w:szCs w:val="21"/>
          <w:u w:val="single" w:color="auto"/>
          <w:color w:val="auto"/>
        </w:rPr>
        <w:t>Section 4.02</w:t>
      </w:r>
      <w:r>
        <w:rPr>
          <w:rFonts w:ascii="Times New Roman" w:cs="Times New Roman" w:eastAsia="Times New Roman" w:hAnsi="Times New Roman"/>
          <w:sz w:val="21"/>
          <w:szCs w:val="21"/>
          <w:color w:val="auto"/>
        </w:rPr>
        <w:t xml:space="preserve"> and, to the extent reasonably requested by the Administrative Agent, receipt by the Administrative Agent of (i) customary legal opinions, board resolutions and </w:t>
      </w:r>
      <w:r>
        <w:rPr>
          <w:rFonts w:ascii="Times New Roman" w:cs="Times New Roman" w:eastAsia="Times New Roman" w:hAnsi="Times New Roman"/>
          <w:sz w:val="21"/>
          <w:szCs w:val="21"/>
          <w:b w:val="1"/>
          <w:bCs w:val="1"/>
          <w:color w:val="FF0000"/>
          <w:strike w:val="1"/>
        </w:rPr>
        <w:t>officers</w:t>
      </w:r>
      <w:r>
        <w:rPr>
          <w:rFonts w:ascii="Times New Roman" w:cs="Times New Roman" w:eastAsia="Times New Roman" w:hAnsi="Times New Roman"/>
          <w:sz w:val="21"/>
          <w:szCs w:val="21"/>
          <w:b w:val="1"/>
          <w:bCs w:val="1"/>
          <w:u w:val="single" w:color="auto"/>
          <w:color w:val="0000FF"/>
        </w:rPr>
        <w:t>officer</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0000FF"/>
        </w:rPr>
        <w:t>s</w:t>
      </w:r>
      <w:r>
        <w:rPr>
          <w:rFonts w:ascii="Times New Roman" w:cs="Times New Roman" w:eastAsia="Times New Roman" w:hAnsi="Times New Roman"/>
          <w:sz w:val="21"/>
          <w:szCs w:val="21"/>
          <w:color w:val="auto"/>
        </w:rPr>
        <w:t xml:space="preserve"> certificates consistent with those delivered on the Closing Date other than changes to such legal opinions resulting from a Change in Law, change in fact or change to counsel’s form of opinion reasonably satisfactory to the Administrative Agent and (ii) reaffirmation agreements and/or such amendments to the Collateral Documents as may be reasonably requested by the Administrative Agent in order to ensure that the enforceability of the Collateral Documents and the perfection and priority of the Liens thereunder are preserved and maintained.</w:t>
      </w:r>
    </w:p>
    <w:p>
      <w:pPr>
        <w:spacing w:after="0" w:line="153" w:lineRule="exact"/>
        <w:rPr>
          <w:rFonts w:ascii="Times New Roman" w:cs="Times New Roman" w:eastAsia="Times New Roman" w:hAnsi="Times New Roman"/>
          <w:sz w:val="21"/>
          <w:szCs w:val="21"/>
          <w:color w:val="auto"/>
        </w:rPr>
      </w:pPr>
    </w:p>
    <w:p>
      <w:pPr>
        <w:ind w:firstLine="1278"/>
        <w:spacing w:after="0" w:line="245" w:lineRule="auto"/>
        <w:tabs>
          <w:tab w:leader="none" w:pos="1905" w:val="left"/>
        </w:tabs>
        <w:numPr>
          <w:ilvl w:val="1"/>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issuance of Credit Agreement Refinancing Indebtedness under </w:t>
      </w:r>
      <w:r>
        <w:rPr>
          <w:rFonts w:ascii="Times New Roman" w:cs="Times New Roman" w:eastAsia="Times New Roman" w:hAnsi="Times New Roman"/>
          <w:sz w:val="21"/>
          <w:szCs w:val="21"/>
          <w:u w:val="single" w:color="auto"/>
          <w:color w:val="auto"/>
        </w:rPr>
        <w:t>Section 2.17(a)</w:t>
      </w:r>
      <w:r>
        <w:rPr>
          <w:rFonts w:ascii="Times New Roman" w:cs="Times New Roman" w:eastAsia="Times New Roman" w:hAnsi="Times New Roman"/>
          <w:sz w:val="21"/>
          <w:szCs w:val="21"/>
          <w:color w:val="auto"/>
        </w:rPr>
        <w:t xml:space="preserve"> shall be in an aggregate principal amount that is not less than $25,000,000.</w:t>
      </w:r>
    </w:p>
    <w:p>
      <w:pPr>
        <w:spacing w:after="0" w:line="142" w:lineRule="exact"/>
        <w:rPr>
          <w:rFonts w:ascii="Times New Roman" w:cs="Times New Roman" w:eastAsia="Times New Roman" w:hAnsi="Times New Roman"/>
          <w:sz w:val="21"/>
          <w:szCs w:val="21"/>
          <w:color w:val="auto"/>
        </w:rPr>
      </w:pPr>
    </w:p>
    <w:p>
      <w:pPr>
        <w:jc w:val="both"/>
        <w:ind w:firstLine="1278"/>
        <w:spacing w:after="0" w:line="222" w:lineRule="auto"/>
        <w:tabs>
          <w:tab w:leader="none" w:pos="1903" w:val="left"/>
        </w:tabs>
        <w:numPr>
          <w:ilvl w:val="1"/>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parties hereto hereby agrees that this Agreement and the other Loan Documents may be amended pursuant to a Refinancing Amendment, without the consent of any other Lenders, to the extent (but only to the extent) necessary to</w:t>
      </w:r>
    </w:p>
    <w:p>
      <w:pPr>
        <w:spacing w:after="0" w:line="1" w:lineRule="exact"/>
        <w:rPr>
          <w:rFonts w:ascii="Times New Roman" w:cs="Times New Roman" w:eastAsia="Times New Roman" w:hAnsi="Times New Roman"/>
          <w:sz w:val="21"/>
          <w:szCs w:val="21"/>
          <w:color w:val="auto"/>
        </w:rPr>
      </w:pPr>
    </w:p>
    <w:p>
      <w:pPr>
        <w:jc w:val="both"/>
        <w:ind w:firstLine="6"/>
        <w:spacing w:after="0" w:line="220" w:lineRule="auto"/>
        <w:tabs>
          <w:tab w:leader="none" w:pos="264" w:val="left"/>
        </w:tabs>
        <w:numPr>
          <w:ilvl w:val="0"/>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reflect the existence and terms of the Credit Agreement Refinancing Indebtedness incurred pursuant thereto and (ii) effect such other amendments to this Agreement and the other Loan Documents as may be necessary or appropriate, in the reasonable opinion of the Administrative Agent and the Borrower, to effect the provisions of this </w:t>
      </w:r>
      <w:r>
        <w:rPr>
          <w:rFonts w:ascii="Times New Roman" w:cs="Times New Roman" w:eastAsia="Times New Roman" w:hAnsi="Times New Roman"/>
          <w:sz w:val="21"/>
          <w:szCs w:val="21"/>
          <w:u w:val="single" w:color="auto"/>
          <w:color w:val="auto"/>
        </w:rPr>
        <w:t>Section 2.17</w:t>
      </w:r>
      <w:r>
        <w:rPr>
          <w:rFonts w:ascii="Times New Roman" w:cs="Times New Roman" w:eastAsia="Times New Roman" w:hAnsi="Times New Roman"/>
          <w:sz w:val="21"/>
          <w:szCs w:val="21"/>
          <w:color w:val="auto"/>
        </w:rPr>
        <w:t>, and the Lenders hereby expressly authorize the Administrative Agent to enter into any such Refinancing Amendment.</w:t>
      </w:r>
    </w:p>
    <w:p>
      <w:pPr>
        <w:spacing w:after="0" w:line="150" w:lineRule="exact"/>
        <w:rPr>
          <w:rFonts w:ascii="Times New Roman" w:cs="Times New Roman" w:eastAsia="Times New Roman" w:hAnsi="Times New Roman"/>
          <w:sz w:val="21"/>
          <w:szCs w:val="21"/>
          <w:color w:val="auto"/>
        </w:rPr>
      </w:pPr>
    </w:p>
    <w:p>
      <w:pPr>
        <w:ind w:firstLine="1278"/>
        <w:spacing w:after="0" w:line="245" w:lineRule="auto"/>
        <w:tabs>
          <w:tab w:leader="none" w:pos="1905" w:val="left"/>
        </w:tabs>
        <w:numPr>
          <w:ilvl w:val="1"/>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This </w:t>
      </w:r>
      <w:r>
        <w:rPr>
          <w:rFonts w:ascii="Times New Roman" w:cs="Times New Roman" w:eastAsia="Times New Roman" w:hAnsi="Times New Roman"/>
          <w:sz w:val="21"/>
          <w:szCs w:val="21"/>
          <w:u w:val="single" w:color="auto"/>
          <w:color w:val="auto"/>
        </w:rPr>
        <w:t>Section 2.17</w:t>
      </w:r>
      <w:r>
        <w:rPr>
          <w:rFonts w:ascii="Times New Roman" w:cs="Times New Roman" w:eastAsia="Times New Roman" w:hAnsi="Times New Roman"/>
          <w:sz w:val="21"/>
          <w:szCs w:val="21"/>
          <w:color w:val="auto"/>
        </w:rPr>
        <w:t xml:space="preserve"> shall supersede any provisions in </w:t>
      </w:r>
      <w:r>
        <w:rPr>
          <w:rFonts w:ascii="Times New Roman" w:cs="Times New Roman" w:eastAsia="Times New Roman" w:hAnsi="Times New Roman"/>
          <w:sz w:val="21"/>
          <w:szCs w:val="21"/>
          <w:u w:val="single" w:color="auto"/>
          <w:color w:val="auto"/>
        </w:rPr>
        <w:t>Section 2.13</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10.01</w:t>
      </w:r>
      <w:r>
        <w:rPr>
          <w:rFonts w:ascii="Times New Roman" w:cs="Times New Roman" w:eastAsia="Times New Roman" w:hAnsi="Times New Roman"/>
          <w:sz w:val="21"/>
          <w:szCs w:val="21"/>
          <w:color w:val="auto"/>
        </w:rPr>
        <w:t xml:space="preserve"> to the contrary, and nothing in </w:t>
      </w:r>
      <w:r>
        <w:rPr>
          <w:rFonts w:ascii="Times New Roman" w:cs="Times New Roman" w:eastAsia="Times New Roman" w:hAnsi="Times New Roman"/>
          <w:sz w:val="21"/>
          <w:szCs w:val="21"/>
          <w:u w:val="single" w:color="auto"/>
          <w:color w:val="auto"/>
        </w:rPr>
        <w:t>Section 2.05</w:t>
      </w:r>
      <w:r>
        <w:rPr>
          <w:rFonts w:ascii="Times New Roman" w:cs="Times New Roman" w:eastAsia="Times New Roman" w:hAnsi="Times New Roman"/>
          <w:sz w:val="21"/>
          <w:szCs w:val="21"/>
          <w:color w:val="auto"/>
        </w:rPr>
        <w:t xml:space="preserve"> to the contrary shall prohibit the application of this </w:t>
      </w:r>
      <w:r>
        <w:rPr>
          <w:rFonts w:ascii="Times New Roman" w:cs="Times New Roman" w:eastAsia="Times New Roman" w:hAnsi="Times New Roman"/>
          <w:sz w:val="21"/>
          <w:szCs w:val="21"/>
          <w:u w:val="single" w:color="auto"/>
          <w:color w:val="auto"/>
        </w:rPr>
        <w:t>Section 2.17</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102</w:t>
      </w:r>
    </w:p>
    <w:p>
      <w:pPr>
        <w:sectPr>
          <w:pgSz w:w="11900" w:h="16838" w:orient="portrait"/>
          <w:cols w:equalWidth="0" w:num="1">
            <w:col w:w="11240"/>
          </w:cols>
          <w:pgMar w:left="320" w:top="1371" w:right="339" w:bottom="1440" w:gutter="0" w:footer="0" w:header="0"/>
        </w:sectPr>
      </w:pPr>
    </w:p>
    <w:bookmarkStart w:id="208" w:name="page209"/>
    <w:bookmarkEnd w:id="208"/>
    <w:p>
      <w:pPr>
        <w:ind w:left="5000"/>
        <w:spacing w:after="0"/>
        <w:rPr>
          <w:sz w:val="20"/>
          <w:szCs w:val="20"/>
          <w:color w:val="auto"/>
        </w:rPr>
      </w:pPr>
      <w:r>
        <w:rPr>
          <w:rFonts w:ascii="Times New Roman" w:cs="Times New Roman" w:eastAsia="Times New Roman" w:hAnsi="Times New Roman"/>
          <w:sz w:val="21"/>
          <w:szCs w:val="21"/>
          <w:b w:val="1"/>
          <w:bCs w:val="1"/>
          <w:color w:val="auto"/>
        </w:rPr>
        <w:t>Article 3.</w:t>
      </w:r>
    </w:p>
    <w:p>
      <w:pPr>
        <w:ind w:left="3200"/>
        <w:spacing w:after="0"/>
        <w:rPr>
          <w:sz w:val="20"/>
          <w:szCs w:val="20"/>
          <w:color w:val="auto"/>
        </w:rPr>
      </w:pPr>
      <w:r>
        <w:rPr>
          <w:rFonts w:ascii="Times New Roman" w:cs="Times New Roman" w:eastAsia="Times New Roman" w:hAnsi="Times New Roman"/>
          <w:sz w:val="21"/>
          <w:szCs w:val="21"/>
          <w:b w:val="1"/>
          <w:bCs w:val="1"/>
          <w:color w:val="auto"/>
        </w:rPr>
        <w:t>TAXES, YIELD PROTECTION AND ILLEGALITY</w:t>
      </w:r>
    </w:p>
    <w:p>
      <w:pPr>
        <w:spacing w:after="0" w:line="157"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3.01</w:t>
      </w:r>
      <w:r>
        <w:rPr>
          <w:sz w:val="20"/>
          <w:szCs w:val="20"/>
          <w:color w:val="auto"/>
        </w:rPr>
        <w:tab/>
      </w:r>
      <w:r>
        <w:rPr>
          <w:rFonts w:ascii="Times New Roman" w:cs="Times New Roman" w:eastAsia="Times New Roman" w:hAnsi="Times New Roman"/>
          <w:sz w:val="19"/>
          <w:szCs w:val="19"/>
          <w:i w:val="1"/>
          <w:iCs w:val="1"/>
          <w:color w:val="auto"/>
        </w:rPr>
        <w:t>Taxes</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p>
    <w:p>
      <w:pPr>
        <w:spacing w:after="0" w:line="194" w:lineRule="exact"/>
        <w:rPr>
          <w:sz w:val="20"/>
          <w:szCs w:val="20"/>
          <w:color w:val="auto"/>
        </w:rPr>
      </w:pPr>
    </w:p>
    <w:p>
      <w:pPr>
        <w:jc w:val="both"/>
        <w:ind w:firstLine="1278"/>
        <w:spacing w:after="0" w:line="217" w:lineRule="auto"/>
        <w:tabs>
          <w:tab w:leader="none" w:pos="1905" w:val="left"/>
        </w:tabs>
        <w:numPr>
          <w:ilvl w:val="0"/>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Payments Free of Taxes; Obligation to Withhold; Payments on Account of Taxes</w:t>
      </w:r>
      <w:r>
        <w:rPr>
          <w:rFonts w:ascii="Times New Roman" w:cs="Times New Roman" w:eastAsia="Times New Roman" w:hAnsi="Times New Roman"/>
          <w:sz w:val="21"/>
          <w:szCs w:val="21"/>
          <w:color w:val="auto"/>
        </w:rPr>
        <w:t>. Any and all payments by 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on account of any obligation of any Loan Party hereunder or under any other Loan Document shall to the extent permitted by applicable Laws be made free and clear of and without deduction or withholding for any Taxes. If, however, applicable Laws (as determined in the good faith discretion of the applicable Withholding Agent) require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Laws and, if such Tax is an Indemnified Tax, then the sum payable by the applicable Loan Party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w:t>
      </w:r>
    </w:p>
    <w:p>
      <w:pPr>
        <w:spacing w:after="0" w:line="148" w:lineRule="exact"/>
        <w:rPr>
          <w:rFonts w:ascii="Times New Roman" w:cs="Times New Roman" w:eastAsia="Times New Roman" w:hAnsi="Times New Roman"/>
          <w:sz w:val="21"/>
          <w:szCs w:val="21"/>
          <w:color w:val="auto"/>
        </w:rPr>
      </w:pPr>
    </w:p>
    <w:p>
      <w:pPr>
        <w:jc w:val="both"/>
        <w:ind w:firstLine="1278"/>
        <w:spacing w:after="0" w:line="232" w:lineRule="auto"/>
        <w:tabs>
          <w:tab w:leader="none" w:pos="1903" w:val="left"/>
        </w:tabs>
        <w:numPr>
          <w:ilvl w:val="0"/>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Payment of Other Taxes by the Borrower</w:t>
      </w:r>
      <w:r>
        <w:rPr>
          <w:rFonts w:ascii="Times New Roman" w:cs="Times New Roman" w:eastAsia="Times New Roman" w:hAnsi="Times New Roman"/>
          <w:sz w:val="21"/>
          <w:szCs w:val="21"/>
          <w:color w:val="auto"/>
        </w:rPr>
        <w:t>. Without limiting the provisions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u w:val="single" w:color="auto"/>
          <w:color w:val="auto"/>
        </w:rPr>
        <w:t>subsection (a)</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above, the Loan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Parties shall timely pay any Other Taxes to the relevant Governmental Authority in accordance with applicable Laws, or at the option of the Administrative Agent timely reimburse it for the payment of Other Taxes.</w:t>
      </w:r>
    </w:p>
    <w:p>
      <w:pPr>
        <w:spacing w:after="0" w:line="147" w:lineRule="exact"/>
        <w:rPr>
          <w:rFonts w:ascii="Times New Roman" w:cs="Times New Roman" w:eastAsia="Times New Roman" w:hAnsi="Times New Roman"/>
          <w:sz w:val="21"/>
          <w:szCs w:val="21"/>
          <w:color w:val="auto"/>
        </w:rPr>
      </w:pPr>
    </w:p>
    <w:p>
      <w:pPr>
        <w:ind w:left="1920" w:hanging="642"/>
        <w:spacing w:after="0"/>
        <w:tabs>
          <w:tab w:leader="none" w:pos="1920" w:val="left"/>
        </w:tabs>
        <w:numPr>
          <w:ilvl w:val="0"/>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Tax Indemnifications</w:t>
      </w:r>
      <w:r>
        <w:rPr>
          <w:rFonts w:ascii="Times New Roman" w:cs="Times New Roman" w:eastAsia="Times New Roman" w:hAnsi="Times New Roman"/>
          <w:sz w:val="21"/>
          <w:szCs w:val="21"/>
          <w:color w:val="auto"/>
        </w:rPr>
        <w:t>.</w:t>
      </w:r>
    </w:p>
    <w:p>
      <w:pPr>
        <w:spacing w:after="0" w:line="184" w:lineRule="exact"/>
        <w:rPr>
          <w:rFonts w:ascii="Times New Roman" w:cs="Times New Roman" w:eastAsia="Times New Roman" w:hAnsi="Times New Roman"/>
          <w:sz w:val="21"/>
          <w:szCs w:val="21"/>
          <w:color w:val="auto"/>
        </w:rPr>
      </w:pPr>
    </w:p>
    <w:p>
      <w:pPr>
        <w:jc w:val="both"/>
        <w:ind w:left="640" w:firstLine="1274"/>
        <w:spacing w:after="0" w:line="214" w:lineRule="auto"/>
        <w:tabs>
          <w:tab w:leader="none" w:pos="2536" w:val="left"/>
        </w:tabs>
        <w:numPr>
          <w:ilvl w:val="1"/>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Without limiting the provisions of </w:t>
      </w:r>
      <w:r>
        <w:rPr>
          <w:rFonts w:ascii="Times New Roman" w:cs="Times New Roman" w:eastAsia="Times New Roman" w:hAnsi="Times New Roman"/>
          <w:sz w:val="21"/>
          <w:szCs w:val="21"/>
          <w:u w:val="single" w:color="auto"/>
          <w:color w:val="auto"/>
        </w:rPr>
        <w:t>subsection (a)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above, the Loan Parties shall, and do hereby, jointly and severally indemnify each Recipient, and shall make payment in respect thereof within ten (10) days after demand therefor, for the full amount of any Indemnified Taxes (including Indemnified Taxes imposed or asserted on or attributable to amounts payable under this </w:t>
      </w:r>
      <w:r>
        <w:rPr>
          <w:rFonts w:ascii="Times New Roman" w:cs="Times New Roman" w:eastAsia="Times New Roman" w:hAnsi="Times New Roman"/>
          <w:sz w:val="21"/>
          <w:szCs w:val="21"/>
          <w:u w:val="single" w:color="auto"/>
          <w:color w:val="auto"/>
        </w:rPr>
        <w:t>Section 3.01</w:t>
      </w:r>
      <w:r>
        <w:rPr>
          <w:rFonts w:ascii="Times New Roman" w:cs="Times New Roman" w:eastAsia="Times New Roman" w:hAnsi="Times New Roman"/>
          <w:sz w:val="21"/>
          <w:szCs w:val="21"/>
          <w:color w:val="auto"/>
        </w:rPr>
        <w:t xml:space="preserve">) withheld or deducted by a Withholding Agent or paid by the Recipient, and any reasonable out of pocket expenses arising therefrom or with respect thereto, whether or not such Indemnified Taxes were correctly or legally imposed or asserted by the relevant Governmental Authority. The Borrower shall also, and does hereby, indemnify the Administrative Agent, and shall make payment in respect thereof within ten days after demand therefor, for any amount which a Lender or any L/C Issuer for any reason fails to pay indefeasibly to the Administrative Agent as required by </w:t>
      </w:r>
      <w:r>
        <w:rPr>
          <w:rFonts w:ascii="Times New Roman" w:cs="Times New Roman" w:eastAsia="Times New Roman" w:hAnsi="Times New Roman"/>
          <w:sz w:val="21"/>
          <w:szCs w:val="21"/>
          <w:u w:val="single" w:color="auto"/>
          <w:color w:val="auto"/>
        </w:rPr>
        <w:t>clause (ii)</w:t>
      </w:r>
      <w:r>
        <w:rPr>
          <w:rFonts w:ascii="Times New Roman" w:cs="Times New Roman" w:eastAsia="Times New Roman" w:hAnsi="Times New Roman"/>
          <w:sz w:val="21"/>
          <w:szCs w:val="21"/>
          <w:color w:val="auto"/>
        </w:rPr>
        <w:t xml:space="preserve"> of this subsection. A certificate as to the amount of any such payment or liability delivered to the Borrower by a Lender or an L/C Issuer (with a copy to the Administrative Agent), or by the Administrative Agent on its own behalf or on behalf of a Lender or an L/C Issuer, shall be conclusive absent manifest error (so long as such certificate is prepared in a commercially reasonable manner in accordance with applicable Laws). No Loan Party shall be required to compensate any Recipient pursuant to this </w:t>
      </w:r>
      <w:r>
        <w:rPr>
          <w:rFonts w:ascii="Times New Roman" w:cs="Times New Roman" w:eastAsia="Times New Roman" w:hAnsi="Times New Roman"/>
          <w:sz w:val="21"/>
          <w:szCs w:val="21"/>
          <w:u w:val="single" w:color="auto"/>
          <w:color w:val="auto"/>
        </w:rPr>
        <w:t>Section 3.01</w:t>
      </w:r>
      <w:r>
        <w:rPr>
          <w:rFonts w:ascii="Times New Roman" w:cs="Times New Roman" w:eastAsia="Times New Roman" w:hAnsi="Times New Roman"/>
          <w:sz w:val="21"/>
          <w:szCs w:val="21"/>
          <w:color w:val="auto"/>
        </w:rPr>
        <w:t xml:space="preserve"> for any amounts to the extent that such Recipient does not furnish notice of such possible indemnification claim within 180 days after such Recipient receives notice from the applicable Governmental Authority of the specific Tax assessment giving rise to such indemnification claim.</w:t>
      </w:r>
    </w:p>
    <w:p>
      <w:pPr>
        <w:spacing w:after="0" w:line="162" w:lineRule="exact"/>
        <w:rPr>
          <w:rFonts w:ascii="Times New Roman" w:cs="Times New Roman" w:eastAsia="Times New Roman" w:hAnsi="Times New Roman"/>
          <w:sz w:val="21"/>
          <w:szCs w:val="21"/>
          <w:color w:val="auto"/>
        </w:rPr>
      </w:pPr>
    </w:p>
    <w:p>
      <w:pPr>
        <w:ind w:left="640" w:firstLine="1274"/>
        <w:spacing w:after="0" w:line="245" w:lineRule="auto"/>
        <w:tabs>
          <w:tab w:leader="none" w:pos="2542" w:val="left"/>
        </w:tabs>
        <w:numPr>
          <w:ilvl w:val="1"/>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Without limiting the provisions of </w:t>
      </w:r>
      <w:r>
        <w:rPr>
          <w:rFonts w:ascii="Times New Roman" w:cs="Times New Roman" w:eastAsia="Times New Roman" w:hAnsi="Times New Roman"/>
          <w:sz w:val="21"/>
          <w:szCs w:val="21"/>
          <w:u w:val="single" w:color="auto"/>
          <w:color w:val="auto"/>
        </w:rPr>
        <w:t>subsection (a)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above, each Lender and each L/C Issuer shall, and does hereby, severally indemnify: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103</w:t>
      </w:r>
    </w:p>
    <w:p>
      <w:pPr>
        <w:sectPr>
          <w:pgSz w:w="11900" w:h="16838" w:orient="portrait"/>
          <w:cols w:equalWidth="0" w:num="1">
            <w:col w:w="11240"/>
          </w:cols>
          <w:pgMar w:left="320" w:top="1366" w:right="339" w:bottom="1440" w:gutter="0" w:footer="0" w:header="0"/>
        </w:sectPr>
      </w:pPr>
    </w:p>
    <w:bookmarkStart w:id="209" w:name="page210"/>
    <w:bookmarkEnd w:id="209"/>
    <w:p>
      <w:pPr>
        <w:jc w:val="both"/>
        <w:ind w:left="1280" w:firstLine="1143"/>
        <w:spacing w:after="0" w:line="219" w:lineRule="auto"/>
        <w:tabs>
          <w:tab w:leader="none" w:pos="3184" w:val="left"/>
        </w:tabs>
        <w:numPr>
          <w:ilvl w:val="2"/>
          <w:numId w:val="165"/>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 xml:space="preserve">the Borrower and the Administrative Agent, and shall make payment in respect thereof within ten (10) days after demand therefor, against any and all Taxes and any and all related losses, claims, liabilities, penalties, interest and expenses (including the fees, charges and disbursements of any counsel for the Borrower or the Administrative Agent) incurred by or asserted against the Borrower or the Administrative Agent by a Governmental Authority as a result of the failure by such Lender or any L/C Issuer, as the case may be, to deliver, or as a result of the inaccuracy or similar deficiency of, any documentation required to be delivered by such Lender or any L/C Issuer, as the case may be, to the Borrower or the Administrative Agent pursuant to </w:t>
      </w:r>
      <w:r>
        <w:rPr>
          <w:rFonts w:ascii="Times New Roman" w:cs="Times New Roman" w:eastAsia="Times New Roman" w:hAnsi="Times New Roman"/>
          <w:sz w:val="21"/>
          <w:szCs w:val="21"/>
          <w:u w:val="single" w:color="auto"/>
          <w:color w:val="auto"/>
        </w:rPr>
        <w:t>subsection (e)(ii)</w:t>
      </w:r>
      <w:r>
        <w:rPr>
          <w:rFonts w:ascii="Times New Roman" w:cs="Times New Roman" w:eastAsia="Times New Roman" w:hAnsi="Times New Roman"/>
          <w:sz w:val="21"/>
          <w:szCs w:val="21"/>
          <w:color w:val="auto"/>
        </w:rPr>
        <w:t>; and</w:t>
      </w:r>
    </w:p>
    <w:p>
      <w:pPr>
        <w:spacing w:after="0" w:line="153" w:lineRule="exact"/>
        <w:rPr>
          <w:rFonts w:ascii="Times New Roman" w:cs="Times New Roman" w:eastAsia="Times New Roman" w:hAnsi="Times New Roman"/>
          <w:sz w:val="19"/>
          <w:szCs w:val="19"/>
          <w:color w:val="auto"/>
        </w:rPr>
      </w:pPr>
    </w:p>
    <w:p>
      <w:pPr>
        <w:jc w:val="both"/>
        <w:ind w:left="1280" w:firstLine="1143"/>
        <w:spacing w:after="0" w:line="217" w:lineRule="auto"/>
        <w:tabs>
          <w:tab w:leader="none" w:pos="3187" w:val="left"/>
        </w:tabs>
        <w:numPr>
          <w:ilvl w:val="2"/>
          <w:numId w:val="165"/>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 xml:space="preserve">the Administrative Agent, and shall make payment in respect thereof within ten (10) days after demand therefor, for (x) any Indemnified Taxes attributable to such Lender or such L/C Issuer (but only to the extent that any Loan Party has not already indemnified the Administrative Agent for such Indemnified Taxes and without limiting the obligation of the Loan Parties to do so), (y) any Excluded Taxes attributable to such Lender or such L/C Issuer,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and (z) any Taxes attributable to such Lender’s or L/C Issuer’s failure to comply with the provisions of </w:t>
      </w:r>
      <w:r>
        <w:rPr>
          <w:rFonts w:ascii="Times New Roman" w:cs="Times New Roman" w:eastAsia="Times New Roman" w:hAnsi="Times New Roman"/>
          <w:sz w:val="21"/>
          <w:szCs w:val="21"/>
          <w:u w:val="single" w:color="auto"/>
          <w:color w:val="auto"/>
        </w:rPr>
        <w:t>Section 10.06(d)</w:t>
      </w:r>
      <w:r>
        <w:rPr>
          <w:rFonts w:ascii="Times New Roman" w:cs="Times New Roman" w:eastAsia="Times New Roman" w:hAnsi="Times New Roman"/>
          <w:sz w:val="21"/>
          <w:szCs w:val="21"/>
          <w:color w:val="auto"/>
        </w:rPr>
        <w:t xml:space="preserve"> relating to the maintenance of a Participant Register.</w:t>
      </w:r>
    </w:p>
    <w:p>
      <w:pPr>
        <w:spacing w:after="0" w:line="154" w:lineRule="exact"/>
        <w:rPr>
          <w:rFonts w:ascii="Times New Roman" w:cs="Times New Roman" w:eastAsia="Times New Roman" w:hAnsi="Times New Roman"/>
          <w:sz w:val="19"/>
          <w:szCs w:val="19"/>
          <w:color w:val="auto"/>
        </w:rPr>
      </w:pPr>
    </w:p>
    <w:p>
      <w:pPr>
        <w:jc w:val="both"/>
        <w:ind w:left="640" w:firstLine="1274"/>
        <w:spacing w:after="0" w:line="223" w:lineRule="auto"/>
        <w:tabs>
          <w:tab w:leader="none" w:pos="2548" w:val="left"/>
        </w:tabs>
        <w:numPr>
          <w:ilvl w:val="1"/>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certificate as to the amount of such payment or liability delivered to any Lender or any L/C Issuer by the Borrower or the Administrative Agent shall be conclusive absent manifest error. Each Lender and L/C Issuer hereby authorizes the Administrative Agent to set off and apply any and all amounts at any time owing to such Lender or the L/C Issuer, as the case may be, under this Agreement or any other Loan Document against any amount due to the Administrative Agent under this </w:t>
      </w:r>
      <w:r>
        <w:rPr>
          <w:rFonts w:ascii="Times New Roman" w:cs="Times New Roman" w:eastAsia="Times New Roman" w:hAnsi="Times New Roman"/>
          <w:sz w:val="21"/>
          <w:szCs w:val="21"/>
          <w:u w:val="single" w:color="auto"/>
          <w:color w:val="auto"/>
        </w:rPr>
        <w:t>subsection (c)</w:t>
      </w:r>
      <w:r>
        <w:rPr>
          <w:rFonts w:ascii="Times New Roman" w:cs="Times New Roman" w:eastAsia="Times New Roman" w:hAnsi="Times New Roman"/>
          <w:sz w:val="21"/>
          <w:szCs w:val="21"/>
          <w:color w:val="auto"/>
        </w:rPr>
        <w:t>.</w:t>
      </w:r>
    </w:p>
    <w:p>
      <w:pPr>
        <w:spacing w:after="0" w:line="148" w:lineRule="exact"/>
        <w:rPr>
          <w:rFonts w:ascii="Times New Roman" w:cs="Times New Roman" w:eastAsia="Times New Roman" w:hAnsi="Times New Roman"/>
          <w:sz w:val="21"/>
          <w:szCs w:val="21"/>
          <w:color w:val="auto"/>
        </w:rPr>
      </w:pPr>
    </w:p>
    <w:p>
      <w:pPr>
        <w:jc w:val="both"/>
        <w:ind w:firstLine="1278"/>
        <w:spacing w:after="0" w:line="221" w:lineRule="auto"/>
        <w:tabs>
          <w:tab w:leader="none" w:pos="1903" w:val="left"/>
        </w:tabs>
        <w:numPr>
          <w:ilvl w:val="0"/>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Evidence of Payments</w:t>
      </w:r>
      <w:r>
        <w:rPr>
          <w:rFonts w:ascii="Times New Roman" w:cs="Times New Roman" w:eastAsia="Times New Roman" w:hAnsi="Times New Roman"/>
          <w:sz w:val="21"/>
          <w:szCs w:val="21"/>
          <w:color w:val="auto"/>
        </w:rPr>
        <w:t>. Upon request by the Borrower or the Administrative Agent, as the case may be, as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soon as possible after any payment of Taxes by any Loan Party or by the Administrative Agent to a Governmental Authority as provided in this </w:t>
      </w:r>
      <w:r>
        <w:rPr>
          <w:rFonts w:ascii="Times New Roman" w:cs="Times New Roman" w:eastAsia="Times New Roman" w:hAnsi="Times New Roman"/>
          <w:sz w:val="21"/>
          <w:szCs w:val="21"/>
          <w:u w:val="single" w:color="auto"/>
          <w:color w:val="auto"/>
        </w:rPr>
        <w:t>Section 3.01</w:t>
      </w:r>
      <w:r>
        <w:rPr>
          <w:rFonts w:ascii="Times New Roman" w:cs="Times New Roman" w:eastAsia="Times New Roman" w:hAnsi="Times New Roman"/>
          <w:sz w:val="21"/>
          <w:szCs w:val="21"/>
          <w:color w:val="auto"/>
        </w:rPr>
        <w:t>, such Loan Party shall deliver to the Administrative Agent or the Administrative Agent shall deliver to such Loan Party, as the case may be, the original or a certified copy of a receipt issued by such Governmental Authority evidencing such payment, a copy of any return required by Laws to report such payment or other evidence of such payment reasonably satisfactory to such Loan Party or the Administrative Agent, as the case may be.</w:t>
      </w:r>
    </w:p>
    <w:p>
      <w:pPr>
        <w:spacing w:after="0" w:line="149" w:lineRule="exact"/>
        <w:rPr>
          <w:rFonts w:ascii="Times New Roman" w:cs="Times New Roman" w:eastAsia="Times New Roman" w:hAnsi="Times New Roman"/>
          <w:sz w:val="21"/>
          <w:szCs w:val="21"/>
          <w:color w:val="auto"/>
        </w:rPr>
      </w:pPr>
    </w:p>
    <w:p>
      <w:pPr>
        <w:ind w:left="1920" w:hanging="642"/>
        <w:spacing w:after="0"/>
        <w:tabs>
          <w:tab w:leader="none" w:pos="1920" w:val="left"/>
        </w:tabs>
        <w:numPr>
          <w:ilvl w:val="0"/>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Status of Lenders</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Tax Documentation</w:t>
      </w:r>
      <w:r>
        <w:rPr>
          <w:rFonts w:ascii="Times New Roman" w:cs="Times New Roman" w:eastAsia="Times New Roman" w:hAnsi="Times New Roman"/>
          <w:sz w:val="21"/>
          <w:szCs w:val="21"/>
          <w:color w:val="auto"/>
        </w:rPr>
        <w:t>.</w:t>
      </w:r>
    </w:p>
    <w:p>
      <w:pPr>
        <w:spacing w:after="0" w:line="184" w:lineRule="exact"/>
        <w:rPr>
          <w:rFonts w:ascii="Times New Roman" w:cs="Times New Roman" w:eastAsia="Times New Roman" w:hAnsi="Times New Roman"/>
          <w:sz w:val="21"/>
          <w:szCs w:val="21"/>
          <w:color w:val="auto"/>
        </w:rPr>
      </w:pPr>
    </w:p>
    <w:p>
      <w:pPr>
        <w:jc w:val="both"/>
        <w:ind w:left="640" w:firstLine="1274"/>
        <w:spacing w:after="0" w:line="218" w:lineRule="auto"/>
        <w:tabs>
          <w:tab w:leader="none" w:pos="2536" w:val="left"/>
        </w:tabs>
        <w:numPr>
          <w:ilvl w:val="1"/>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For purposes of this </w:t>
      </w:r>
      <w:r>
        <w:rPr>
          <w:rFonts w:ascii="Times New Roman" w:cs="Times New Roman" w:eastAsia="Times New Roman" w:hAnsi="Times New Roman"/>
          <w:sz w:val="21"/>
          <w:szCs w:val="21"/>
          <w:u w:val="single" w:color="auto"/>
          <w:color w:val="auto"/>
        </w:rPr>
        <w:t>Section 3.01(e)</w:t>
      </w:r>
      <w:r>
        <w:rPr>
          <w:rFonts w:ascii="Times New Roman" w:cs="Times New Roman" w:eastAsia="Times New Roman" w:hAnsi="Times New Roman"/>
          <w:sz w:val="21"/>
          <w:szCs w:val="21"/>
          <w:color w:val="auto"/>
        </w:rPr>
        <w:t>, the term “Lender” includes any L/C Issuer. Each Lender that is entitled to an exemption from or reduction of withholding Tax with respect to payments under any Loan Document shall deliver to the Borrower and to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Laws or reasonably requested by the Borrower or the Administrative Agent as will enable the Borrower or the Administrative Agent to determine whether or not such Lender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104</w:t>
      </w:r>
    </w:p>
    <w:p>
      <w:pPr>
        <w:sectPr>
          <w:pgSz w:w="11900" w:h="16838" w:orient="portrait"/>
          <w:cols w:equalWidth="0" w:num="1">
            <w:col w:w="11240"/>
          </w:cols>
          <w:pgMar w:left="320" w:top="1371" w:right="339" w:bottom="1440" w:gutter="0" w:footer="0" w:header="0"/>
        </w:sectPr>
      </w:pPr>
    </w:p>
    <w:bookmarkStart w:id="210" w:name="page211"/>
    <w:bookmarkEnd w:id="210"/>
    <w:p>
      <w:pPr>
        <w:jc w:val="both"/>
        <w:spacing w:after="0"/>
        <w:rPr>
          <w:sz w:val="20"/>
          <w:szCs w:val="20"/>
          <w:color w:val="auto"/>
        </w:rPr>
      </w:pPr>
      <w:r>
        <w:rPr>
          <w:rFonts w:ascii="Times New Roman" w:cs="Times New Roman" w:eastAsia="Times New Roman" w:hAnsi="Times New Roman"/>
          <w:sz w:val="21"/>
          <w:szCs w:val="21"/>
          <w:color w:val="auto"/>
        </w:rPr>
        <w:t xml:space="preserve">subject to backup withholding or information reporting requirements. Notwithstanding anything to the contrary in the preceding two sentences, the delivery, completion and execution of documentation and other requested information described in this </w:t>
      </w:r>
      <w:r>
        <w:rPr>
          <w:rFonts w:ascii="Times New Roman" w:cs="Times New Roman" w:eastAsia="Times New Roman" w:hAnsi="Times New Roman"/>
          <w:sz w:val="21"/>
          <w:szCs w:val="21"/>
          <w:u w:val="single" w:color="auto"/>
          <w:color w:val="auto"/>
        </w:rPr>
        <w:t>subsection (e)(i)</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(e)(ii)(C)</w:t>
      </w:r>
      <w:r>
        <w:rPr>
          <w:rFonts w:ascii="Times New Roman" w:cs="Times New Roman" w:eastAsia="Times New Roman" w:hAnsi="Times New Roman"/>
          <w:sz w:val="21"/>
          <w:szCs w:val="21"/>
          <w:color w:val="auto"/>
        </w:rPr>
        <w:t xml:space="preserve"> (and not, for the avoidance of doubt, otherwise described in </w:t>
      </w:r>
      <w:r>
        <w:rPr>
          <w:rFonts w:ascii="Times New Roman" w:cs="Times New Roman" w:eastAsia="Times New Roman" w:hAnsi="Times New Roman"/>
          <w:sz w:val="21"/>
          <w:szCs w:val="21"/>
          <w:u w:val="single" w:color="auto"/>
          <w:color w:val="auto"/>
        </w:rPr>
        <w:t>subsection (e)(ii)</w:t>
      </w:r>
      <w:r>
        <w:rPr>
          <w:rFonts w:ascii="Times New Roman" w:cs="Times New Roman" w:eastAsia="Times New Roman" w:hAnsi="Times New Roman"/>
          <w:sz w:val="21"/>
          <w:szCs w:val="21"/>
          <w:color w:val="auto"/>
        </w:rPr>
        <w:t>) shall not be required if in the Lender’s reasonable judgment such delivery, completion or execution would subject the Lender to any material unreimbursed cost or expense or would materially prejudice the legal or commercial position of such Lender.</w:t>
      </w:r>
    </w:p>
    <w:p>
      <w:pPr>
        <w:spacing w:after="0" w:line="277" w:lineRule="exact"/>
        <w:rPr>
          <w:sz w:val="20"/>
          <w:szCs w:val="20"/>
          <w:color w:val="auto"/>
        </w:rPr>
      </w:pPr>
    </w:p>
    <w:p>
      <w:pPr>
        <w:jc w:val="both"/>
        <w:ind w:firstLine="1274"/>
        <w:spacing w:after="0" w:line="232" w:lineRule="auto"/>
        <w:tabs>
          <w:tab w:leader="none" w:pos="1902" w:val="left"/>
        </w:tabs>
        <w:numPr>
          <w:ilvl w:val="1"/>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limiting the generality of the foregoing, on or prior to the date on which a Lender becomes a Lender under this Agreement (and from time to time thereafter upon the reasonable request of the Borrower or the Administrative Agent), but only to the extent it is legally entitled to do so,</w:t>
      </w:r>
    </w:p>
    <w:p>
      <w:pPr>
        <w:spacing w:after="0" w:line="147" w:lineRule="exact"/>
        <w:rPr>
          <w:rFonts w:ascii="Times New Roman" w:cs="Times New Roman" w:eastAsia="Times New Roman" w:hAnsi="Times New Roman"/>
          <w:sz w:val="21"/>
          <w:szCs w:val="21"/>
          <w:color w:val="auto"/>
        </w:rPr>
      </w:pPr>
    </w:p>
    <w:p>
      <w:pPr>
        <w:jc w:val="both"/>
        <w:ind w:left="640" w:firstLine="1143"/>
        <w:spacing w:after="0" w:line="223" w:lineRule="auto"/>
        <w:tabs>
          <w:tab w:leader="none" w:pos="2544" w:val="left"/>
        </w:tabs>
        <w:numPr>
          <w:ilvl w:val="2"/>
          <w:numId w:val="168"/>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any Lender that is a U.S. Person shall deliver to the Borrower and the Administrative Agent executed copies of IRS Form W-9 or such other documentation or information prescribed by applicable Laws or reasonably requested by the Borrower or the Administrative Agent as will enable the Borrower or the Administrative Agent, as the case may be, to determine whether or not such Lender is subject to backup withholding or information reporting requirements;</w:t>
      </w:r>
    </w:p>
    <w:p>
      <w:pPr>
        <w:spacing w:after="0" w:line="150" w:lineRule="exact"/>
        <w:rPr>
          <w:rFonts w:ascii="Times New Roman" w:cs="Times New Roman" w:eastAsia="Times New Roman" w:hAnsi="Times New Roman"/>
          <w:sz w:val="19"/>
          <w:szCs w:val="19"/>
          <w:color w:val="auto"/>
        </w:rPr>
      </w:pPr>
    </w:p>
    <w:p>
      <w:pPr>
        <w:jc w:val="both"/>
        <w:ind w:left="640" w:firstLine="1143"/>
        <w:spacing w:after="0" w:line="232" w:lineRule="auto"/>
        <w:tabs>
          <w:tab w:leader="none" w:pos="2547" w:val="left"/>
        </w:tabs>
        <w:numPr>
          <w:ilvl w:val="2"/>
          <w:numId w:val="168"/>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any Foreign Lender shall, to the extent it is legally entitled to do so, deliver to the Borrower and the Administrative Agent (in such number of copies as shall be reasonably requested by the recipient), whichever of the following is applicable:</w:t>
      </w:r>
    </w:p>
    <w:p>
      <w:pPr>
        <w:spacing w:after="0" w:line="147" w:lineRule="exact"/>
        <w:rPr>
          <w:rFonts w:ascii="Times New Roman" w:cs="Times New Roman" w:eastAsia="Times New Roman" w:hAnsi="Times New Roman"/>
          <w:sz w:val="19"/>
          <w:szCs w:val="19"/>
          <w:color w:val="auto"/>
        </w:rPr>
      </w:pPr>
    </w:p>
    <w:p>
      <w:pPr>
        <w:jc w:val="both"/>
        <w:ind w:left="1280" w:hanging="642"/>
        <w:spacing w:after="0" w:line="221" w:lineRule="auto"/>
        <w:tabs>
          <w:tab w:leader="none" w:pos="1268" w:val="left"/>
        </w:tabs>
        <w:numPr>
          <w:ilvl w:val="0"/>
          <w:numId w:val="169"/>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in the case of a Foreign Lender claiming the benefits of an income tax treaty to which the United States is a party (x) with respect to payments of interest under any Loan Document, executed copies of IRS Form W-8BEN or W-8BEN-E establishing an exemption from, or reduction of, U.S. federal withholding Tax pursuant to the “interest” article of such tax treaty and (y) with respect to any other applicable payments under any Loan Document, IRS Form W-8BEN or W-8BEN-E establishing an exemption from, or reduction of, U.S. federal withholding Tax pursuant to the “business profits” or “other income” article of such tax treaty,</w:t>
      </w:r>
    </w:p>
    <w:p>
      <w:pPr>
        <w:spacing w:after="0" w:line="149" w:lineRule="exact"/>
        <w:rPr>
          <w:rFonts w:ascii="Times New Roman" w:cs="Times New Roman" w:eastAsia="Times New Roman" w:hAnsi="Times New Roman"/>
          <w:sz w:val="19"/>
          <w:szCs w:val="19"/>
          <w:color w:val="auto"/>
        </w:rPr>
      </w:pPr>
    </w:p>
    <w:p>
      <w:pPr>
        <w:ind w:left="1260" w:hanging="622"/>
        <w:spacing w:after="0"/>
        <w:tabs>
          <w:tab w:leader="none" w:pos="1260" w:val="left"/>
        </w:tabs>
        <w:numPr>
          <w:ilvl w:val="0"/>
          <w:numId w:val="169"/>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executed copies of IRS Form W-8ECI,</w:t>
      </w:r>
    </w:p>
    <w:p>
      <w:pPr>
        <w:spacing w:after="0" w:line="182" w:lineRule="exact"/>
        <w:rPr>
          <w:rFonts w:ascii="Times New Roman" w:cs="Times New Roman" w:eastAsia="Times New Roman" w:hAnsi="Times New Roman"/>
          <w:sz w:val="19"/>
          <w:szCs w:val="19"/>
          <w:color w:val="auto"/>
        </w:rPr>
      </w:pPr>
    </w:p>
    <w:p>
      <w:pPr>
        <w:jc w:val="both"/>
        <w:ind w:left="1280" w:hanging="642"/>
        <w:spacing w:after="0" w:line="221" w:lineRule="auto"/>
        <w:tabs>
          <w:tab w:leader="none" w:pos="1268" w:val="left"/>
        </w:tabs>
        <w:numPr>
          <w:ilvl w:val="0"/>
          <w:numId w:val="169"/>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 xml:space="preserve">in the case of a Foreign Lender claiming the benefits of the exemption for portfolio interest under section 881(c) of the Code, (x) a certificate substantially in the form of </w:t>
      </w:r>
      <w:r>
        <w:rPr>
          <w:rFonts w:ascii="Times New Roman" w:cs="Times New Roman" w:eastAsia="Times New Roman" w:hAnsi="Times New Roman"/>
          <w:sz w:val="21"/>
          <w:szCs w:val="21"/>
          <w:u w:val="single" w:color="auto"/>
          <w:color w:val="auto"/>
        </w:rPr>
        <w:t>Exhibit H-1</w:t>
      </w:r>
      <w:r>
        <w:rPr>
          <w:rFonts w:ascii="Times New Roman" w:cs="Times New Roman" w:eastAsia="Times New Roman" w:hAnsi="Times New Roman"/>
          <w:sz w:val="21"/>
          <w:szCs w:val="21"/>
          <w:color w:val="auto"/>
        </w:rPr>
        <w:t xml:space="preserve"> to the effect that such Foreign Lender is not (A) a “bank” within the meaning of section 881(c)(3)(A) of the Code, (B) a “10 percent shareholder” of the Borrower within the meaning of section 881(c)(3)(B) of the Code, or (C) a “controlled foreign corporation” described in section 881(c)(3)(C) of the Code and (y) executed copies of Internal Revenue Service Form W-8BEN or W-8BEN-E, or</w:t>
      </w:r>
    </w:p>
    <w:p>
      <w:pPr>
        <w:spacing w:after="0" w:line="149" w:lineRule="exact"/>
        <w:rPr>
          <w:rFonts w:ascii="Times New Roman" w:cs="Times New Roman" w:eastAsia="Times New Roman" w:hAnsi="Times New Roman"/>
          <w:sz w:val="19"/>
          <w:szCs w:val="19"/>
          <w:color w:val="auto"/>
        </w:rPr>
      </w:pPr>
    </w:p>
    <w:p>
      <w:pPr>
        <w:jc w:val="both"/>
        <w:ind w:left="1280" w:hanging="642"/>
        <w:spacing w:after="0" w:line="223" w:lineRule="auto"/>
        <w:tabs>
          <w:tab w:leader="none" w:pos="1268" w:val="left"/>
        </w:tabs>
        <w:numPr>
          <w:ilvl w:val="0"/>
          <w:numId w:val="169"/>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 xml:space="preserve">to the extent a Foreign Lender is not the beneficial owner, executed copies of IRS Form W-8IMY, accompanied by IRS Form W-8ECI, IRS Form W-8BEN or W-8BEN-E, a U.S. Tax Compliance Certificate substantially in the form of </w:t>
      </w:r>
      <w:r>
        <w:rPr>
          <w:rFonts w:ascii="Times New Roman" w:cs="Times New Roman" w:eastAsia="Times New Roman" w:hAnsi="Times New Roman"/>
          <w:sz w:val="21"/>
          <w:szCs w:val="21"/>
          <w:u w:val="single" w:color="auto"/>
          <w:color w:val="auto"/>
        </w:rPr>
        <w:t>Exhibit H-2</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H-3</w:t>
      </w:r>
      <w:r>
        <w:rPr>
          <w:rFonts w:ascii="Times New Roman" w:cs="Times New Roman" w:eastAsia="Times New Roman" w:hAnsi="Times New Roman"/>
          <w:sz w:val="21"/>
          <w:szCs w:val="21"/>
          <w:color w:val="auto"/>
        </w:rPr>
        <w:t xml:space="preserve">, IRS Form W-9, and/or other certification documents from each beneficial owner, as applicable;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the Foreign Lender is a partnership and one or more direct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1"/>
          <w:szCs w:val="21"/>
          <w:color w:val="auto"/>
        </w:rPr>
        <w:t>105</w:t>
      </w:r>
    </w:p>
    <w:p>
      <w:pPr>
        <w:sectPr>
          <w:pgSz w:w="11900" w:h="16838" w:orient="portrait"/>
          <w:cols w:equalWidth="0" w:num="1">
            <w:col w:w="10600"/>
          </w:cols>
          <w:pgMar w:left="960" w:top="1371" w:right="339" w:bottom="1440" w:gutter="0" w:footer="0" w:header="0"/>
        </w:sectPr>
      </w:pPr>
    </w:p>
    <w:bookmarkStart w:id="211" w:name="page212"/>
    <w:bookmarkEnd w:id="211"/>
    <w:p>
      <w:pPr>
        <w:jc w:val="both"/>
        <w:ind w:left="1920"/>
        <w:spacing w:after="0" w:line="232" w:lineRule="auto"/>
        <w:rPr>
          <w:sz w:val="20"/>
          <w:szCs w:val="20"/>
          <w:color w:val="auto"/>
        </w:rPr>
      </w:pPr>
      <w:r>
        <w:rPr>
          <w:rFonts w:ascii="Times New Roman" w:cs="Times New Roman" w:eastAsia="Times New Roman" w:hAnsi="Times New Roman"/>
          <w:sz w:val="21"/>
          <w:szCs w:val="21"/>
          <w:color w:val="auto"/>
        </w:rPr>
        <w:t xml:space="preserve">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21"/>
          <w:szCs w:val="21"/>
          <w:u w:val="single" w:color="auto"/>
          <w:color w:val="auto"/>
        </w:rPr>
        <w:t>Exhibit H-4</w:t>
      </w:r>
      <w:r>
        <w:rPr>
          <w:rFonts w:ascii="Times New Roman" w:cs="Times New Roman" w:eastAsia="Times New Roman" w:hAnsi="Times New Roman"/>
          <w:sz w:val="21"/>
          <w:szCs w:val="21"/>
          <w:color w:val="auto"/>
        </w:rPr>
        <w:t xml:space="preserve"> on behalf of each such direct and indirect partner together with the executed copies of the applicable IRS Forms;</w:t>
      </w:r>
    </w:p>
    <w:p>
      <w:pPr>
        <w:spacing w:after="0" w:line="148" w:lineRule="exact"/>
        <w:rPr>
          <w:sz w:val="20"/>
          <w:szCs w:val="20"/>
          <w:color w:val="auto"/>
        </w:rPr>
      </w:pPr>
    </w:p>
    <w:p>
      <w:pPr>
        <w:jc w:val="both"/>
        <w:ind w:left="1280" w:firstLine="1143"/>
        <w:spacing w:after="0" w:line="219" w:lineRule="auto"/>
        <w:tabs>
          <w:tab w:leader="none" w:pos="3187" w:val="left"/>
        </w:tabs>
        <w:numPr>
          <w:ilvl w:val="2"/>
          <w:numId w:val="170"/>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any Foreign Lender shall, to the extent it is legally entitled to do so, deliver to the Borrower and the Administrative Agent (in such number of copies as shall be reasonably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w:t>
      </w:r>
    </w:p>
    <w:p>
      <w:pPr>
        <w:spacing w:after="0" w:line="153" w:lineRule="exact"/>
        <w:rPr>
          <w:rFonts w:ascii="Times New Roman" w:cs="Times New Roman" w:eastAsia="Times New Roman" w:hAnsi="Times New Roman"/>
          <w:sz w:val="19"/>
          <w:szCs w:val="19"/>
          <w:color w:val="auto"/>
        </w:rPr>
      </w:pPr>
    </w:p>
    <w:p>
      <w:pPr>
        <w:jc w:val="both"/>
        <w:ind w:left="640" w:firstLine="1274"/>
        <w:spacing w:after="0" w:line="217" w:lineRule="auto"/>
        <w:tabs>
          <w:tab w:leader="none" w:pos="2548" w:val="left"/>
        </w:tabs>
        <w:numPr>
          <w:ilvl w:val="1"/>
          <w:numId w:val="1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Times New Roman" w:cs="Times New Roman" w:eastAsia="Times New Roman" w:hAnsi="Times New Roman"/>
          <w:sz w:val="21"/>
          <w:szCs w:val="21"/>
          <w:u w:val="single" w:color="auto"/>
          <w:color w:val="auto"/>
        </w:rPr>
        <w:t>clause (iii)</w:t>
      </w:r>
      <w:r>
        <w:rPr>
          <w:rFonts w:ascii="Times New Roman" w:cs="Times New Roman" w:eastAsia="Times New Roman" w:hAnsi="Times New Roman"/>
          <w:sz w:val="21"/>
          <w:szCs w:val="21"/>
          <w:color w:val="auto"/>
        </w:rPr>
        <w:t>, “FATCA” shall include any amendments made to FATCA after the date of this Agreement.</w:t>
      </w:r>
    </w:p>
    <w:p>
      <w:pPr>
        <w:spacing w:after="0" w:line="148" w:lineRule="exact"/>
        <w:rPr>
          <w:rFonts w:ascii="Times New Roman" w:cs="Times New Roman" w:eastAsia="Times New Roman" w:hAnsi="Times New Roman"/>
          <w:sz w:val="21"/>
          <w:szCs w:val="21"/>
          <w:color w:val="auto"/>
        </w:rPr>
      </w:pPr>
    </w:p>
    <w:p>
      <w:pPr>
        <w:jc w:val="both"/>
        <w:ind w:left="640" w:firstLine="1274"/>
        <w:spacing w:after="0" w:line="226" w:lineRule="auto"/>
        <w:tabs>
          <w:tab w:leader="none" w:pos="2536" w:val="left"/>
        </w:tabs>
        <w:numPr>
          <w:ilvl w:val="1"/>
          <w:numId w:val="1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 shall promptly (A) notify the Borrower and the Administrative Agent of any change in circumstances which would modify or render invalid any claimed exemption or reduction or if any form or certification it previously delivered becomes obsolete or inaccurate or expires and (B) update any such form or certification or notify the Borrower and Administrative Agent in writing of its legal inability to do so.</w:t>
      </w:r>
    </w:p>
    <w:p>
      <w:pPr>
        <w:spacing w:after="0" w:line="148" w:lineRule="exact"/>
        <w:rPr>
          <w:rFonts w:ascii="Times New Roman" w:cs="Times New Roman" w:eastAsia="Times New Roman" w:hAnsi="Times New Roman"/>
          <w:sz w:val="21"/>
          <w:szCs w:val="21"/>
          <w:color w:val="auto"/>
        </w:rPr>
      </w:pPr>
    </w:p>
    <w:p>
      <w:pPr>
        <w:jc w:val="both"/>
        <w:ind w:firstLine="1278"/>
        <w:spacing w:after="0" w:line="216" w:lineRule="auto"/>
        <w:tabs>
          <w:tab w:leader="none" w:pos="1908" w:val="left"/>
        </w:tabs>
        <w:numPr>
          <w:ilvl w:val="0"/>
          <w:numId w:val="1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Treatment of Certain Refunds</w:t>
      </w:r>
      <w:r>
        <w:rPr>
          <w:rFonts w:ascii="Times New Roman" w:cs="Times New Roman" w:eastAsia="Times New Roman" w:hAnsi="Times New Roman"/>
          <w:sz w:val="21"/>
          <w:szCs w:val="21"/>
          <w:color w:val="auto"/>
        </w:rPr>
        <w:t>. At no time shall the Administrative Agent have any obligation to file for 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otherwise pursue on behalf of a Lender or an L/C Issuer, or have any obligation to pay to any Lender or L/C Issuer, any refund of Taxes withheld or deducted from funds paid for the account of such Lender or L/C Issuer, as the case may be. If the Administrative Agent, any Lender or any L/C Issuer determines, in its sole discretion exercised reasonably, that it has received a refund of any Indemnified Taxes as to which it has been indemnified by the Borrower or with respect to which the Borrower has paid additional amounts pursuant to this </w:t>
      </w:r>
      <w:r>
        <w:rPr>
          <w:rFonts w:ascii="Times New Roman" w:cs="Times New Roman" w:eastAsia="Times New Roman" w:hAnsi="Times New Roman"/>
          <w:sz w:val="21"/>
          <w:szCs w:val="21"/>
          <w:u w:val="single" w:color="auto"/>
          <w:color w:val="auto"/>
        </w:rPr>
        <w:t>Section 3.01</w:t>
      </w:r>
      <w:r>
        <w:rPr>
          <w:rFonts w:ascii="Times New Roman" w:cs="Times New Roman" w:eastAsia="Times New Roman" w:hAnsi="Times New Roman"/>
          <w:sz w:val="21"/>
          <w:szCs w:val="21"/>
          <w:color w:val="auto"/>
        </w:rPr>
        <w:t xml:space="preserve">, it shall pay to the Borrower an amount equal to such refund (but only to the extent of indemnity payments made, or additional amounts paid, by the Borrower under this </w:t>
      </w:r>
      <w:r>
        <w:rPr>
          <w:rFonts w:ascii="Times New Roman" w:cs="Times New Roman" w:eastAsia="Times New Roman" w:hAnsi="Times New Roman"/>
          <w:sz w:val="21"/>
          <w:szCs w:val="21"/>
          <w:u w:val="single" w:color="auto"/>
          <w:color w:val="auto"/>
        </w:rPr>
        <w:t>Section 3.01</w:t>
      </w:r>
      <w:r>
        <w:rPr>
          <w:rFonts w:ascii="Times New Roman" w:cs="Times New Roman" w:eastAsia="Times New Roman" w:hAnsi="Times New Roman"/>
          <w:sz w:val="21"/>
          <w:szCs w:val="21"/>
          <w:color w:val="auto"/>
        </w:rPr>
        <w:t xml:space="preserve"> with respect to the Indemnified Taxes giving rise to such refund), net of all out-of-pocket expenses (including Taxes) incurred by the Administrative Agent, such Lender or such L/C Issuer, as the case may be, related to the receipt of such refund and without interest (other than any interest paid by the relevant Governmental Authority with respect to such refund),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Borrower, upon the request of the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106</w:t>
      </w:r>
    </w:p>
    <w:p>
      <w:pPr>
        <w:sectPr>
          <w:pgSz w:w="11900" w:h="16838" w:orient="portrait"/>
          <w:cols w:equalWidth="0" w:num="1">
            <w:col w:w="11240"/>
          </w:cols>
          <w:pgMar w:left="320" w:top="1371" w:right="339" w:bottom="1440" w:gutter="0" w:footer="0" w:header="0"/>
        </w:sectPr>
      </w:pPr>
    </w:p>
    <w:bookmarkStart w:id="212" w:name="page213"/>
    <w:bookmarkEnd w:id="212"/>
    <w:p>
      <w:pPr>
        <w:jc w:val="both"/>
        <w:spacing w:after="0" w:line="217" w:lineRule="auto"/>
        <w:rPr>
          <w:sz w:val="20"/>
          <w:szCs w:val="20"/>
          <w:color w:val="auto"/>
        </w:rPr>
      </w:pPr>
      <w:r>
        <w:rPr>
          <w:rFonts w:ascii="Times New Roman" w:cs="Times New Roman" w:eastAsia="Times New Roman" w:hAnsi="Times New Roman"/>
          <w:sz w:val="21"/>
          <w:szCs w:val="21"/>
          <w:color w:val="auto"/>
        </w:rPr>
        <w:t>Agent, such Lender or such L/C Issuer, agrees to repay the amount paid over to the Borrower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any penalties, interest or other charges imposed by the relevant Governmental Authority) to the Administrative Agent, such Lender or such L/C Issuer in the event the Administrative Agent, such Lender or such L/C Issuer is required to repay such refund to such Governmental Authority. This subsection shall not be construed to require the Administrative Agent, any Lender or any L/C Issuer to make available its tax returns (or any other information relating to its taxes that it deems confidential) to the Borrower or any other Person. Notwithstanding anything to the contrary in this subsection, in no event will the Administrative Agent, such Lender or such L/C Issuer be required to pay any amount to the Borrower pursuant to this subsection the payment of which would place the Administrative Agent, such Lender or such L/C Issuer in a less favorable after-Tax position than the Administrative Agent, such Lender or such L/C Issuer would have been in if the Tax subject to indemnification and giving rise to such refund had not been deducted, withheld or otherwise imposed and the indemnification payments or additional amounts giving rise to such refund had never been paid.</w:t>
      </w:r>
    </w:p>
    <w:p>
      <w:pPr>
        <w:spacing w:after="0" w:line="147" w:lineRule="exact"/>
        <w:rPr>
          <w:sz w:val="20"/>
          <w:szCs w:val="20"/>
          <w:color w:val="auto"/>
        </w:rPr>
      </w:pPr>
    </w:p>
    <w:p>
      <w:pPr>
        <w:jc w:val="both"/>
        <w:ind w:firstLine="1278"/>
        <w:spacing w:after="0" w:line="232" w:lineRule="auto"/>
        <w:tabs>
          <w:tab w:leader="none" w:pos="1903" w:val="left"/>
        </w:tabs>
        <w:numPr>
          <w:ilvl w:val="0"/>
          <w:numId w:val="1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Survival</w:t>
      </w:r>
      <w:r>
        <w:rPr>
          <w:rFonts w:ascii="Times New Roman" w:cs="Times New Roman" w:eastAsia="Times New Roman" w:hAnsi="Times New Roman"/>
          <w:sz w:val="21"/>
          <w:szCs w:val="21"/>
          <w:color w:val="auto"/>
        </w:rPr>
        <w:t>. Each party’s obligations under this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u w:val="single" w:color="auto"/>
          <w:color w:val="auto"/>
        </w:rPr>
        <w:t>Section 3.01</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shall survive the resignation and/or replacement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the Administrative Agent, any assignment of rights by, or the replacement of, a Lender or any L/C Issuer, the termination of the Aggregate Commitments and the repayment, satisfaction or discharge of all other Obligations.</w:t>
      </w:r>
    </w:p>
    <w:p>
      <w:pPr>
        <w:spacing w:after="0" w:line="148"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3.02</w:t>
      </w:r>
      <w:r>
        <w:rPr>
          <w:sz w:val="20"/>
          <w:szCs w:val="20"/>
          <w:color w:val="auto"/>
        </w:rPr>
        <w:tab/>
      </w:r>
      <w:r>
        <w:rPr>
          <w:rFonts w:ascii="Times New Roman" w:cs="Times New Roman" w:eastAsia="Times New Roman" w:hAnsi="Times New Roman"/>
          <w:sz w:val="21"/>
          <w:szCs w:val="21"/>
          <w:i w:val="1"/>
          <w:iCs w:val="1"/>
          <w:color w:val="auto"/>
        </w:rPr>
        <w:t>Illegality</w:t>
      </w:r>
    </w:p>
    <w:p>
      <w:pPr>
        <w:spacing w:after="0" w:line="211" w:lineRule="exact"/>
        <w:rPr>
          <w:sz w:val="20"/>
          <w:szCs w:val="20"/>
          <w:color w:val="auto"/>
        </w:rPr>
      </w:pPr>
    </w:p>
    <w:p>
      <w:pPr>
        <w:jc w:val="both"/>
        <w:ind w:firstLine="642"/>
        <w:spacing w:after="0" w:line="254" w:lineRule="auto"/>
        <w:tabs>
          <w:tab w:leader="none" w:pos="755" w:val="left"/>
        </w:tabs>
        <w:numPr>
          <w:ilvl w:val="0"/>
          <w:numId w:val="1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any Lender determines that any Law has made it unlawful, or that any Governmental Authority has asserted that it is unlawful, for any Lender or its applicable Lending Office to make, maintain or fund Loans whose interest is determined by reference to </w:t>
      </w:r>
      <w:r>
        <w:rPr>
          <w:rFonts w:ascii="Times New Roman" w:cs="Times New Roman" w:eastAsia="Times New Roman" w:hAnsi="Times New Roman"/>
          <w:sz w:val="21"/>
          <w:szCs w:val="21"/>
          <w:b w:val="1"/>
          <w:bCs w:val="1"/>
          <w:color w:val="FF0000"/>
        </w:rPr>
        <w:t>the Adjusted</w:t>
      </w:r>
      <w:r>
        <w:rPr>
          <w:rFonts w:ascii="Times New Roman" w:cs="Times New Roman" w:eastAsia="Times New Roman" w:hAnsi="Times New Roman"/>
          <w:sz w:val="21"/>
          <w:szCs w:val="21"/>
          <w:color w:val="auto"/>
        </w:rPr>
        <w:t xml:space="preserve"> Term SOFR </w:t>
      </w:r>
      <w:r>
        <w:rPr>
          <w:rFonts w:ascii="Times New Roman" w:cs="Times New Roman" w:eastAsia="Times New Roman" w:hAnsi="Times New Roman"/>
          <w:sz w:val="21"/>
          <w:szCs w:val="21"/>
          <w:b w:val="1"/>
          <w:bCs w:val="1"/>
          <w:color w:val="FF0000"/>
          <w:strike w:val="1"/>
        </w:rPr>
        <w:t>Rate</w:t>
      </w:r>
      <w:r>
        <w:rPr>
          <w:rFonts w:ascii="Times New Roman" w:cs="Times New Roman" w:eastAsia="Times New Roman" w:hAnsi="Times New Roman"/>
          <w:sz w:val="21"/>
          <w:szCs w:val="21"/>
          <w:color w:val="auto"/>
        </w:rPr>
        <w:t xml:space="preserve">, the Eurodollar Rate or the Daily Simple RFR, or to determine or charge interest rates based upon </w:t>
      </w:r>
      <w:r>
        <w:rPr>
          <w:rFonts w:ascii="Times New Roman" w:cs="Times New Roman" w:eastAsia="Times New Roman" w:hAnsi="Times New Roman"/>
          <w:sz w:val="21"/>
          <w:szCs w:val="21"/>
          <w:b w:val="1"/>
          <w:bCs w:val="1"/>
          <w:color w:val="FF0000"/>
          <w:strike w:val="1"/>
        </w:rPr>
        <w:t>the Adjusted</w:t>
      </w:r>
      <w:r>
        <w:rPr>
          <w:rFonts w:ascii="Times New Roman" w:cs="Times New Roman" w:eastAsia="Times New Roman" w:hAnsi="Times New Roman"/>
          <w:sz w:val="21"/>
          <w:szCs w:val="21"/>
          <w:color w:val="auto"/>
        </w:rPr>
        <w:t xml:space="preserve"> Term SOFR </w:t>
      </w:r>
      <w:r>
        <w:rPr>
          <w:rFonts w:ascii="Times New Roman" w:cs="Times New Roman" w:eastAsia="Times New Roman" w:hAnsi="Times New Roman"/>
          <w:sz w:val="21"/>
          <w:szCs w:val="21"/>
          <w:b w:val="1"/>
          <w:bCs w:val="1"/>
          <w:color w:val="FF0000"/>
        </w:rPr>
        <w:t>Rate</w:t>
      </w:r>
      <w:r>
        <w:rPr>
          <w:rFonts w:ascii="Times New Roman" w:cs="Times New Roman" w:eastAsia="Times New Roman" w:hAnsi="Times New Roman"/>
          <w:sz w:val="21"/>
          <w:szCs w:val="21"/>
          <w:color w:val="auto"/>
        </w:rPr>
        <w:t xml:space="preserve">, the Eurodollar Rate or the Daily Simple RFR, or any Governmental Authority has imposed material restrictions on the authority of such Lender to purchase or sell, or to take deposits of, U.S. Dollars or any Alternative Currency in the applicable interbank market, then, on notice thereof by such Lender to the Borrower through the Administrative Agent, (i) any obligation of such Lender to make or continue Term SOFR Loans, Eurodollar Rate Loans or RFR Loans in the affected currency or currencies or to convert Base Rate Loans to Term SOFR Loans shall be suspended and (ii) if such notice asserts the illegality of such Lender making or maintaining Base Rate Loans the interest rate on which is determined by reference to </w:t>
      </w:r>
      <w:r>
        <w:rPr>
          <w:rFonts w:ascii="Times New Roman" w:cs="Times New Roman" w:eastAsia="Times New Roman" w:hAnsi="Times New Roman"/>
          <w:sz w:val="21"/>
          <w:szCs w:val="21"/>
          <w:b w:val="1"/>
          <w:bCs w:val="1"/>
          <w:color w:val="FF0000"/>
          <w:strike w:val="1"/>
        </w:rPr>
        <w:t>the Adjusted</w:t>
      </w:r>
      <w:r>
        <w:rPr>
          <w:rFonts w:ascii="Times New Roman" w:cs="Times New Roman" w:eastAsia="Times New Roman" w:hAnsi="Times New Roman"/>
          <w:sz w:val="21"/>
          <w:szCs w:val="21"/>
          <w:color w:val="auto"/>
        </w:rPr>
        <w:t xml:space="preserve"> Term SOFR </w:t>
      </w:r>
      <w:r>
        <w:rPr>
          <w:rFonts w:ascii="Times New Roman" w:cs="Times New Roman" w:eastAsia="Times New Roman" w:hAnsi="Times New Roman"/>
          <w:sz w:val="21"/>
          <w:szCs w:val="21"/>
          <w:b w:val="1"/>
          <w:bCs w:val="1"/>
          <w:color w:val="FF0000"/>
        </w:rPr>
        <w:t>Rate</w:t>
      </w:r>
      <w:r>
        <w:rPr>
          <w:rFonts w:ascii="Times New Roman" w:cs="Times New Roman" w:eastAsia="Times New Roman" w:hAnsi="Times New Roman"/>
          <w:sz w:val="21"/>
          <w:szCs w:val="21"/>
          <w:color w:val="auto"/>
        </w:rPr>
        <w:t xml:space="preserve"> component of the Base Rate, the interest rate on which Base Rate Loans of such Lender shall, if necessary to avoid such illegality, be determined by the Administrative Agent without reference to </w:t>
      </w:r>
      <w:r>
        <w:rPr>
          <w:rFonts w:ascii="Times New Roman" w:cs="Times New Roman" w:eastAsia="Times New Roman" w:hAnsi="Times New Roman"/>
          <w:sz w:val="21"/>
          <w:szCs w:val="21"/>
          <w:b w:val="1"/>
          <w:bCs w:val="1"/>
          <w:color w:val="FF0000"/>
          <w:strike w:val="1"/>
        </w:rPr>
        <w:t>the Adjusted</w:t>
      </w:r>
      <w:r>
        <w:rPr>
          <w:rFonts w:ascii="Times New Roman" w:cs="Times New Roman" w:eastAsia="Times New Roman" w:hAnsi="Times New Roman"/>
          <w:sz w:val="21"/>
          <w:szCs w:val="21"/>
          <w:color w:val="auto"/>
        </w:rPr>
        <w:t xml:space="preserve"> Term SOFR </w:t>
      </w:r>
      <w:r>
        <w:rPr>
          <w:rFonts w:ascii="Times New Roman" w:cs="Times New Roman" w:eastAsia="Times New Roman" w:hAnsi="Times New Roman"/>
          <w:sz w:val="21"/>
          <w:szCs w:val="21"/>
          <w:b w:val="1"/>
          <w:bCs w:val="1"/>
          <w:color w:val="FF0000"/>
          <w:strike w:val="1"/>
        </w:rPr>
        <w:t>Rate</w:t>
      </w:r>
      <w:r>
        <w:rPr>
          <w:rFonts w:ascii="Times New Roman" w:cs="Times New Roman" w:eastAsia="Times New Roman" w:hAnsi="Times New Roman"/>
          <w:sz w:val="21"/>
          <w:szCs w:val="21"/>
          <w:color w:val="auto"/>
        </w:rPr>
        <w:t xml:space="preserve"> component of the Base Rate, in each case until such Lender notifies the Administrative Agent and the Borrower that the circumstances giving rise to such determination no longer exist. Upon receipt of such notice, (x) the Borrower shall, upon demand from such Lender (with a copy to the Administrative Agent), if such Loans are not denominated in U.S. Dollars, prepay such Loans, or if such Loans are denominated in U.S. Dollars, convert all such Loans of such Lender to Base Rate Loans or (y) if such notice asserts the illegality of such Lender making or maintaining Base Rate Loans (the interest rate on which is determined by reference to </w:t>
      </w:r>
      <w:r>
        <w:rPr>
          <w:rFonts w:ascii="Times New Roman" w:cs="Times New Roman" w:eastAsia="Times New Roman" w:hAnsi="Times New Roman"/>
          <w:sz w:val="21"/>
          <w:szCs w:val="21"/>
          <w:b w:val="1"/>
          <w:bCs w:val="1"/>
          <w:color w:val="FF0000"/>
          <w:strike w:val="1"/>
        </w:rPr>
        <w:t>the Adjusted</w:t>
      </w:r>
      <w:r>
        <w:rPr>
          <w:rFonts w:ascii="Times New Roman" w:cs="Times New Roman" w:eastAsia="Times New Roman" w:hAnsi="Times New Roman"/>
          <w:sz w:val="21"/>
          <w:szCs w:val="21"/>
          <w:color w:val="auto"/>
        </w:rPr>
        <w:t xml:space="preserve"> Term SOFR </w:t>
      </w:r>
      <w:r>
        <w:rPr>
          <w:rFonts w:ascii="Times New Roman" w:cs="Times New Roman" w:eastAsia="Times New Roman" w:hAnsi="Times New Roman"/>
          <w:sz w:val="21"/>
          <w:szCs w:val="21"/>
          <w:b w:val="1"/>
          <w:bCs w:val="1"/>
          <w:color w:val="FF0000"/>
        </w:rPr>
        <w:t>Rate</w:t>
      </w:r>
      <w:r>
        <w:rPr>
          <w:rFonts w:ascii="Times New Roman" w:cs="Times New Roman" w:eastAsia="Times New Roman" w:hAnsi="Times New Roman"/>
          <w:sz w:val="21"/>
          <w:szCs w:val="21"/>
          <w:color w:val="auto"/>
        </w:rPr>
        <w:t xml:space="preserve"> component of the Base Rate), the interest rate on which Base Rate Loans of such Lender shall, if necessary to avoid such illegality, be determined by the Administrative Agent without reference to </w:t>
      </w:r>
      <w:r>
        <w:rPr>
          <w:rFonts w:ascii="Times New Roman" w:cs="Times New Roman" w:eastAsia="Times New Roman" w:hAnsi="Times New Roman"/>
          <w:sz w:val="21"/>
          <w:szCs w:val="21"/>
          <w:b w:val="1"/>
          <w:bCs w:val="1"/>
          <w:color w:val="FF0000"/>
          <w:strike w:val="1"/>
        </w:rPr>
        <w:t>the Adjusted</w:t>
      </w:r>
      <w:r>
        <w:rPr>
          <w:rFonts w:ascii="Times New Roman" w:cs="Times New Roman" w:eastAsia="Times New Roman" w:hAnsi="Times New Roman"/>
          <w:sz w:val="21"/>
          <w:szCs w:val="21"/>
          <w:color w:val="auto"/>
        </w:rPr>
        <w:t xml:space="preserve"> Term SOFR </w:t>
      </w:r>
      <w:r>
        <w:rPr>
          <w:rFonts w:ascii="Times New Roman" w:cs="Times New Roman" w:eastAsia="Times New Roman" w:hAnsi="Times New Roman"/>
          <w:sz w:val="21"/>
          <w:szCs w:val="21"/>
          <w:b w:val="1"/>
          <w:bCs w:val="1"/>
          <w:color w:val="FF0000"/>
        </w:rPr>
        <w:t>Rate</w:t>
      </w:r>
      <w:r>
        <w:rPr>
          <w:rFonts w:ascii="Times New Roman" w:cs="Times New Roman" w:eastAsia="Times New Roman" w:hAnsi="Times New Roman"/>
          <w:sz w:val="21"/>
          <w:szCs w:val="21"/>
          <w:color w:val="auto"/>
        </w:rPr>
        <w:t xml:space="preserve"> component of the Base Rate, in each case, either on the last day of the Interest Period therefor, if such Lender may lawfully continue to maintain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642620</wp:posOffset>
            </wp:positionH>
            <wp:positionV relativeFrom="paragraph">
              <wp:posOffset>-2670175</wp:posOffset>
            </wp:positionV>
            <wp:extent cx="77851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5">
                      <a:extLst>
                        <a:ext uri="{28A0092B-C50C-407E-A947-70E740481C1C}"/>
                      </a:extLst>
                    </a:blip>
                    <a:srcRect/>
                    <a:stretch>
                      <a:fillRect/>
                    </a:stretch>
                  </pic:blipFill>
                  <pic:spPr bwMode="auto">
                    <a:xfrm>
                      <a:off x="0" y="0"/>
                      <a:ext cx="778510" cy="8255"/>
                    </a:xfrm>
                    <a:prstGeom prst="rect">
                      <a:avLst/>
                    </a:prstGeom>
                    <a:noFill/>
                  </pic:spPr>
                </pic:pic>
              </a:graphicData>
            </a:graphic>
          </wp:anchor>
        </w:drawing>
        <w:drawing>
          <wp:anchor simplePos="0" relativeHeight="251657728" behindDoc="1" locked="0" layoutInCell="0" allowOverlap="1">
            <wp:simplePos x="0" y="0"/>
            <wp:positionH relativeFrom="column">
              <wp:posOffset>2128520</wp:posOffset>
            </wp:positionH>
            <wp:positionV relativeFrom="paragraph">
              <wp:posOffset>-2501900</wp:posOffset>
            </wp:positionV>
            <wp:extent cx="31115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6">
                      <a:extLst>
                        <a:ext uri="{28A0092B-C50C-407E-A947-70E740481C1C}"/>
                      </a:extLst>
                    </a:blip>
                    <a:srcRect/>
                    <a:stretch>
                      <a:fillRect/>
                    </a:stretch>
                  </pic:blipFill>
                  <pic:spPr bwMode="auto">
                    <a:xfrm>
                      <a:off x="0" y="0"/>
                      <a:ext cx="311150" cy="8255"/>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-1534160</wp:posOffset>
            </wp:positionV>
            <wp:extent cx="31940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7">
                      <a:extLst>
                        <a:ext uri="{28A0092B-C50C-407E-A947-70E740481C1C}"/>
                      </a:extLst>
                    </a:blip>
                    <a:srcRect/>
                    <a:stretch>
                      <a:fillRect/>
                    </a:stretch>
                  </pic:blipFill>
                  <pic:spPr bwMode="auto">
                    <a:xfrm>
                      <a:off x="0" y="0"/>
                      <a:ext cx="319405" cy="8255"/>
                    </a:xfrm>
                    <a:prstGeom prst="rect">
                      <a:avLst/>
                    </a:prstGeom>
                    <a:noFill/>
                  </pic:spPr>
                </pic:pic>
              </a:graphicData>
            </a:graphic>
          </wp:anchor>
        </w:drawing>
        <w:drawing>
          <wp:anchor simplePos="0" relativeHeight="251657728" behindDoc="1" locked="0" layoutInCell="0" allowOverlap="1">
            <wp:simplePos x="0" y="0"/>
            <wp:positionH relativeFrom="column">
              <wp:posOffset>2174875</wp:posOffset>
            </wp:positionH>
            <wp:positionV relativeFrom="paragraph">
              <wp:posOffset>-406400</wp:posOffset>
            </wp:positionV>
            <wp:extent cx="31940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8">
                      <a:extLst>
                        <a:ext uri="{28A0092B-C50C-407E-A947-70E740481C1C}"/>
                      </a:extLst>
                    </a:blip>
                    <a:srcRect/>
                    <a:stretch>
                      <a:fillRect/>
                    </a:stretch>
                  </pic:blipFill>
                  <pic:spPr bwMode="auto">
                    <a:xfrm>
                      <a:off x="0" y="0"/>
                      <a:ext cx="319405" cy="825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-86995</wp:posOffset>
            </wp:positionV>
            <wp:extent cx="31115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9">
                      <a:extLst>
                        <a:ext uri="{28A0092B-C50C-407E-A947-70E740481C1C}"/>
                      </a:extLst>
                    </a:blip>
                    <a:srcRect/>
                    <a:stretch>
                      <a:fillRect/>
                    </a:stretch>
                  </pic:blipFill>
                  <pic:spPr bwMode="auto">
                    <a:xfrm>
                      <a:off x="0" y="0"/>
                      <a:ext cx="3111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107</w:t>
      </w:r>
    </w:p>
    <w:p>
      <w:pPr>
        <w:sectPr>
          <w:pgSz w:w="11900" w:h="16838" w:orient="portrait"/>
          <w:cols w:equalWidth="0" w:num="1">
            <w:col w:w="11240"/>
          </w:cols>
          <w:pgMar w:left="320" w:top="1371" w:right="339" w:bottom="1440" w:gutter="0" w:footer="0" w:header="0"/>
        </w:sectPr>
      </w:pPr>
    </w:p>
    <w:bookmarkStart w:id="213" w:name="page214"/>
    <w:bookmarkEnd w:id="213"/>
    <w:p>
      <w:pPr>
        <w:jc w:val="both"/>
        <w:spacing w:after="0" w:line="267" w:lineRule="auto"/>
        <w:rPr>
          <w:sz w:val="20"/>
          <w:szCs w:val="20"/>
          <w:color w:val="auto"/>
        </w:rPr>
      </w:pPr>
      <w:r>
        <w:rPr>
          <w:rFonts w:ascii="Times New Roman" w:cs="Times New Roman" w:eastAsia="Times New Roman" w:hAnsi="Times New Roman"/>
          <w:sz w:val="21"/>
          <w:szCs w:val="21"/>
          <w:color w:val="auto"/>
        </w:rPr>
        <w:t>Term SOFR Loans or Eurodollar Rate Loans to such day, or immediately, if such Lender may not lawfully continue to maintain such Term SOFR Loans, Eurodollar Rate Loans or RFR Loans. Upon any such prepayment or conversion, the Borrower shall also pay accrued interest on the amount so prepaid or converted.</w:t>
      </w:r>
    </w:p>
    <w:p>
      <w:pPr>
        <w:spacing w:after="0" w:line="146"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3.03</w:t>
      </w:r>
      <w:r>
        <w:rPr>
          <w:sz w:val="20"/>
          <w:szCs w:val="20"/>
          <w:color w:val="auto"/>
        </w:rPr>
        <w:tab/>
      </w:r>
      <w:r>
        <w:rPr>
          <w:rFonts w:ascii="Times New Roman" w:cs="Times New Roman" w:eastAsia="Times New Roman" w:hAnsi="Times New Roman"/>
          <w:sz w:val="21"/>
          <w:szCs w:val="21"/>
          <w:i w:val="1"/>
          <w:iCs w:val="1"/>
          <w:u w:val="single" w:color="auto"/>
          <w:color w:val="auto"/>
        </w:rPr>
        <w:t>Inability to Determine Rates</w:t>
      </w:r>
    </w:p>
    <w:p>
      <w:pPr>
        <w:spacing w:after="0" w:line="211" w:lineRule="exact"/>
        <w:rPr>
          <w:sz w:val="20"/>
          <w:szCs w:val="20"/>
          <w:color w:val="auto"/>
        </w:rPr>
      </w:pPr>
    </w:p>
    <w:p>
      <w:pPr>
        <w:ind w:left="740" w:hanging="98"/>
        <w:spacing w:after="0"/>
        <w:tabs>
          <w:tab w:leader="none" w:pos="740" w:val="left"/>
        </w:tabs>
        <w:numPr>
          <w:ilvl w:val="1"/>
          <w:numId w:val="1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w:t>
      </w:r>
      <w:r>
        <w:rPr>
          <w:rFonts w:ascii="Times New Roman" w:cs="Times New Roman" w:eastAsia="Times New Roman" w:hAnsi="Times New Roman"/>
          <w:sz w:val="21"/>
          <w:szCs w:val="21"/>
          <w:u w:val="single" w:color="auto"/>
          <w:color w:val="auto"/>
        </w:rPr>
        <w:t>Section 3.08</w:t>
      </w:r>
      <w:r>
        <w:rPr>
          <w:rFonts w:ascii="Times New Roman" w:cs="Times New Roman" w:eastAsia="Times New Roman" w:hAnsi="Times New Roman"/>
          <w:sz w:val="21"/>
          <w:szCs w:val="21"/>
          <w:color w:val="auto"/>
        </w:rPr>
        <w:t>, if the Required Lenders determine that for any reason:</w:t>
      </w:r>
    </w:p>
    <w:p>
      <w:pPr>
        <w:spacing w:after="0" w:line="195" w:lineRule="exact"/>
        <w:rPr>
          <w:rFonts w:ascii="Times New Roman" w:cs="Times New Roman" w:eastAsia="Times New Roman" w:hAnsi="Times New Roman"/>
          <w:sz w:val="21"/>
          <w:szCs w:val="21"/>
          <w:color w:val="auto"/>
        </w:rPr>
      </w:pPr>
    </w:p>
    <w:p>
      <w:pPr>
        <w:jc w:val="both"/>
        <w:ind w:firstLine="1278"/>
        <w:spacing w:after="0" w:line="219" w:lineRule="auto"/>
        <w:tabs>
          <w:tab w:leader="none" w:pos="1905" w:val="left"/>
        </w:tabs>
        <w:numPr>
          <w:ilvl w:val="2"/>
          <w:numId w:val="1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connection with any request for a Term SOFR Loan, a Eurodollar Rate Loan or a conversion to or continuation thereof that (A)(i) deposits are not being offered to banks in the interbank market for the applicable amount and Interest Period of such Loan or (ii) adequate and reasonable means do not exist for determining </w:t>
      </w:r>
      <w:r>
        <w:rPr>
          <w:rFonts w:ascii="Times New Roman" w:cs="Times New Roman" w:eastAsia="Times New Roman" w:hAnsi="Times New Roman"/>
          <w:sz w:val="21"/>
          <w:szCs w:val="21"/>
          <w:b w:val="1"/>
          <w:bCs w:val="1"/>
          <w:color w:val="FF0000"/>
        </w:rPr>
        <w:t>the Adjusted</w:t>
      </w:r>
      <w:r>
        <w:rPr>
          <w:rFonts w:ascii="Times New Roman" w:cs="Times New Roman" w:eastAsia="Times New Roman" w:hAnsi="Times New Roman"/>
          <w:sz w:val="21"/>
          <w:szCs w:val="21"/>
          <w:color w:val="auto"/>
        </w:rPr>
        <w:t xml:space="preserve"> Term SOFR </w:t>
      </w:r>
      <w:r>
        <w:rPr>
          <w:rFonts w:ascii="Times New Roman" w:cs="Times New Roman" w:eastAsia="Times New Roman" w:hAnsi="Times New Roman"/>
          <w:sz w:val="21"/>
          <w:szCs w:val="21"/>
          <w:b w:val="1"/>
          <w:bCs w:val="1"/>
          <w:color w:val="FF0000"/>
          <w:strike w:val="1"/>
        </w:rPr>
        <w:t>Rate</w:t>
      </w:r>
      <w:r>
        <w:rPr>
          <w:rFonts w:ascii="Times New Roman" w:cs="Times New Roman" w:eastAsia="Times New Roman" w:hAnsi="Times New Roman"/>
          <w:sz w:val="21"/>
          <w:szCs w:val="21"/>
          <w:color w:val="auto"/>
        </w:rPr>
        <w:t xml:space="preserve"> or the Eurodollar Rate for any requested Interest Period with respect to a proposed Term SOFR Loan or Eurodollar Rate Loan, as applicable, or (B) </w:t>
      </w:r>
      <w:r>
        <w:rPr>
          <w:rFonts w:ascii="Times New Roman" w:cs="Times New Roman" w:eastAsia="Times New Roman" w:hAnsi="Times New Roman"/>
          <w:sz w:val="21"/>
          <w:szCs w:val="21"/>
          <w:b w:val="1"/>
          <w:bCs w:val="1"/>
          <w:color w:val="FF0000"/>
          <w:strike w:val="1"/>
        </w:rPr>
        <w:t>the Adjusted</w:t>
      </w:r>
      <w:r>
        <w:rPr>
          <w:rFonts w:ascii="Times New Roman" w:cs="Times New Roman" w:eastAsia="Times New Roman" w:hAnsi="Times New Roman"/>
          <w:sz w:val="21"/>
          <w:szCs w:val="21"/>
          <w:color w:val="auto"/>
        </w:rPr>
        <w:t xml:space="preserve"> Term SOFR </w:t>
      </w:r>
      <w:r>
        <w:rPr>
          <w:rFonts w:ascii="Times New Roman" w:cs="Times New Roman" w:eastAsia="Times New Roman" w:hAnsi="Times New Roman"/>
          <w:sz w:val="21"/>
          <w:szCs w:val="21"/>
          <w:b w:val="1"/>
          <w:bCs w:val="1"/>
          <w:color w:val="FF0000"/>
        </w:rPr>
        <w:t>Rate</w:t>
      </w:r>
      <w:r>
        <w:rPr>
          <w:rFonts w:ascii="Times New Roman" w:cs="Times New Roman" w:eastAsia="Times New Roman" w:hAnsi="Times New Roman"/>
          <w:sz w:val="21"/>
          <w:szCs w:val="21"/>
          <w:color w:val="auto"/>
        </w:rPr>
        <w:t xml:space="preserve"> or the Eurodollar Rate, for any requested Interest Period with respect to a proposed Term SOFR Loan or Eurodollar Rate Loan does not adequately and fairly reflect the cost to such Lenders of funding such Loan; or</w:t>
      </w:r>
    </w:p>
    <w:p>
      <w:pPr>
        <w:spacing w:after="0" w:line="148" w:lineRule="exact"/>
        <w:rPr>
          <w:rFonts w:ascii="Times New Roman" w:cs="Times New Roman" w:eastAsia="Times New Roman" w:hAnsi="Times New Roman"/>
          <w:sz w:val="21"/>
          <w:szCs w:val="21"/>
          <w:color w:val="auto"/>
        </w:rPr>
      </w:pPr>
    </w:p>
    <w:p>
      <w:pPr>
        <w:ind w:left="1900" w:hanging="622"/>
        <w:spacing w:after="0"/>
        <w:tabs>
          <w:tab w:leader="none" w:pos="1900" w:val="left"/>
        </w:tabs>
        <w:numPr>
          <w:ilvl w:val="2"/>
          <w:numId w:val="1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connection with any RFR Loan, that adequate and reasonable means do not exist for determining the Daily</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Simple RFR,</w:t>
      </w:r>
    </w:p>
    <w:p>
      <w:pPr>
        <w:spacing w:after="0" w:line="185" w:lineRule="exact"/>
        <w:rPr>
          <w:rFonts w:ascii="Times New Roman" w:cs="Times New Roman" w:eastAsia="Times New Roman" w:hAnsi="Times New Roman"/>
          <w:sz w:val="21"/>
          <w:szCs w:val="21"/>
          <w:color w:val="auto"/>
        </w:rPr>
      </w:pPr>
    </w:p>
    <w:p>
      <w:pPr>
        <w:jc w:val="both"/>
        <w:ind w:firstLine="6"/>
        <w:spacing w:after="0" w:line="254" w:lineRule="auto"/>
        <w:tabs>
          <w:tab w:leader="none" w:pos="973" w:val="left"/>
        </w:tabs>
        <w:numPr>
          <w:ilvl w:val="0"/>
          <w:numId w:val="1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then in each case, the Required Lenders will so notify the Administrative Agent and the Administrative Agent will promptly so notify the Borrower and each Lender. Thereafter, (x) the obligation of the Lenders to make or maintain Term SOFR Loans, Eurodollar Rate Loans or RFR Loans, as applicable, shall be suspended and (y) in the event of a determination described in the preceding sentence with respect to </w:t>
      </w:r>
      <w:r>
        <w:rPr>
          <w:rFonts w:ascii="Times New Roman" w:cs="Times New Roman" w:eastAsia="Times New Roman" w:hAnsi="Times New Roman"/>
          <w:sz w:val="21"/>
          <w:szCs w:val="21"/>
          <w:b w:val="1"/>
          <w:bCs w:val="1"/>
          <w:color w:val="FF0000"/>
        </w:rPr>
        <w:t>the Adjusted</w:t>
      </w:r>
      <w:r>
        <w:rPr>
          <w:rFonts w:ascii="Times New Roman" w:cs="Times New Roman" w:eastAsia="Times New Roman" w:hAnsi="Times New Roman"/>
          <w:sz w:val="21"/>
          <w:szCs w:val="21"/>
          <w:color w:val="auto"/>
        </w:rPr>
        <w:t xml:space="preserve"> Term SOFR </w:t>
      </w:r>
      <w:r>
        <w:rPr>
          <w:rFonts w:ascii="Times New Roman" w:cs="Times New Roman" w:eastAsia="Times New Roman" w:hAnsi="Times New Roman"/>
          <w:sz w:val="21"/>
          <w:szCs w:val="21"/>
          <w:b w:val="1"/>
          <w:bCs w:val="1"/>
          <w:color w:val="FF0000"/>
          <w:strike w:val="1"/>
        </w:rPr>
        <w:t>Rate</w:t>
      </w:r>
      <w:r>
        <w:rPr>
          <w:rFonts w:ascii="Times New Roman" w:cs="Times New Roman" w:eastAsia="Times New Roman" w:hAnsi="Times New Roman"/>
          <w:sz w:val="21"/>
          <w:szCs w:val="21"/>
          <w:color w:val="auto"/>
        </w:rPr>
        <w:t xml:space="preserve"> component of the Base Rate, the utilization of </w:t>
      </w:r>
      <w:r>
        <w:rPr>
          <w:rFonts w:ascii="Times New Roman" w:cs="Times New Roman" w:eastAsia="Times New Roman" w:hAnsi="Times New Roman"/>
          <w:sz w:val="21"/>
          <w:szCs w:val="21"/>
          <w:b w:val="1"/>
          <w:bCs w:val="1"/>
          <w:color w:val="FF0000"/>
          <w:strike w:val="1"/>
        </w:rPr>
        <w:t>the Adjusted</w:t>
      </w:r>
      <w:r>
        <w:rPr>
          <w:rFonts w:ascii="Times New Roman" w:cs="Times New Roman" w:eastAsia="Times New Roman" w:hAnsi="Times New Roman"/>
          <w:sz w:val="21"/>
          <w:szCs w:val="21"/>
          <w:color w:val="auto"/>
        </w:rPr>
        <w:t xml:space="preserve"> Term SOFR </w:t>
      </w:r>
      <w:r>
        <w:rPr>
          <w:rFonts w:ascii="Times New Roman" w:cs="Times New Roman" w:eastAsia="Times New Roman" w:hAnsi="Times New Roman"/>
          <w:sz w:val="21"/>
          <w:szCs w:val="21"/>
          <w:b w:val="1"/>
          <w:bCs w:val="1"/>
          <w:color w:val="FF0000"/>
        </w:rPr>
        <w:t>Rate</w:t>
      </w:r>
      <w:r>
        <w:rPr>
          <w:rFonts w:ascii="Times New Roman" w:cs="Times New Roman" w:eastAsia="Times New Roman" w:hAnsi="Times New Roman"/>
          <w:sz w:val="21"/>
          <w:szCs w:val="21"/>
          <w:color w:val="auto"/>
        </w:rPr>
        <w:t xml:space="preserve"> component in determining the Base Rate shall be suspended, in each case until the Administrative Agent (upon the instruction of the Required Lenders) revokes such notice. Upon receipt of such notice, the Borrower may revoke any pending request for a Borrowing of, conversion to or continuation of Term SOFR Loans, Eurodollar Rate Loans or RFR Loans or, failing that, will, (x) in the case of Loans in U.S. Dollars, be deemed to have converted such request into a request for a Borrowing of Base Rate Loans in U.S. Dollars, in the amount specified therein, (y) in the case of Loans in an Alternative Currency other than Sterling, be deemed to have converted any such request into a request for a Borrowing of or conversion to Base Rate Loans in U.S. Dollars (in an amount equal to the U.S. Dollar Equivalent of the amount requested to be borrowed or continued in the Alternative Currency) and (z) in the case of Loans in Sterling, be deemed to have requested a Loan in Sterling that bears interest at the Central Bank Rate plus the Applicable Rate applicable to RFR Loans; provided that, if the Administrative Agent determines (which determination shall be conclusive and binding absent manifest error) that the Central Bank Rate for Sterling cannot be determined, then the Borrower shall be deemed to have converted any such request into a request for a Borrowing of Base Rate Loans in U.S. Dollars (in an amount equal to the U.S. Dollar Equivalent of the amount in question). Upon receipt of such notice with respect to any outstanding Loan, (x) in the case of Loans in U.S. Dollars, the Borrower shall convert all such outstanding Loans to Base Rate Loans, (y) in the case of Loans in an Alternative Currency other than Sterling, the Borrower shall prepay such Loans and (z) in the case of Loans in Sterling, the Borrower shall convert all such outstanding Loans to Loans that bear interest at the Central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5203825</wp:posOffset>
            </wp:positionH>
            <wp:positionV relativeFrom="paragraph">
              <wp:posOffset>-4218305</wp:posOffset>
            </wp:positionV>
            <wp:extent cx="77851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0">
                      <a:extLst>
                        <a:ext uri="{28A0092B-C50C-407E-A947-70E740481C1C}"/>
                      </a:extLst>
                    </a:blip>
                    <a:srcRect/>
                    <a:stretch>
                      <a:fillRect/>
                    </a:stretch>
                  </pic:blipFill>
                  <pic:spPr bwMode="auto">
                    <a:xfrm>
                      <a:off x="0" y="0"/>
                      <a:ext cx="778510" cy="8255"/>
                    </a:xfrm>
                    <a:prstGeom prst="rect">
                      <a:avLst/>
                    </a:prstGeom>
                    <a:noFill/>
                  </pic:spPr>
                </pic:pic>
              </a:graphicData>
            </a:graphic>
          </wp:anchor>
        </w:drawing>
        <w:drawing>
          <wp:anchor simplePos="0" relativeHeight="251657728" behindDoc="1" locked="0" layoutInCell="0" allowOverlap="1">
            <wp:simplePos x="0" y="0"/>
            <wp:positionH relativeFrom="column">
              <wp:posOffset>2532380</wp:posOffset>
            </wp:positionH>
            <wp:positionV relativeFrom="paragraph">
              <wp:posOffset>-3949065</wp:posOffset>
            </wp:positionV>
            <wp:extent cx="31940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1">
                      <a:extLst>
                        <a:ext uri="{28A0092B-C50C-407E-A947-70E740481C1C}"/>
                      </a:extLst>
                    </a:blip>
                    <a:srcRect/>
                    <a:stretch>
                      <a:fillRect/>
                    </a:stretch>
                  </pic:blipFill>
                  <pic:spPr bwMode="auto">
                    <a:xfrm>
                      <a:off x="0" y="0"/>
                      <a:ext cx="319405" cy="8255"/>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-2510155</wp:posOffset>
            </wp:positionV>
            <wp:extent cx="77025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2">
                      <a:extLst>
                        <a:ext uri="{28A0092B-C50C-407E-A947-70E740481C1C}"/>
                      </a:extLst>
                    </a:blip>
                    <a:srcRect/>
                    <a:stretch>
                      <a:fillRect/>
                    </a:stretch>
                  </pic:blipFill>
                  <pic:spPr bwMode="auto">
                    <a:xfrm>
                      <a:off x="0" y="0"/>
                      <a:ext cx="770255" cy="825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-2341880</wp:posOffset>
            </wp:positionV>
            <wp:extent cx="31115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3">
                      <a:extLst>
                        <a:ext uri="{28A0092B-C50C-407E-A947-70E740481C1C}"/>
                      </a:extLst>
                    </a:blip>
                    <a:srcRect/>
                    <a:stretch>
                      <a:fillRect/>
                    </a:stretch>
                  </pic:blipFill>
                  <pic:spPr bwMode="auto">
                    <a:xfrm>
                      <a:off x="0" y="0"/>
                      <a:ext cx="3111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108</w:t>
      </w:r>
    </w:p>
    <w:p>
      <w:pPr>
        <w:sectPr>
          <w:pgSz w:w="11900" w:h="16838" w:orient="portrait"/>
          <w:cols w:equalWidth="0" w:num="1">
            <w:col w:w="11240"/>
          </w:cols>
          <w:pgMar w:left="320" w:top="1397" w:right="339" w:bottom="1440" w:gutter="0" w:footer="0" w:header="0"/>
        </w:sectPr>
      </w:pPr>
    </w:p>
    <w:bookmarkStart w:id="214" w:name="page215"/>
    <w:bookmarkEnd w:id="214"/>
    <w:p>
      <w:pPr>
        <w:jc w:val="both"/>
        <w:spacing w:after="0" w:line="266" w:lineRule="auto"/>
        <w:rPr>
          <w:sz w:val="20"/>
          <w:szCs w:val="20"/>
          <w:color w:val="auto"/>
        </w:rPr>
      </w:pPr>
      <w:r>
        <w:rPr>
          <w:rFonts w:ascii="Times New Roman" w:cs="Times New Roman" w:eastAsia="Times New Roman" w:hAnsi="Times New Roman"/>
          <w:sz w:val="21"/>
          <w:szCs w:val="21"/>
          <w:color w:val="auto"/>
        </w:rPr>
        <w:t xml:space="preserve">Rate plus the Applicable Rate applicable to RFR Loans;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the Administrative Agent determines (which determination shall be conclusive and binding absent manifest error) that the Central Bank Rate for Sterling cannot be determined, then all such Loans shall be prepaid in full promptly upon written demand by the Administrative Agent. Upon any such prepayment, the Borrower shall also pay accrued interest on the amount so prepaid.</w:t>
      </w:r>
    </w:p>
    <w:p>
      <w:pPr>
        <w:spacing w:after="0" w:line="135" w:lineRule="exact"/>
        <w:rPr>
          <w:sz w:val="20"/>
          <w:szCs w:val="20"/>
          <w:color w:val="auto"/>
        </w:rPr>
      </w:pPr>
    </w:p>
    <w:p>
      <w:pPr>
        <w:ind w:left="640"/>
        <w:spacing w:after="0"/>
        <w:tabs>
          <w:tab w:leader="none" w:pos="1940" w:val="left"/>
        </w:tabs>
        <w:rPr>
          <w:sz w:val="20"/>
          <w:szCs w:val="20"/>
          <w:color w:val="auto"/>
        </w:rPr>
      </w:pPr>
      <w:r>
        <w:rPr>
          <w:rFonts w:ascii="Times New Roman" w:cs="Times New Roman" w:eastAsia="Times New Roman" w:hAnsi="Times New Roman"/>
          <w:sz w:val="21"/>
          <w:szCs w:val="21"/>
          <w:color w:val="auto"/>
        </w:rPr>
        <w:t>Section 3.04</w:t>
      </w:r>
      <w:r>
        <w:rPr>
          <w:sz w:val="20"/>
          <w:szCs w:val="20"/>
          <w:color w:val="auto"/>
        </w:rPr>
        <w:tab/>
      </w:r>
      <w:r>
        <w:rPr>
          <w:rFonts w:ascii="Times New Roman" w:cs="Times New Roman" w:eastAsia="Times New Roman" w:hAnsi="Times New Roman"/>
          <w:sz w:val="21"/>
          <w:szCs w:val="21"/>
          <w:i w:val="1"/>
          <w:iCs w:val="1"/>
          <w:color w:val="auto"/>
        </w:rPr>
        <w:t>Increased Costs; Reserves on Eurodollar Rate Loans, Term SOFR Loans and RFR Loans.</w:t>
      </w:r>
    </w:p>
    <w:p>
      <w:pPr>
        <w:spacing w:after="0" w:line="183" w:lineRule="exact"/>
        <w:rPr>
          <w:sz w:val="20"/>
          <w:szCs w:val="20"/>
          <w:color w:val="auto"/>
        </w:rPr>
      </w:pPr>
    </w:p>
    <w:p>
      <w:pPr>
        <w:ind w:left="1920" w:hanging="642"/>
        <w:spacing w:after="0"/>
        <w:tabs>
          <w:tab w:leader="none" w:pos="1920"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Increased Costs Generally</w:t>
      </w:r>
      <w:r>
        <w:rPr>
          <w:rFonts w:ascii="Times New Roman" w:cs="Times New Roman" w:eastAsia="Times New Roman" w:hAnsi="Times New Roman"/>
          <w:sz w:val="21"/>
          <w:szCs w:val="21"/>
          <w:color w:val="auto"/>
        </w:rPr>
        <w:t>. If any Change in Law shall:</w:t>
      </w:r>
    </w:p>
    <w:p>
      <w:pPr>
        <w:spacing w:after="0" w:line="184" w:lineRule="exact"/>
        <w:rPr>
          <w:rFonts w:ascii="Times New Roman" w:cs="Times New Roman" w:eastAsia="Times New Roman" w:hAnsi="Times New Roman"/>
          <w:sz w:val="21"/>
          <w:szCs w:val="21"/>
          <w:color w:val="auto"/>
        </w:rPr>
      </w:pPr>
    </w:p>
    <w:p>
      <w:pPr>
        <w:jc w:val="both"/>
        <w:ind w:left="640" w:firstLine="1274"/>
        <w:spacing w:after="0" w:line="232" w:lineRule="auto"/>
        <w:tabs>
          <w:tab w:leader="none" w:pos="2536" w:val="left"/>
        </w:tabs>
        <w:numPr>
          <w:ilvl w:val="1"/>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impose, modify or deem applicable any reserve, special deposit, compulsory loan, insurance charge or similar requirement against assets of, deposits with or for the account of, or credit extended or participated in by, any Lender (except any reserve requirement contemplated by </w:t>
      </w:r>
      <w:r>
        <w:rPr>
          <w:rFonts w:ascii="Times New Roman" w:cs="Times New Roman" w:eastAsia="Times New Roman" w:hAnsi="Times New Roman"/>
          <w:sz w:val="21"/>
          <w:szCs w:val="21"/>
          <w:u w:val="single" w:color="auto"/>
          <w:color w:val="auto"/>
        </w:rPr>
        <w:t>Section 3.04(e)</w:t>
      </w:r>
      <w:r>
        <w:rPr>
          <w:rFonts w:ascii="Times New Roman" w:cs="Times New Roman" w:eastAsia="Times New Roman" w:hAnsi="Times New Roman"/>
          <w:sz w:val="21"/>
          <w:szCs w:val="21"/>
          <w:color w:val="auto"/>
        </w:rPr>
        <w:t>) or any L/C Issuer;</w:t>
      </w:r>
    </w:p>
    <w:p>
      <w:pPr>
        <w:spacing w:after="0" w:line="147" w:lineRule="exact"/>
        <w:rPr>
          <w:rFonts w:ascii="Times New Roman" w:cs="Times New Roman" w:eastAsia="Times New Roman" w:hAnsi="Times New Roman"/>
          <w:sz w:val="21"/>
          <w:szCs w:val="21"/>
          <w:color w:val="auto"/>
        </w:rPr>
      </w:pPr>
    </w:p>
    <w:p>
      <w:pPr>
        <w:jc w:val="both"/>
        <w:ind w:left="640" w:firstLine="1274"/>
        <w:spacing w:after="0" w:line="226" w:lineRule="auto"/>
        <w:tabs>
          <w:tab w:leader="none" w:pos="2542" w:val="left"/>
        </w:tabs>
        <w:numPr>
          <w:ilvl w:val="1"/>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any Recipient to any Tax (except for Indemnified Taxes covered by </w:t>
      </w:r>
      <w:r>
        <w:rPr>
          <w:rFonts w:ascii="Times New Roman" w:cs="Times New Roman" w:eastAsia="Times New Roman" w:hAnsi="Times New Roman"/>
          <w:sz w:val="21"/>
          <w:szCs w:val="21"/>
          <w:u w:val="single" w:color="auto"/>
          <w:color w:val="auto"/>
        </w:rPr>
        <w:t>Section 3.01</w:t>
      </w:r>
      <w:r>
        <w:rPr>
          <w:rFonts w:ascii="Times New Roman" w:cs="Times New Roman" w:eastAsia="Times New Roman" w:hAnsi="Times New Roman"/>
          <w:sz w:val="21"/>
          <w:szCs w:val="21"/>
          <w:color w:val="auto"/>
        </w:rPr>
        <w:t xml:space="preserve"> and the imposition of, or any change in the rate of, any Tax described in </w:t>
      </w:r>
      <w:r>
        <w:rPr>
          <w:rFonts w:ascii="Times New Roman" w:cs="Times New Roman" w:eastAsia="Times New Roman" w:hAnsi="Times New Roman"/>
          <w:sz w:val="21"/>
          <w:szCs w:val="21"/>
          <w:u w:val="single" w:color="auto"/>
          <w:color w:val="auto"/>
        </w:rPr>
        <w:t>clause (a)(ii)</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clause (b)</w:t>
      </w:r>
      <w:r>
        <w:rPr>
          <w:rFonts w:ascii="Times New Roman" w:cs="Times New Roman" w:eastAsia="Times New Roman" w:hAnsi="Times New Roman"/>
          <w:sz w:val="21"/>
          <w:szCs w:val="21"/>
          <w:color w:val="auto"/>
        </w:rPr>
        <w:t xml:space="preserve"> through </w:t>
      </w:r>
      <w:r>
        <w:rPr>
          <w:rFonts w:ascii="Times New Roman" w:cs="Times New Roman" w:eastAsia="Times New Roman" w:hAnsi="Times New Roman"/>
          <w:sz w:val="21"/>
          <w:szCs w:val="21"/>
          <w:u w:val="single" w:color="auto"/>
          <w:color w:val="auto"/>
        </w:rPr>
        <w:t>(d)</w:t>
      </w:r>
      <w:r>
        <w:rPr>
          <w:rFonts w:ascii="Times New Roman" w:cs="Times New Roman" w:eastAsia="Times New Roman" w:hAnsi="Times New Roman"/>
          <w:sz w:val="21"/>
          <w:szCs w:val="21"/>
          <w:color w:val="auto"/>
        </w:rPr>
        <w:t xml:space="preserve"> of the definition of Excluded Taxes) on its loans, loan principal, letters of credit, commitment, or other obligations, or its deposits, reserves, other liabilities or capital attributable thereto; or</w:t>
      </w:r>
    </w:p>
    <w:p>
      <w:pPr>
        <w:spacing w:after="0" w:line="150" w:lineRule="exact"/>
        <w:rPr>
          <w:rFonts w:ascii="Times New Roman" w:cs="Times New Roman" w:eastAsia="Times New Roman" w:hAnsi="Times New Roman"/>
          <w:sz w:val="21"/>
          <w:szCs w:val="21"/>
          <w:color w:val="auto"/>
        </w:rPr>
      </w:pPr>
    </w:p>
    <w:p>
      <w:pPr>
        <w:jc w:val="both"/>
        <w:ind w:left="640" w:firstLine="1274"/>
        <w:spacing w:after="0" w:line="232" w:lineRule="auto"/>
        <w:tabs>
          <w:tab w:leader="none" w:pos="2548" w:val="left"/>
        </w:tabs>
        <w:numPr>
          <w:ilvl w:val="1"/>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impose on any Lender or any L/C Issuer or the interbank market any other condition, cost or expense (other than Taxes) affecting this Agreement or Term SOFR Loans, Eurodollar Rate Loans or RFR Loans made by such Lender or any Letter of Credit or participation therein;</w:t>
      </w:r>
    </w:p>
    <w:p>
      <w:pPr>
        <w:spacing w:after="0" w:line="1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 xml:space="preserve">and the result of any of the foregoing shall be to increase the cost to the Administrative Agent, any L/C Issuer or any Lender of making, continuing or maintaining any Loan (or of maintaining its obligation to make any such Loan), or to increase the cost to such Lender or L/C Issuer of participating in, issuing or maintaining any Letter of Credit (or of maintaining its obligation to participate in or to issue any Letter of Credit), or to reduce the amount of any sum received or receivable by the Administrative Agent, any Lender or any L/C Issuer hereunder (whether of principal, interest or any other amount) then, upon the request of the Administrative Agent, such Lender or such L/C Issuer, the Borrower will pay to the Administrative Agent, such Lender or such L/C Issuer, as the case may be, such additional amount or amounts as will compensate the Administrative Agent, such Lender or such L/C Issuer, as the case may be, for such additional costs incurred or reduction suffered;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Borrower shall not be obligated to pay any such compensation unless the Lender or L/C Issuer requesting such compensation also is requesting compensation as a result of such Change in Law from other similarly situated customers under agreements relating to similar credit transactions that include provisions similar to this </w:t>
      </w:r>
      <w:r>
        <w:rPr>
          <w:rFonts w:ascii="Times New Roman" w:cs="Times New Roman" w:eastAsia="Times New Roman" w:hAnsi="Times New Roman"/>
          <w:sz w:val="21"/>
          <w:szCs w:val="21"/>
          <w:u w:val="single" w:color="auto"/>
          <w:color w:val="auto"/>
        </w:rPr>
        <w:t>Section 3.04(a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Borrower shall not be required to compensate a Lender or a L/C Issuer pursuant to this Section for any increased costs or reductions incurred more than 180 days prior to the date that such Lender or L/C Issuer notifies the Borrower of the Change in Law giving rise to such increased costs or reductions and of such Lender’s or L/C Issuer’s intention to claim compensation therefor;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that if the Change in Law giving rise to such increased costs or reductions is retroactive, then the 180-day period referred to above shall be extended to include the period of retroactive effect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109</w:t>
      </w:r>
    </w:p>
    <w:p>
      <w:pPr>
        <w:sectPr>
          <w:pgSz w:w="11900" w:h="16838" w:orient="portrait"/>
          <w:cols w:equalWidth="0" w:num="1">
            <w:col w:w="11240"/>
          </w:cols>
          <w:pgMar w:left="320" w:top="1396" w:right="339" w:bottom="1440" w:gutter="0" w:footer="0" w:header="0"/>
        </w:sectPr>
      </w:pPr>
    </w:p>
    <w:bookmarkStart w:id="215" w:name="page216"/>
    <w:bookmarkEnd w:id="215"/>
    <w:p>
      <w:pPr>
        <w:jc w:val="both"/>
        <w:ind w:firstLine="1278"/>
        <w:spacing w:after="0" w:line="215" w:lineRule="auto"/>
        <w:tabs>
          <w:tab w:leader="none" w:pos="1903" w:val="left"/>
        </w:tabs>
        <w:numPr>
          <w:ilvl w:val="0"/>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Capital Requirements</w:t>
      </w:r>
      <w:r>
        <w:rPr>
          <w:rFonts w:ascii="Times New Roman" w:cs="Times New Roman" w:eastAsia="Times New Roman" w:hAnsi="Times New Roman"/>
          <w:sz w:val="21"/>
          <w:szCs w:val="21"/>
          <w:color w:val="auto"/>
        </w:rPr>
        <w:t>. If any Lender or any L/C Issuer determines that any Change in Law affecting such</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Lender or such L/C Issuer or any Lending Office of such Lender or such Lender’s or such L/C Issuer’s holding company, if any, regarding capital or liquidity requirements has or would have the effect of reducing the rate of return on such Lender’s or such L/C Issuer’s capital or on the capital of such Lender’s or such L/C Issuer’s holding company, if any, as a consequence of this Agreement, the Commitments of such Lender or the Loans made by, or participations in Letters of Credit held by, such Lender, or the Letters of Credit issued by such L/C Issuer, to a level below that which such Lender or such L/C Issuer or such Lender’s or such L/C Issuer’s holding company could have achieved but for such Change in Law (taking into consideration such Lender’s or such L/C Issuer’s policies and the policies of such Lender’s or such L/C Issuer’s holding company with respect to capital adequacy and liquidity), then from time to time the Borrower will pay to such Lender or such L/C Issuer, as the case may be, such additional amount or amounts as will compensate such Lender or such L/C Issuer or such Lender’s or such L/C Issuer’s holding company for any such reduction suffered;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Borrower shall not be obligated to pay any such compensation unless the Lender or such L/C Issuer requesting such compensation also is requesting compensation as a result of such Change in Law from other similarly situated customers under agreements relating to similar credit transactions that include provisions similar to this </w:t>
      </w:r>
      <w:r>
        <w:rPr>
          <w:rFonts w:ascii="Times New Roman" w:cs="Times New Roman" w:eastAsia="Times New Roman" w:hAnsi="Times New Roman"/>
          <w:sz w:val="21"/>
          <w:szCs w:val="21"/>
          <w:u w:val="single" w:color="auto"/>
          <w:color w:val="auto"/>
        </w:rPr>
        <w:t>Section 3.04(b)</w:t>
      </w:r>
      <w:r>
        <w:rPr>
          <w:rFonts w:ascii="Times New Roman" w:cs="Times New Roman" w:eastAsia="Times New Roman" w:hAnsi="Times New Roman"/>
          <w:sz w:val="21"/>
          <w:szCs w:val="21"/>
          <w:color w:val="auto"/>
        </w:rPr>
        <w:t>.</w:t>
      </w:r>
    </w:p>
    <w:p>
      <w:pPr>
        <w:spacing w:after="0" w:line="155" w:lineRule="exact"/>
        <w:rPr>
          <w:rFonts w:ascii="Times New Roman" w:cs="Times New Roman" w:eastAsia="Times New Roman" w:hAnsi="Times New Roman"/>
          <w:sz w:val="21"/>
          <w:szCs w:val="21"/>
          <w:color w:val="auto"/>
        </w:rPr>
      </w:pPr>
    </w:p>
    <w:p>
      <w:pPr>
        <w:jc w:val="both"/>
        <w:ind w:firstLine="1278"/>
        <w:spacing w:after="0" w:line="223" w:lineRule="auto"/>
        <w:tabs>
          <w:tab w:leader="none" w:pos="1905" w:val="left"/>
        </w:tabs>
        <w:numPr>
          <w:ilvl w:val="0"/>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Certificates for Reimbursement</w:t>
      </w:r>
      <w:r>
        <w:rPr>
          <w:rFonts w:ascii="Times New Roman" w:cs="Times New Roman" w:eastAsia="Times New Roman" w:hAnsi="Times New Roman"/>
          <w:sz w:val="21"/>
          <w:szCs w:val="21"/>
          <w:color w:val="auto"/>
        </w:rPr>
        <w:t>. A certificate of a Lender or an L/C Issuer setting forth in reasonable detail</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the amount or amounts necessary to compensate such Lender or such L/C Issuer or its holding company, as the case may be, as specified in </w:t>
      </w:r>
      <w:r>
        <w:rPr>
          <w:rFonts w:ascii="Times New Roman" w:cs="Times New Roman" w:eastAsia="Times New Roman" w:hAnsi="Times New Roman"/>
          <w:sz w:val="21"/>
          <w:szCs w:val="21"/>
          <w:u w:val="single" w:color="auto"/>
          <w:color w:val="auto"/>
        </w:rPr>
        <w:t>subsection (a)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of this Section and delivered to the Borrower shall be conclusive absent manifest error. The Borrower shall pay such Lender or such L/C Issuer, as the case may be, the amount shown as due on any such certificate within ten days after receipt thereof.</w:t>
      </w:r>
    </w:p>
    <w:p>
      <w:pPr>
        <w:spacing w:after="0" w:line="150" w:lineRule="exact"/>
        <w:rPr>
          <w:rFonts w:ascii="Times New Roman" w:cs="Times New Roman" w:eastAsia="Times New Roman" w:hAnsi="Times New Roman"/>
          <w:sz w:val="21"/>
          <w:szCs w:val="21"/>
          <w:color w:val="auto"/>
        </w:rPr>
      </w:pPr>
    </w:p>
    <w:p>
      <w:pPr>
        <w:jc w:val="both"/>
        <w:ind w:firstLine="1278"/>
        <w:spacing w:after="0" w:line="219" w:lineRule="auto"/>
        <w:tabs>
          <w:tab w:leader="none" w:pos="1903" w:val="left"/>
        </w:tabs>
        <w:numPr>
          <w:ilvl w:val="0"/>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Delay in Requests</w:t>
      </w:r>
      <w:r>
        <w:rPr>
          <w:rFonts w:ascii="Times New Roman" w:cs="Times New Roman" w:eastAsia="Times New Roman" w:hAnsi="Times New Roman"/>
          <w:sz w:val="21"/>
          <w:szCs w:val="21"/>
          <w:color w:val="auto"/>
        </w:rPr>
        <w:t>. Failure or delay on the part of any Lender or any L/C Issuer to demand compensation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pursuant to the foregoing provisions of this Section shall not constitute a waiver of such Lender’s or such L/C Issuer’s right to demand such compensation,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Borrower shall not be required to compensate a Lender or an L/C Issuer pursuant to the foregoing provisions of this Section for any increased costs incurred or reductions suffered more than six months prior to the date that such Lender or such L/C Issuer, as the case may be, notifies the Borrower of the Change in Law giving rise to such increased costs or reductions and of such Lender’s or such L/C Issuer’s intention to claim compensation therefor (except that, if the Change in Law giving rise to such increased costs or reductions is retroactive, then the six-month period referred to above shall be extended to include the period of retroactive effect thereof).</w:t>
      </w:r>
    </w:p>
    <w:p>
      <w:pPr>
        <w:spacing w:after="0" w:line="145" w:lineRule="exact"/>
        <w:rPr>
          <w:rFonts w:ascii="Times New Roman" w:cs="Times New Roman" w:eastAsia="Times New Roman" w:hAnsi="Times New Roman"/>
          <w:sz w:val="21"/>
          <w:szCs w:val="21"/>
          <w:color w:val="auto"/>
        </w:rPr>
      </w:pPr>
    </w:p>
    <w:p>
      <w:pPr>
        <w:jc w:val="both"/>
        <w:ind w:firstLine="1278"/>
        <w:spacing w:after="0" w:line="216" w:lineRule="auto"/>
        <w:tabs>
          <w:tab w:leader="none" w:pos="1905" w:val="left"/>
        </w:tabs>
        <w:numPr>
          <w:ilvl w:val="0"/>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Reserves on Eurodollar Rate Loans</w:t>
      </w:r>
      <w:r>
        <w:rPr>
          <w:rFonts w:ascii="Times New Roman" w:cs="Times New Roman" w:eastAsia="Times New Roman" w:hAnsi="Times New Roman"/>
          <w:sz w:val="21"/>
          <w:szCs w:val="21"/>
          <w:color w:val="auto"/>
        </w:rPr>
        <w:t>. The Borrower shall pay to each Lender, as long as such Lender shall be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required to maintain reserves with respect to liabilities or assets consisting of or including Eurodollar funds or deposits (currently known as “</w:t>
      </w:r>
      <w:r>
        <w:rPr>
          <w:rFonts w:ascii="Times New Roman" w:cs="Times New Roman" w:eastAsia="Times New Roman" w:hAnsi="Times New Roman"/>
          <w:sz w:val="21"/>
          <w:szCs w:val="21"/>
          <w:b w:val="1"/>
          <w:bCs w:val="1"/>
          <w:color w:val="auto"/>
        </w:rPr>
        <w:t>Eurodollar liabilities</w:t>
      </w:r>
      <w:r>
        <w:rPr>
          <w:rFonts w:ascii="Times New Roman" w:cs="Times New Roman" w:eastAsia="Times New Roman" w:hAnsi="Times New Roman"/>
          <w:sz w:val="21"/>
          <w:szCs w:val="21"/>
          <w:color w:val="auto"/>
        </w:rPr>
        <w:t xml:space="preserve">”), additional interest on the unpaid principal amount of each Eurodollar Rate Loan equal to the actual costs of such reserves allocated to such Loan by such Lender (as determined by such Lender in good faith, which determination shall be conclusive and binding), which shall be due and payable on each date on which interest is payable on such Loan,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the Borrower shall have received at least ten days’ prior notice (with a copy to the Administrative Agent) of such additional interest from such Lender;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further</w:t>
      </w:r>
      <w:r>
        <w:rPr>
          <w:rFonts w:ascii="Times New Roman" w:cs="Times New Roman" w:eastAsia="Times New Roman" w:hAnsi="Times New Roman"/>
          <w:sz w:val="21"/>
          <w:szCs w:val="21"/>
          <w:color w:val="auto"/>
        </w:rPr>
        <w:t xml:space="preserve">, that the Borrower shall not be obligated to pay any such additional interest unless the Lender requesting such additional interest also is requesting additional interest from other similarly situated customers under agreements relating to similar credit transactions that include provisions similar to this </w:t>
      </w:r>
      <w:r>
        <w:rPr>
          <w:rFonts w:ascii="Times New Roman" w:cs="Times New Roman" w:eastAsia="Times New Roman" w:hAnsi="Times New Roman"/>
          <w:sz w:val="21"/>
          <w:szCs w:val="21"/>
          <w:u w:val="single" w:color="auto"/>
          <w:color w:val="auto"/>
        </w:rPr>
        <w:t>Section 3.04(e)</w:t>
      </w:r>
      <w:r>
        <w:rPr>
          <w:rFonts w:ascii="Times New Roman" w:cs="Times New Roman" w:eastAsia="Times New Roman" w:hAnsi="Times New Roman"/>
          <w:sz w:val="21"/>
          <w:szCs w:val="21"/>
          <w:color w:val="auto"/>
        </w:rPr>
        <w:t>. If a Lender fails to give notice ten days prior to the relevant Interest Payment Date, such additional interest shall be due and payable ten days from receipt of such notice.</w:t>
      </w:r>
    </w:p>
    <w:p>
      <w:pPr>
        <w:spacing w:after="0" w:line="153"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3.05</w:t>
      </w:r>
      <w:r>
        <w:rPr>
          <w:sz w:val="20"/>
          <w:szCs w:val="20"/>
          <w:color w:val="auto"/>
        </w:rPr>
        <w:tab/>
      </w:r>
      <w:r>
        <w:rPr>
          <w:rFonts w:ascii="Times New Roman" w:cs="Times New Roman" w:eastAsia="Times New Roman" w:hAnsi="Times New Roman"/>
          <w:sz w:val="21"/>
          <w:szCs w:val="21"/>
          <w:i w:val="1"/>
          <w:iCs w:val="1"/>
          <w:color w:val="auto"/>
        </w:rPr>
        <w:t>Compensation for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110</w:t>
      </w:r>
    </w:p>
    <w:p>
      <w:pPr>
        <w:sectPr>
          <w:pgSz w:w="11900" w:h="16838" w:orient="portrait"/>
          <w:cols w:equalWidth="0" w:num="1">
            <w:col w:w="11240"/>
          </w:cols>
          <w:pgMar w:left="320" w:top="1369" w:right="339" w:bottom="1440" w:gutter="0" w:footer="0" w:header="0"/>
        </w:sectPr>
      </w:pPr>
    </w:p>
    <w:bookmarkStart w:id="216" w:name="page217"/>
    <w:bookmarkEnd w:id="216"/>
    <w:p>
      <w:pPr>
        <w:ind w:firstLine="642"/>
        <w:spacing w:after="0" w:line="285" w:lineRule="auto"/>
        <w:tabs>
          <w:tab w:leader="none" w:pos="755" w:val="left"/>
        </w:tabs>
        <w:numPr>
          <w:ilvl w:val="0"/>
          <w:numId w:val="1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demand of any Lender (with a copy to the Administrative Agent) from time to time, the Borrower shall promptly compensate such Lender for and hold such Lender harmless from any loss, cost or expense incurred by it as a result of:</w:t>
      </w:r>
    </w:p>
    <w:p>
      <w:pPr>
        <w:spacing w:after="0" w:line="115" w:lineRule="exact"/>
        <w:rPr>
          <w:rFonts w:ascii="Times New Roman" w:cs="Times New Roman" w:eastAsia="Times New Roman" w:hAnsi="Times New Roman"/>
          <w:sz w:val="21"/>
          <w:szCs w:val="21"/>
          <w:color w:val="auto"/>
        </w:rPr>
      </w:pPr>
    </w:p>
    <w:p>
      <w:pPr>
        <w:jc w:val="both"/>
        <w:ind w:firstLine="1278"/>
        <w:spacing w:after="0" w:line="232" w:lineRule="auto"/>
        <w:tabs>
          <w:tab w:leader="none" w:pos="1905" w:val="left"/>
        </w:tabs>
        <w:numPr>
          <w:ilvl w:val="1"/>
          <w:numId w:val="1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continuation, conversion, payment or prepayment of any Loan other than a Base Rate Loan on a day other than the last day of the Interest Period for such Loan (whether voluntary, mandatory, automatic, by reason of acceleration, or otherwise);</w:t>
      </w:r>
    </w:p>
    <w:p>
      <w:pPr>
        <w:spacing w:after="0" w:line="147" w:lineRule="exact"/>
        <w:rPr>
          <w:rFonts w:ascii="Times New Roman" w:cs="Times New Roman" w:eastAsia="Times New Roman" w:hAnsi="Times New Roman"/>
          <w:sz w:val="21"/>
          <w:szCs w:val="21"/>
          <w:color w:val="auto"/>
        </w:rPr>
      </w:pPr>
    </w:p>
    <w:p>
      <w:pPr>
        <w:jc w:val="both"/>
        <w:ind w:firstLine="1278"/>
        <w:spacing w:after="0" w:line="232" w:lineRule="auto"/>
        <w:tabs>
          <w:tab w:leader="none" w:pos="1903" w:val="left"/>
        </w:tabs>
        <w:numPr>
          <w:ilvl w:val="1"/>
          <w:numId w:val="1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failure by the Borrower to prepay, borrow, continue or convert any Loan other than a Base Rate Loan on the date or in the amount notified by the Borrower (in the case of a borrowing, for a reason other than the failure of such Lender to make a Loan);</w:t>
      </w:r>
    </w:p>
    <w:p>
      <w:pPr>
        <w:spacing w:after="0" w:line="147" w:lineRule="exact"/>
        <w:rPr>
          <w:rFonts w:ascii="Times New Roman" w:cs="Times New Roman" w:eastAsia="Times New Roman" w:hAnsi="Times New Roman"/>
          <w:sz w:val="21"/>
          <w:szCs w:val="21"/>
          <w:color w:val="auto"/>
        </w:rPr>
      </w:pPr>
    </w:p>
    <w:p>
      <w:pPr>
        <w:ind w:firstLine="1278"/>
        <w:spacing w:after="0" w:line="245" w:lineRule="auto"/>
        <w:tabs>
          <w:tab w:leader="none" w:pos="1905" w:val="left"/>
        </w:tabs>
        <w:numPr>
          <w:ilvl w:val="1"/>
          <w:numId w:val="1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assignment of a Term SOFR Loan or Eurodollar Rate Loan on a day other than the last day of the Interest Period therefor as a result of a request by the Borrower pursuant to </w:t>
      </w:r>
      <w:r>
        <w:rPr>
          <w:rFonts w:ascii="Times New Roman" w:cs="Times New Roman" w:eastAsia="Times New Roman" w:hAnsi="Times New Roman"/>
          <w:sz w:val="21"/>
          <w:szCs w:val="21"/>
          <w:u w:val="single" w:color="auto"/>
          <w:color w:val="auto"/>
        </w:rPr>
        <w:t>Section 2.14</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3.06(b)</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10.13</w:t>
      </w:r>
      <w:r>
        <w:rPr>
          <w:rFonts w:ascii="Times New Roman" w:cs="Times New Roman" w:eastAsia="Times New Roman" w:hAnsi="Times New Roman"/>
          <w:sz w:val="21"/>
          <w:szCs w:val="21"/>
          <w:color w:val="auto"/>
        </w:rPr>
        <w:t>; or</w:t>
      </w:r>
    </w:p>
    <w:p>
      <w:pPr>
        <w:spacing w:after="0" w:line="142" w:lineRule="exact"/>
        <w:rPr>
          <w:rFonts w:ascii="Times New Roman" w:cs="Times New Roman" w:eastAsia="Times New Roman" w:hAnsi="Times New Roman"/>
          <w:sz w:val="21"/>
          <w:szCs w:val="21"/>
          <w:color w:val="auto"/>
        </w:rPr>
      </w:pPr>
    </w:p>
    <w:p>
      <w:pPr>
        <w:jc w:val="both"/>
        <w:ind w:firstLine="1278"/>
        <w:spacing w:after="0" w:line="218" w:lineRule="auto"/>
        <w:tabs>
          <w:tab w:leader="none" w:pos="1903" w:val="left"/>
        </w:tabs>
        <w:numPr>
          <w:ilvl w:val="1"/>
          <w:numId w:val="1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payment by the Borrower of the principal of or interest on any Loan or of any drawing under any Letter of Credit (or interest due thereon) denominated in an Alternative Currency in a different currency from the currency in which the applicable Loan or Letter of Credit is denominated (except to the extent an L/C Issuer has required payment of any drawing under a Letter of Credit in U.S. Dollars pursuant to </w:t>
      </w:r>
      <w:r>
        <w:rPr>
          <w:rFonts w:ascii="Times New Roman" w:cs="Times New Roman" w:eastAsia="Times New Roman" w:hAnsi="Times New Roman"/>
          <w:sz w:val="21"/>
          <w:szCs w:val="21"/>
          <w:u w:val="single" w:color="auto"/>
          <w:color w:val="auto"/>
        </w:rPr>
        <w:t>Section 2.03(c)(i)</w:t>
      </w:r>
      <w:r>
        <w:rPr>
          <w:rFonts w:ascii="Times New Roman" w:cs="Times New Roman" w:eastAsia="Times New Roman" w:hAnsi="Times New Roman"/>
          <w:sz w:val="21"/>
          <w:szCs w:val="21"/>
          <w:color w:val="auto"/>
        </w:rPr>
        <w:t>), including any foreign exchange losses or loss of anticipated profits and any loss or expense arising from the liquidation or reemployment of funds obtained by it to maintain such Loan or from fees payable to terminate the deposits from which such funds were obtained or from the performance of any foreign exchange contract. The Borrower shall also pay any customary and reasonable administrative fees charged by such Lender in connection with the foregoing.</w:t>
      </w:r>
    </w:p>
    <w:p>
      <w:pPr>
        <w:spacing w:after="0" w:line="180" w:lineRule="exact"/>
        <w:rPr>
          <w:sz w:val="20"/>
          <w:szCs w:val="20"/>
          <w:color w:val="auto"/>
        </w:rPr>
      </w:pPr>
    </w:p>
    <w:p>
      <w:pPr>
        <w:jc w:val="both"/>
        <w:ind w:firstLine="636"/>
        <w:spacing w:after="0" w:line="260" w:lineRule="auto"/>
        <w:rPr>
          <w:sz w:val="20"/>
          <w:szCs w:val="20"/>
          <w:color w:val="auto"/>
        </w:rPr>
      </w:pPr>
      <w:r>
        <w:rPr>
          <w:rFonts w:ascii="Times New Roman" w:cs="Times New Roman" w:eastAsia="Times New Roman" w:hAnsi="Times New Roman"/>
          <w:sz w:val="21"/>
          <w:szCs w:val="21"/>
          <w:color w:val="auto"/>
        </w:rPr>
        <w:t xml:space="preserve">For purposes of calculating amounts payable by the Borrower to the Lenders under this </w:t>
      </w:r>
      <w:r>
        <w:rPr>
          <w:rFonts w:ascii="Times New Roman" w:cs="Times New Roman" w:eastAsia="Times New Roman" w:hAnsi="Times New Roman"/>
          <w:sz w:val="21"/>
          <w:szCs w:val="21"/>
          <w:u w:val="single" w:color="auto"/>
          <w:color w:val="auto"/>
        </w:rPr>
        <w:t>Section 3.05</w:t>
      </w:r>
      <w:r>
        <w:rPr>
          <w:rFonts w:ascii="Times New Roman" w:cs="Times New Roman" w:eastAsia="Times New Roman" w:hAnsi="Times New Roman"/>
          <w:sz w:val="21"/>
          <w:szCs w:val="21"/>
          <w:color w:val="auto"/>
        </w:rPr>
        <w:t xml:space="preserve">, each Lender shall be deemed to have funded each Eurodollar Rate Loan or each Term SOFR Loan, as applicable, made by it at the Eurodollar Rate or </w:t>
      </w:r>
      <w:r>
        <w:rPr>
          <w:rFonts w:ascii="Times New Roman" w:cs="Times New Roman" w:eastAsia="Times New Roman" w:hAnsi="Times New Roman"/>
          <w:sz w:val="21"/>
          <w:szCs w:val="21"/>
          <w:b w:val="1"/>
          <w:bCs w:val="1"/>
          <w:color w:val="FF0000"/>
          <w:strike w:val="1"/>
        </w:rPr>
        <w:t>Adjusted</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color w:val="000000"/>
        </w:rPr>
        <w:t>Term SOFR</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b w:val="1"/>
          <w:bCs w:val="1"/>
          <w:color w:val="FF0000"/>
          <w:strike w:val="1"/>
        </w:rPr>
        <w:t>Rate</w:t>
      </w:r>
      <w:r>
        <w:rPr>
          <w:rFonts w:ascii="Times New Roman" w:cs="Times New Roman" w:eastAsia="Times New Roman" w:hAnsi="Times New Roman"/>
          <w:sz w:val="21"/>
          <w:szCs w:val="21"/>
          <w:color w:val="000000"/>
        </w:rPr>
        <w:t>, as applicable, for such Loan by a matching deposit or other borrowing in the London, England or other</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color w:val="000000"/>
        </w:rPr>
        <w:t>offshore interbank market for the applicable currency for a comparable amount and for a comparable period, whether or not such Eurodollar Rate Loan or Term SOFR Loan was in fact so funded. A certificate of a Lender setting forth the amount or amounts necessary to compensate such Lender, as specified in this Section, delivered to the Borrower shall be conclusive absent manifest error.</w:t>
      </w:r>
    </w:p>
    <w:p>
      <w:pPr>
        <w:spacing w:after="0" w:line="141"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3.06</w:t>
      </w:r>
      <w:r>
        <w:rPr>
          <w:sz w:val="20"/>
          <w:szCs w:val="20"/>
          <w:color w:val="auto"/>
        </w:rPr>
        <w:tab/>
      </w:r>
      <w:r>
        <w:rPr>
          <w:rFonts w:ascii="Times New Roman" w:cs="Times New Roman" w:eastAsia="Times New Roman" w:hAnsi="Times New Roman"/>
          <w:sz w:val="21"/>
          <w:szCs w:val="21"/>
          <w:i w:val="1"/>
          <w:iCs w:val="1"/>
          <w:color w:val="auto"/>
        </w:rPr>
        <w:t>Mitigation Obligations; Replacement of Lenders</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p>
    <w:p>
      <w:pPr>
        <w:spacing w:after="0" w:line="194" w:lineRule="exact"/>
        <w:rPr>
          <w:sz w:val="20"/>
          <w:szCs w:val="20"/>
          <w:color w:val="auto"/>
        </w:rPr>
      </w:pPr>
    </w:p>
    <w:p>
      <w:pPr>
        <w:jc w:val="both"/>
        <w:ind w:firstLine="1278"/>
        <w:spacing w:after="0" w:line="219" w:lineRule="auto"/>
        <w:tabs>
          <w:tab w:leader="none" w:pos="1905" w:val="left"/>
        </w:tabs>
        <w:numPr>
          <w:ilvl w:val="0"/>
          <w:numId w:val="1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Designation of a Different Lending Office</w:t>
      </w:r>
      <w:r>
        <w:rPr>
          <w:rFonts w:ascii="Times New Roman" w:cs="Times New Roman" w:eastAsia="Times New Roman" w:hAnsi="Times New Roman"/>
          <w:sz w:val="21"/>
          <w:szCs w:val="21"/>
          <w:color w:val="auto"/>
        </w:rPr>
        <w:t>. If any Lender requests compensation under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u w:val="single" w:color="auto"/>
          <w:color w:val="auto"/>
        </w:rPr>
        <w:t>Section 3.04</w:t>
      </w:r>
      <w:r>
        <w:rPr>
          <w:rFonts w:ascii="Times New Roman" w:cs="Times New Roman" w:eastAsia="Times New Roman" w:hAnsi="Times New Roman"/>
          <w:sz w:val="21"/>
          <w:szCs w:val="21"/>
          <w:color w:val="auto"/>
        </w:rPr>
        <w:t>, or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Borrower is required to pay any additional amount to any Lender, any L/C Issuer, or any Governmental Authority for the account of any Lender or any L/C Issuer pursuant to </w:t>
      </w:r>
      <w:r>
        <w:rPr>
          <w:rFonts w:ascii="Times New Roman" w:cs="Times New Roman" w:eastAsia="Times New Roman" w:hAnsi="Times New Roman"/>
          <w:sz w:val="21"/>
          <w:szCs w:val="21"/>
          <w:u w:val="single" w:color="auto"/>
          <w:color w:val="auto"/>
        </w:rPr>
        <w:t>Section 3.01</w:t>
      </w:r>
      <w:r>
        <w:rPr>
          <w:rFonts w:ascii="Times New Roman" w:cs="Times New Roman" w:eastAsia="Times New Roman" w:hAnsi="Times New Roman"/>
          <w:sz w:val="21"/>
          <w:szCs w:val="21"/>
          <w:color w:val="auto"/>
        </w:rPr>
        <w:t xml:space="preserve">, or if any Lender gives a notice pursuant to </w:t>
      </w:r>
      <w:r>
        <w:rPr>
          <w:rFonts w:ascii="Times New Roman" w:cs="Times New Roman" w:eastAsia="Times New Roman" w:hAnsi="Times New Roman"/>
          <w:sz w:val="21"/>
          <w:szCs w:val="21"/>
          <w:u w:val="single" w:color="auto"/>
          <w:color w:val="auto"/>
        </w:rPr>
        <w:t>Section 3.02</w:t>
      </w:r>
      <w:r>
        <w:rPr>
          <w:rFonts w:ascii="Times New Roman" w:cs="Times New Roman" w:eastAsia="Times New Roman" w:hAnsi="Times New Roman"/>
          <w:sz w:val="21"/>
          <w:szCs w:val="21"/>
          <w:color w:val="auto"/>
        </w:rPr>
        <w:t xml:space="preserve">, then such Lender or such L/C Issuer shall, as applicable, use reasonable efforts to designate a different Lending Office for funding or booking its Loans hereunder or to assign its rights and obligations hereunder to another of its offices, branches or affiliates, if, in the reasonable judgment of such Lender or such L/C Issuer, such designation or assignment (i) would eliminate or reduce amounts payable pursuant to </w:t>
      </w:r>
      <w:r>
        <w:rPr>
          <w:rFonts w:ascii="Times New Roman" w:cs="Times New Roman" w:eastAsia="Times New Roman" w:hAnsi="Times New Roman"/>
          <w:sz w:val="21"/>
          <w:szCs w:val="21"/>
          <w:u w:val="single" w:color="auto"/>
          <w:color w:val="auto"/>
        </w:rPr>
        <w:t>Section 3.01</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3.04</w:t>
      </w:r>
      <w:r>
        <w:rPr>
          <w:rFonts w:ascii="Times New Roman" w:cs="Times New Roman" w:eastAsia="Times New Roman" w:hAnsi="Times New Roman"/>
          <w:sz w:val="21"/>
          <w:szCs w:val="21"/>
          <w:color w:val="auto"/>
        </w:rPr>
        <w:t xml:space="preserve">, as the case may be, in the future, or eliminate the need for the notice pursuant to </w:t>
      </w:r>
      <w:r>
        <w:rPr>
          <w:rFonts w:ascii="Times New Roman" w:cs="Times New Roman" w:eastAsia="Times New Roman" w:hAnsi="Times New Roman"/>
          <w:sz w:val="21"/>
          <w:szCs w:val="21"/>
          <w:u w:val="single" w:color="auto"/>
          <w:color w:val="auto"/>
        </w:rPr>
        <w:t>Section 3.02</w:t>
      </w:r>
      <w:r>
        <w:rPr>
          <w:rFonts w:ascii="Times New Roman" w:cs="Times New Roman" w:eastAsia="Times New Roman" w:hAnsi="Times New Roman"/>
          <w:sz w:val="21"/>
          <w:szCs w:val="21"/>
          <w:color w:val="auto"/>
        </w:rPr>
        <w:t xml:space="preserve"> as applicable, and (ii) in each case,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111</w:t>
      </w:r>
    </w:p>
    <w:p>
      <w:pPr>
        <w:sectPr>
          <w:pgSz w:w="11900" w:h="16838" w:orient="portrait"/>
          <w:cols w:equalWidth="0" w:num="1">
            <w:col w:w="11240"/>
          </w:cols>
          <w:pgMar w:left="320" w:top="1398" w:right="339" w:bottom="1440" w:gutter="0" w:footer="0" w:header="0"/>
        </w:sectPr>
      </w:pPr>
    </w:p>
    <w:bookmarkStart w:id="217" w:name="page218"/>
    <w:bookmarkEnd w:id="217"/>
    <w:p>
      <w:pPr>
        <w:jc w:val="both"/>
        <w:spacing w:after="0" w:line="232" w:lineRule="auto"/>
        <w:rPr>
          <w:sz w:val="20"/>
          <w:szCs w:val="20"/>
          <w:color w:val="auto"/>
        </w:rPr>
      </w:pPr>
      <w:r>
        <w:rPr>
          <w:rFonts w:ascii="Times New Roman" w:cs="Times New Roman" w:eastAsia="Times New Roman" w:hAnsi="Times New Roman"/>
          <w:sz w:val="21"/>
          <w:szCs w:val="21"/>
          <w:color w:val="auto"/>
        </w:rPr>
        <w:t>would not subject such Lender or such L/C Issuer, as the case may be, to any unreimbursed cost or expense and would not otherwise be disadvantageous to such Lender or such L/C Issuer, as the case may be. The Borrower hereby agrees to pay all reasonable costs and expenses incurred by any Lender or such L/C Issuer in connection with any such designation or assignment.</w:t>
      </w:r>
    </w:p>
    <w:p>
      <w:pPr>
        <w:spacing w:after="0" w:line="146" w:lineRule="exact"/>
        <w:rPr>
          <w:sz w:val="20"/>
          <w:szCs w:val="20"/>
          <w:color w:val="auto"/>
        </w:rPr>
      </w:pPr>
    </w:p>
    <w:p>
      <w:pPr>
        <w:jc w:val="both"/>
        <w:ind w:firstLine="1278"/>
        <w:spacing w:after="0" w:line="221" w:lineRule="auto"/>
        <w:tabs>
          <w:tab w:leader="none" w:pos="1903" w:val="left"/>
        </w:tabs>
        <w:numPr>
          <w:ilvl w:val="0"/>
          <w:numId w:val="1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Replacement of Lenders</w:t>
      </w:r>
      <w:r>
        <w:rPr>
          <w:rFonts w:ascii="Times New Roman" w:cs="Times New Roman" w:eastAsia="Times New Roman" w:hAnsi="Times New Roman"/>
          <w:sz w:val="21"/>
          <w:szCs w:val="21"/>
          <w:color w:val="auto"/>
        </w:rPr>
        <w:t>. If any Lender requests compensation under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u w:val="single" w:color="auto"/>
          <w:color w:val="auto"/>
        </w:rPr>
        <w:t>Section 3.04</w:t>
      </w:r>
      <w:r>
        <w:rPr>
          <w:rFonts w:ascii="Times New Roman" w:cs="Times New Roman" w:eastAsia="Times New Roman" w:hAnsi="Times New Roman"/>
          <w:sz w:val="21"/>
          <w:szCs w:val="21"/>
          <w:color w:val="auto"/>
        </w:rPr>
        <w:t>, or if the Borrower is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required to pay any Indemnified Taxes or additional amounts to any Lender or any Governmental Authority for the account of any Lender pursuant to </w:t>
      </w:r>
      <w:r>
        <w:rPr>
          <w:rFonts w:ascii="Times New Roman" w:cs="Times New Roman" w:eastAsia="Times New Roman" w:hAnsi="Times New Roman"/>
          <w:sz w:val="21"/>
          <w:szCs w:val="21"/>
          <w:u w:val="single" w:color="auto"/>
          <w:color w:val="auto"/>
        </w:rPr>
        <w:t>Section 3.01</w:t>
      </w:r>
      <w:r>
        <w:rPr>
          <w:rFonts w:ascii="Times New Roman" w:cs="Times New Roman" w:eastAsia="Times New Roman" w:hAnsi="Times New Roman"/>
          <w:sz w:val="21"/>
          <w:szCs w:val="21"/>
          <w:color w:val="auto"/>
        </w:rPr>
        <w:t xml:space="preserve">, and in each case, such Lender has declined or is unable to designate a different Lending Office in accordance with </w:t>
      </w:r>
      <w:r>
        <w:rPr>
          <w:rFonts w:ascii="Times New Roman" w:cs="Times New Roman" w:eastAsia="Times New Roman" w:hAnsi="Times New Roman"/>
          <w:sz w:val="21"/>
          <w:szCs w:val="21"/>
          <w:u w:val="single" w:color="auto"/>
          <w:color w:val="auto"/>
        </w:rPr>
        <w:t>Section 3.06(a)</w:t>
      </w:r>
      <w:r>
        <w:rPr>
          <w:rFonts w:ascii="Times New Roman" w:cs="Times New Roman" w:eastAsia="Times New Roman" w:hAnsi="Times New Roman"/>
          <w:sz w:val="21"/>
          <w:szCs w:val="21"/>
          <w:color w:val="auto"/>
        </w:rPr>
        <w:t xml:space="preserve"> which would eliminate such request for compensation or requirement to pay such additional amount, or if any Lender is a Defaulting Lender hereunder, the Borrower may, at its sole expense and effort, upon notice to such Lender and the Administrative Agent, replace such Lender in accordance with </w:t>
      </w:r>
      <w:r>
        <w:rPr>
          <w:rFonts w:ascii="Times New Roman" w:cs="Times New Roman" w:eastAsia="Times New Roman" w:hAnsi="Times New Roman"/>
          <w:sz w:val="21"/>
          <w:szCs w:val="21"/>
          <w:u w:val="single" w:color="auto"/>
          <w:color w:val="auto"/>
        </w:rPr>
        <w:t>Section 10.13</w:t>
      </w:r>
      <w:r>
        <w:rPr>
          <w:rFonts w:ascii="Times New Roman" w:cs="Times New Roman" w:eastAsia="Times New Roman" w:hAnsi="Times New Roman"/>
          <w:sz w:val="21"/>
          <w:szCs w:val="21"/>
          <w:color w:val="auto"/>
        </w:rPr>
        <w:t>.</w:t>
      </w:r>
    </w:p>
    <w:p>
      <w:pPr>
        <w:spacing w:after="0" w:line="150"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3.07</w:t>
      </w:r>
      <w:r>
        <w:rPr>
          <w:sz w:val="20"/>
          <w:szCs w:val="20"/>
          <w:color w:val="auto"/>
        </w:rPr>
        <w:tab/>
      </w:r>
      <w:r>
        <w:rPr>
          <w:rFonts w:ascii="Times New Roman" w:cs="Times New Roman" w:eastAsia="Times New Roman" w:hAnsi="Times New Roman"/>
          <w:sz w:val="21"/>
          <w:szCs w:val="21"/>
          <w:i w:val="1"/>
          <w:iCs w:val="1"/>
          <w:color w:val="auto"/>
        </w:rPr>
        <w:t>Survival</w:t>
      </w:r>
    </w:p>
    <w:p>
      <w:pPr>
        <w:spacing w:after="0" w:line="211" w:lineRule="exact"/>
        <w:rPr>
          <w:sz w:val="20"/>
          <w:szCs w:val="20"/>
          <w:color w:val="auto"/>
        </w:rPr>
      </w:pPr>
    </w:p>
    <w:p>
      <w:pPr>
        <w:jc w:val="both"/>
        <w:ind w:firstLine="642"/>
        <w:spacing w:after="0" w:line="267" w:lineRule="auto"/>
        <w:tabs>
          <w:tab w:leader="none" w:pos="755" w:val="left"/>
        </w:tabs>
        <w:numPr>
          <w:ilvl w:val="0"/>
          <w:numId w:val="1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All of the Borrower’s obligations under this </w:t>
      </w:r>
      <w:r>
        <w:rPr>
          <w:rFonts w:ascii="Times New Roman" w:cs="Times New Roman" w:eastAsia="Times New Roman" w:hAnsi="Times New Roman"/>
          <w:sz w:val="21"/>
          <w:szCs w:val="21"/>
          <w:u w:val="single" w:color="auto"/>
          <w:color w:val="auto"/>
        </w:rPr>
        <w:t>Article 3</w:t>
      </w:r>
      <w:r>
        <w:rPr>
          <w:rFonts w:ascii="Times New Roman" w:cs="Times New Roman" w:eastAsia="Times New Roman" w:hAnsi="Times New Roman"/>
          <w:sz w:val="21"/>
          <w:szCs w:val="21"/>
          <w:color w:val="auto"/>
        </w:rPr>
        <w:t xml:space="preserve"> shall survive the termination of the Aggregate Commitments, any assignment of rights by, or the replacement of, a Lender, repayment, satisfaction or discharge of all other Obligations hereunder, and resignation or replacement of the Administrative Agent.</w:t>
      </w:r>
    </w:p>
    <w:p>
      <w:pPr>
        <w:spacing w:after="0" w:line="146"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3.08</w:t>
      </w:r>
      <w:r>
        <w:rPr>
          <w:sz w:val="20"/>
          <w:szCs w:val="20"/>
          <w:color w:val="auto"/>
        </w:rPr>
        <w:tab/>
      </w:r>
      <w:r>
        <w:rPr>
          <w:rFonts w:ascii="Times New Roman" w:cs="Times New Roman" w:eastAsia="Times New Roman" w:hAnsi="Times New Roman"/>
          <w:sz w:val="21"/>
          <w:szCs w:val="21"/>
          <w:i w:val="1"/>
          <w:iCs w:val="1"/>
          <w:color w:val="auto"/>
        </w:rPr>
        <w:t>Effect of Benchmark Transition Event</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p>
    <w:p>
      <w:pPr>
        <w:spacing w:after="0" w:line="218" w:lineRule="exact"/>
        <w:rPr>
          <w:sz w:val="20"/>
          <w:szCs w:val="20"/>
          <w:color w:val="auto"/>
        </w:rPr>
      </w:pPr>
    </w:p>
    <w:p>
      <w:pPr>
        <w:jc w:val="both"/>
        <w:ind w:firstLine="562"/>
        <w:spacing w:after="0" w:line="255" w:lineRule="auto"/>
        <w:tabs>
          <w:tab w:leader="none" w:pos="1322" w:val="left"/>
        </w:tabs>
        <w:numPr>
          <w:ilvl w:val="0"/>
          <w:numId w:val="1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FF0000"/>
          <w:strike w:val="1"/>
        </w:rPr>
        <w:t>(a)</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color w:val="000000"/>
        </w:rPr>
        <w:t>Notwithstanding anything to the contrary herein or in any other Loan Document (and any Swap Contract shall be</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color w:val="000000"/>
        </w:rPr>
        <w:t xml:space="preserve">deemed not to be a “Loan Document” for purposes of this </w:t>
      </w:r>
      <w:r>
        <w:rPr>
          <w:rFonts w:ascii="Times New Roman" w:cs="Times New Roman" w:eastAsia="Times New Roman" w:hAnsi="Times New Roman"/>
          <w:sz w:val="21"/>
          <w:szCs w:val="21"/>
          <w:u w:val="single" w:color="auto"/>
          <w:color w:val="000000"/>
        </w:rPr>
        <w:t>Section 3.08)</w:t>
      </w:r>
      <w:r>
        <w:rPr>
          <w:rFonts w:ascii="Times New Roman" w:cs="Times New Roman" w:eastAsia="Times New Roman" w:hAnsi="Times New Roman"/>
          <w:sz w:val="21"/>
          <w:szCs w:val="21"/>
          <w:color w:val="000000"/>
        </w:rPr>
        <w:t>, if a Benchmark Transition Event and its related Benchmark Replacement Date have occurred prior to the Reference Time in respect of any setting of the then-current Benchmark, then (x) if a Benchmark Replacement is determined in accordance with clause (a) of the definition of “Benchmark Replacement” with respect to U.S. Dollars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(b) of the definition of “Benchmark Replacement” with respect to any Agreed Currency for such Benchmark Replacement Date, such Benchmark Replacement will replace such Benchmark for all purposes hereunder and under any Loan Document in respect of any Benchmark setting at or after 5:00 p.m.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of each affected Class.</w:t>
      </w:r>
    </w:p>
    <w:p>
      <w:pPr>
        <w:spacing w:after="0" w:line="144" w:lineRule="exact"/>
        <w:rPr>
          <w:rFonts w:ascii="Times New Roman" w:cs="Times New Roman" w:eastAsia="Times New Roman" w:hAnsi="Times New Roman"/>
          <w:sz w:val="21"/>
          <w:szCs w:val="21"/>
          <w:color w:val="auto"/>
        </w:rPr>
      </w:pPr>
    </w:p>
    <w:p>
      <w:pPr>
        <w:jc w:val="both"/>
        <w:ind w:firstLine="1278"/>
        <w:spacing w:after="0" w:line="233" w:lineRule="auto"/>
        <w:tabs>
          <w:tab w:leader="none" w:pos="1903" w:val="left"/>
        </w:tabs>
        <w:numPr>
          <w:ilvl w:val="1"/>
          <w:numId w:val="183"/>
        </w:numPr>
        <w:rPr>
          <w:rFonts w:ascii="Times New Roman" w:cs="Times New Roman" w:eastAsia="Times New Roman" w:hAnsi="Times New Roman"/>
          <w:sz w:val="21"/>
          <w:szCs w:val="21"/>
          <w:b w:val="1"/>
          <w:bCs w:val="1"/>
          <w:u w:val="single" w:color="auto"/>
          <w:color w:val="0000FF"/>
        </w:rPr>
      </w:pPr>
      <w:r>
        <w:rPr>
          <w:rFonts w:ascii="Times New Roman" w:cs="Times New Roman" w:eastAsia="Times New Roman" w:hAnsi="Times New Roman"/>
          <w:sz w:val="21"/>
          <w:szCs w:val="21"/>
          <w:b w:val="1"/>
          <w:bCs w:val="1"/>
          <w:color w:val="FF0000"/>
          <w:strike w:val="1"/>
        </w:rPr>
        <w:t>(b)</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color w:val="000000"/>
        </w:rPr>
        <w:t>In connection with the implementation of a Benchmark Replacement, the Administrative Agent will have</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color w:val="000000"/>
        </w:rPr>
        <w:t>the right to make Benchmark Replacement Conforming Changes from time to time and, notwithstanding anything to the contrary herein or in any other Loan Document, any amendments implementing such Benchmark Replacement Conforming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112</w:t>
      </w:r>
    </w:p>
    <w:p>
      <w:pPr>
        <w:sectPr>
          <w:pgSz w:w="11900" w:h="16838" w:orient="portrait"/>
          <w:cols w:equalWidth="0" w:num="1">
            <w:col w:w="11240"/>
          </w:cols>
          <w:pgMar w:left="320" w:top="1371" w:right="33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21"/>
          <w:szCs w:val="21"/>
          <w:color w:val="auto"/>
        </w:rPr>
        <w:t>Changes will become effective without any further action or consent of any other party to this Agreement.</w:t>
      </w:r>
    </w:p>
    <w:p>
      <w:pPr>
        <w:spacing w:after="0" w:line="179" w:lineRule="exact"/>
        <w:rPr>
          <w:sz w:val="20"/>
          <w:szCs w:val="20"/>
          <w:color w:val="auto"/>
        </w:rPr>
      </w:pPr>
    </w:p>
    <w:p>
      <w:pPr>
        <w:jc w:val="both"/>
        <w:ind w:firstLine="1278"/>
        <w:spacing w:after="0" w:line="224" w:lineRule="auto"/>
        <w:tabs>
          <w:tab w:leader="none" w:pos="1902" w:val="left"/>
        </w:tabs>
        <w:numPr>
          <w:ilvl w:val="1"/>
          <w:numId w:val="184"/>
        </w:numPr>
        <w:rPr>
          <w:rFonts w:ascii="Times New Roman" w:cs="Times New Roman" w:eastAsia="Times New Roman" w:hAnsi="Times New Roman"/>
          <w:sz w:val="21"/>
          <w:szCs w:val="21"/>
          <w:b w:val="1"/>
          <w:bCs w:val="1"/>
          <w:u w:val="single" w:color="auto"/>
          <w:color w:val="0000FF"/>
        </w:rPr>
      </w:pPr>
      <w:r>
        <w:rPr>
          <w:rFonts w:ascii="Times New Roman" w:cs="Times New Roman" w:eastAsia="Times New Roman" w:hAnsi="Times New Roman"/>
          <w:sz w:val="21"/>
          <w:szCs w:val="21"/>
          <w:b w:val="1"/>
          <w:bCs w:val="1"/>
          <w:color w:val="FF0000"/>
          <w:strike w:val="1"/>
        </w:rPr>
        <w:t>(c)</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color w:val="000000"/>
        </w:rPr>
        <w:t>The Administrative Agent will promptly notify the Borrower and the Lenders of (i) any occurrence of a</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color w:val="000000"/>
        </w:rPr>
        <w:t>Benchmark Transition Event and its related Benchmark Replacement Date, (ii) the implementation of any Benchmark Replacement,</w:t>
      </w:r>
    </w:p>
    <w:p>
      <w:pPr>
        <w:spacing w:after="0" w:line="1" w:lineRule="exact"/>
        <w:rPr>
          <w:rFonts w:ascii="Times New Roman" w:cs="Times New Roman" w:eastAsia="Times New Roman" w:hAnsi="Times New Roman"/>
          <w:sz w:val="21"/>
          <w:szCs w:val="21"/>
          <w:b w:val="1"/>
          <w:bCs w:val="1"/>
          <w:u w:val="single" w:color="auto"/>
          <w:color w:val="0000FF"/>
        </w:rPr>
      </w:pPr>
    </w:p>
    <w:p>
      <w:pPr>
        <w:jc w:val="both"/>
        <w:ind w:firstLine="6"/>
        <w:spacing w:after="0" w:line="217" w:lineRule="auto"/>
        <w:tabs>
          <w:tab w:leader="none" w:pos="404" w:val="left"/>
        </w:tabs>
        <w:numPr>
          <w:ilvl w:val="0"/>
          <w:numId w:val="1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effectiveness of any Benchmark Replacement Conforming Changes, and (iv) the commencement or conclusion of any Benchmark Unavailability Period. Any determination, decision or election that may be made by the Administrative Agent or Lenders pursuant to this </w:t>
      </w:r>
      <w:r>
        <w:rPr>
          <w:rFonts w:ascii="Times New Roman" w:cs="Times New Roman" w:eastAsia="Times New Roman" w:hAnsi="Times New Roman"/>
          <w:sz w:val="21"/>
          <w:szCs w:val="21"/>
          <w:u w:val="single" w:color="auto"/>
          <w:color w:val="auto"/>
        </w:rPr>
        <w:t>Section 3.08</w:t>
      </w:r>
      <w:r>
        <w:rPr>
          <w:rFonts w:ascii="Times New Roman" w:cs="Times New Roman" w:eastAsia="Times New Roman" w:hAnsi="Times New Roman"/>
          <w:sz w:val="21"/>
          <w:szCs w:val="21"/>
          <w:color w:val="auto"/>
        </w:rPr>
        <w:t xml:space="preserve">, including any determination with respect to a tenor, rate or adjustment or of the occurrence or non-occurrence of an event, circumstance or date and any decision to take or refrain from taking any action, will be conclusive and binding absent manifest error and may be made in its or their sole discretion and without consent from any other party hereto, except, in each case, as expressly required pursuant to this </w:t>
      </w:r>
      <w:r>
        <w:rPr>
          <w:rFonts w:ascii="Times New Roman" w:cs="Times New Roman" w:eastAsia="Times New Roman" w:hAnsi="Times New Roman"/>
          <w:sz w:val="21"/>
          <w:szCs w:val="21"/>
          <w:u w:val="single" w:color="auto"/>
          <w:color w:val="auto"/>
        </w:rPr>
        <w:t>Section 3.08</w:t>
      </w:r>
      <w:r>
        <w:rPr>
          <w:rFonts w:ascii="Times New Roman" w:cs="Times New Roman" w:eastAsia="Times New Roman" w:hAnsi="Times New Roman"/>
          <w:sz w:val="21"/>
          <w:szCs w:val="21"/>
          <w:color w:val="auto"/>
        </w:rPr>
        <w:t>.</w:t>
      </w:r>
    </w:p>
    <w:p>
      <w:pPr>
        <w:spacing w:after="0" w:line="145" w:lineRule="exact"/>
        <w:rPr>
          <w:rFonts w:ascii="Times New Roman" w:cs="Times New Roman" w:eastAsia="Times New Roman" w:hAnsi="Times New Roman"/>
          <w:sz w:val="21"/>
          <w:szCs w:val="21"/>
          <w:color w:val="auto"/>
        </w:rPr>
      </w:pPr>
    </w:p>
    <w:p>
      <w:pPr>
        <w:jc w:val="both"/>
        <w:ind w:firstLine="1278"/>
        <w:spacing w:after="0" w:line="218" w:lineRule="auto"/>
        <w:tabs>
          <w:tab w:leader="none" w:pos="1905" w:val="left"/>
        </w:tabs>
        <w:numPr>
          <w:ilvl w:val="1"/>
          <w:numId w:val="185"/>
        </w:numPr>
        <w:rPr>
          <w:rFonts w:ascii="Times New Roman" w:cs="Times New Roman" w:eastAsia="Times New Roman" w:hAnsi="Times New Roman"/>
          <w:sz w:val="21"/>
          <w:szCs w:val="21"/>
          <w:b w:val="1"/>
          <w:bCs w:val="1"/>
          <w:u w:val="single" w:color="auto"/>
          <w:color w:val="0000FF"/>
        </w:rPr>
      </w:pPr>
      <w:r>
        <w:rPr>
          <w:rFonts w:ascii="Times New Roman" w:cs="Times New Roman" w:eastAsia="Times New Roman" w:hAnsi="Times New Roman"/>
          <w:sz w:val="21"/>
          <w:szCs w:val="21"/>
          <w:b w:val="1"/>
          <w:bCs w:val="1"/>
          <w:color w:val="FF0000"/>
          <w:strike w:val="1"/>
        </w:rPr>
        <w:t>(d)</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color w:val="000000"/>
        </w:rPr>
        <w:t>Upon the Borrower’s receipt of notice of the commencement of a Benchmark Unavailability Period, the</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color w:val="000000"/>
        </w:rPr>
        <w:t xml:space="preserve">Borrower may revoke any request for a Borrowing of, conversion to or continuation of Term SOFR Loans or Eurodollar Rate Loans, as applicable to be made, converted or continued during any Benchmark Unavailability Period and, failing that, (x) in the case of Term SOFR Loans denominated in U.S. Dollars, the Borrower will be deemed to have converted any such request into a request for a Borrowing of or conversion to Base Rate Loans and (y) in the case of a request for a Borrowing or continuation in an Alternative Currency, the Borrower will be deemed to have converted any such request into a request for a Borrowing of or conversion to Base Rate Loans in U.S. Dollars (in an amount equal to the U.S. Dollar Equivalent of the amount requested to be borrowed or continued in the Alternative Currency). During any Benchmark Unavailability Period, the component of the Base Rate based upon </w:t>
      </w:r>
      <w:r>
        <w:rPr>
          <w:rFonts w:ascii="Times New Roman" w:cs="Times New Roman" w:eastAsia="Times New Roman" w:hAnsi="Times New Roman"/>
          <w:sz w:val="21"/>
          <w:szCs w:val="21"/>
          <w:b w:val="1"/>
          <w:bCs w:val="1"/>
          <w:color w:val="FF0000"/>
          <w:strike w:val="1"/>
        </w:rPr>
        <w:t>the Adjusted</w:t>
      </w:r>
      <w:r>
        <w:rPr>
          <w:rFonts w:ascii="Times New Roman" w:cs="Times New Roman" w:eastAsia="Times New Roman" w:hAnsi="Times New Roman"/>
          <w:sz w:val="21"/>
          <w:szCs w:val="21"/>
          <w:color w:val="000000"/>
        </w:rPr>
        <w:t xml:space="preserve"> Term SOFR </w:t>
      </w:r>
      <w:r>
        <w:rPr>
          <w:rFonts w:ascii="Times New Roman" w:cs="Times New Roman" w:eastAsia="Times New Roman" w:hAnsi="Times New Roman"/>
          <w:sz w:val="21"/>
          <w:szCs w:val="21"/>
          <w:b w:val="1"/>
          <w:bCs w:val="1"/>
          <w:color w:val="FF0000"/>
          <w:strike w:val="1"/>
        </w:rPr>
        <w:t>Rate</w:t>
      </w:r>
      <w:r>
        <w:rPr>
          <w:rFonts w:ascii="Times New Roman" w:cs="Times New Roman" w:eastAsia="Times New Roman" w:hAnsi="Times New Roman"/>
          <w:sz w:val="21"/>
          <w:szCs w:val="21"/>
          <w:color w:val="000000"/>
        </w:rPr>
        <w:t xml:space="preserve"> will not be used in any determination of Base Rate.</w:t>
      </w:r>
    </w:p>
    <w:p>
      <w:pPr>
        <w:spacing w:after="0" w:line="14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b w:val="1"/>
          <w:bCs w:val="1"/>
          <w:color w:val="auto"/>
        </w:rPr>
        <w:t>Article 4.</w:t>
      </w:r>
    </w:p>
    <w:p>
      <w:pPr>
        <w:ind w:left="4260"/>
        <w:spacing w:after="0"/>
        <w:rPr>
          <w:sz w:val="20"/>
          <w:szCs w:val="20"/>
          <w:color w:val="auto"/>
        </w:rPr>
      </w:pPr>
      <w:r>
        <w:rPr>
          <w:rFonts w:ascii="Times New Roman" w:cs="Times New Roman" w:eastAsia="Times New Roman" w:hAnsi="Times New Roman"/>
          <w:sz w:val="21"/>
          <w:szCs w:val="21"/>
          <w:b w:val="1"/>
          <w:bCs w:val="1"/>
          <w:color w:val="auto"/>
        </w:rPr>
        <w:t>CONDITIONS PRECEDENT</w:t>
      </w:r>
    </w:p>
    <w:p>
      <w:pPr>
        <w:spacing w:after="0" w:line="157"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4.01</w:t>
      </w:r>
      <w:r>
        <w:rPr>
          <w:sz w:val="20"/>
          <w:szCs w:val="20"/>
          <w:color w:val="auto"/>
        </w:rPr>
        <w:tab/>
      </w:r>
      <w:r>
        <w:rPr>
          <w:rFonts w:ascii="Times New Roman" w:cs="Times New Roman" w:eastAsia="Times New Roman" w:hAnsi="Times New Roman"/>
          <w:sz w:val="21"/>
          <w:szCs w:val="21"/>
          <w:i w:val="1"/>
          <w:iCs w:val="1"/>
          <w:color w:val="auto"/>
        </w:rPr>
        <w:t>Conditions Precedent to the Closing Date</w:t>
      </w:r>
    </w:p>
    <w:p>
      <w:pPr>
        <w:spacing w:after="0" w:line="211" w:lineRule="exact"/>
        <w:rPr>
          <w:sz w:val="20"/>
          <w:szCs w:val="20"/>
          <w:color w:val="auto"/>
        </w:rPr>
      </w:pPr>
    </w:p>
    <w:p>
      <w:pPr>
        <w:ind w:firstLine="642"/>
        <w:spacing w:after="0" w:line="285" w:lineRule="auto"/>
        <w:tabs>
          <w:tab w:leader="none" w:pos="755" w:val="left"/>
        </w:tabs>
        <w:numPr>
          <w:ilvl w:val="0"/>
          <w:numId w:val="1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effectiveness of this Agreement and the obligations of each L/C Issuer and each Lender to make the initial Credit Extensions on the Closing Date (if any) shall, in each case, be subject to the following conditions:</w:t>
      </w:r>
    </w:p>
    <w:p>
      <w:pPr>
        <w:spacing w:after="0" w:line="115" w:lineRule="exact"/>
        <w:rPr>
          <w:rFonts w:ascii="Times New Roman" w:cs="Times New Roman" w:eastAsia="Times New Roman" w:hAnsi="Times New Roman"/>
          <w:sz w:val="21"/>
          <w:szCs w:val="21"/>
          <w:color w:val="auto"/>
        </w:rPr>
      </w:pPr>
    </w:p>
    <w:p>
      <w:pPr>
        <w:jc w:val="both"/>
        <w:ind w:firstLine="1278"/>
        <w:spacing w:after="0" w:line="232" w:lineRule="auto"/>
        <w:tabs>
          <w:tab w:leader="none" w:pos="1905" w:val="left"/>
        </w:tabs>
        <w:numPr>
          <w:ilvl w:val="1"/>
          <w:numId w:val="1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Agent’s receipt of the following, each of which shall be originals, facsimiles or “pdf” or similar electronic format (followed promptly by originals) unless otherwise specified, each properly executed by a Responsible Officer of the signing Loan Party each in form and substance reasonably satisfactory to the Administrative Agent:</w:t>
      </w:r>
    </w:p>
    <w:p>
      <w:pPr>
        <w:spacing w:after="0" w:line="142" w:lineRule="exact"/>
        <w:rPr>
          <w:sz w:val="20"/>
          <w:szCs w:val="20"/>
          <w:color w:val="auto"/>
        </w:rPr>
      </w:pPr>
    </w:p>
    <w:p>
      <w:pPr>
        <w:ind w:left="1920"/>
        <w:spacing w:after="0"/>
        <w:tabs>
          <w:tab w:leader="none" w:pos="2520" w:val="left"/>
          <w:tab w:leader="none" w:pos="8740" w:val="left"/>
        </w:tabs>
        <w:rPr>
          <w:sz w:val="20"/>
          <w:szCs w:val="20"/>
          <w:color w:val="auto"/>
        </w:rPr>
      </w:pPr>
      <w:r>
        <w:rPr>
          <w:rFonts w:ascii="Times New Roman" w:cs="Times New Roman" w:eastAsia="Times New Roman" w:hAnsi="Times New Roman"/>
          <w:sz w:val="21"/>
          <w:szCs w:val="21"/>
          <w:color w:val="auto"/>
        </w:rPr>
        <w:t>(i)</w:t>
      </w:r>
      <w:r>
        <w:rPr>
          <w:sz w:val="20"/>
          <w:szCs w:val="20"/>
          <w:color w:val="auto"/>
        </w:rPr>
        <w:tab/>
      </w:r>
      <w:r>
        <w:rPr>
          <w:rFonts w:ascii="Times New Roman" w:cs="Times New Roman" w:eastAsia="Times New Roman" w:hAnsi="Times New Roman"/>
          <w:sz w:val="21"/>
          <w:szCs w:val="21"/>
          <w:color w:val="auto"/>
        </w:rPr>
        <w:t>a Note executed by the Borrower in favor of each Lender that has</w:t>
      </w:r>
      <w:r>
        <w:rPr>
          <w:sz w:val="20"/>
          <w:szCs w:val="20"/>
          <w:color w:val="auto"/>
        </w:rPr>
        <w:tab/>
      </w:r>
      <w:r>
        <w:rPr>
          <w:rFonts w:ascii="Times New Roman" w:cs="Times New Roman" w:eastAsia="Times New Roman" w:hAnsi="Times New Roman"/>
          <w:sz w:val="21"/>
          <w:szCs w:val="21"/>
          <w:color w:val="auto"/>
        </w:rPr>
        <w:t>requested a Note at least two</w:t>
      </w:r>
    </w:p>
    <w:p>
      <w:pPr>
        <w:ind w:left="940" w:hanging="298"/>
        <w:spacing w:after="0"/>
        <w:tabs>
          <w:tab w:leader="none" w:pos="940" w:val="left"/>
        </w:tabs>
        <w:numPr>
          <w:ilvl w:val="0"/>
          <w:numId w:val="1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Business Days prior to the Closing Date;</w:t>
      </w:r>
    </w:p>
    <w:p>
      <w:pPr>
        <w:spacing w:after="0" w:line="153" w:lineRule="exact"/>
        <w:rPr>
          <w:rFonts w:ascii="Times New Roman" w:cs="Times New Roman" w:eastAsia="Times New Roman" w:hAnsi="Times New Roman"/>
          <w:sz w:val="21"/>
          <w:szCs w:val="21"/>
          <w:color w:val="auto"/>
        </w:rPr>
      </w:pPr>
    </w:p>
    <w:p>
      <w:pPr>
        <w:ind w:left="2620" w:hanging="706"/>
        <w:spacing w:after="0"/>
        <w:tabs>
          <w:tab w:leader="none" w:pos="2620" w:val="left"/>
        </w:tabs>
        <w:numPr>
          <w:ilvl w:val="1"/>
          <w:numId w:val="1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executed copies of (x) this Agreement, and (y) each Collateral Document set forth on </w:t>
      </w:r>
      <w:r>
        <w:rPr>
          <w:rFonts w:ascii="Times New Roman" w:cs="Times New Roman" w:eastAsia="Times New Roman" w:hAnsi="Times New Roman"/>
          <w:sz w:val="21"/>
          <w:szCs w:val="21"/>
          <w:u w:val="single" w:color="auto"/>
          <w:color w:val="auto"/>
        </w:rPr>
        <w:t>Schedule</w:t>
      </w:r>
    </w:p>
    <w:p>
      <w:pPr>
        <w:ind w:left="2560"/>
        <w:spacing w:after="0"/>
        <w:tabs>
          <w:tab w:leader="none" w:pos="6220" w:val="left"/>
        </w:tabs>
        <w:rPr>
          <w:sz w:val="20"/>
          <w:szCs w:val="20"/>
          <w:color w:val="auto"/>
        </w:rPr>
      </w:pPr>
      <w:r>
        <w:rPr>
          <w:rFonts w:ascii="Times New Roman" w:cs="Times New Roman" w:eastAsia="Times New Roman" w:hAnsi="Times New Roman"/>
          <w:sz w:val="21"/>
          <w:szCs w:val="21"/>
          <w:u w:val="single" w:color="auto"/>
          <w:color w:val="auto"/>
        </w:rPr>
        <w:t>4.01(a)(ii)</w:t>
      </w:r>
      <w:r>
        <w:rPr>
          <w:rFonts w:ascii="Times New Roman" w:cs="Times New Roman" w:eastAsia="Times New Roman" w:hAnsi="Times New Roman"/>
          <w:sz w:val="21"/>
          <w:szCs w:val="21"/>
          <w:color w:val="auto"/>
        </w:rPr>
        <w:t>, executed by each Loan Party</w:t>
      </w:r>
      <w:r>
        <w:rPr>
          <w:sz w:val="20"/>
          <w:szCs w:val="20"/>
          <w:color w:val="auto"/>
        </w:rPr>
        <w:tab/>
      </w:r>
      <w:r>
        <w:rPr>
          <w:rFonts w:ascii="Times New Roman" w:cs="Times New Roman" w:eastAsia="Times New Roman" w:hAnsi="Times New Roman"/>
          <w:sz w:val="21"/>
          <w:szCs w:val="21"/>
          <w:color w:val="auto"/>
        </w:rPr>
        <w:t>thereto, together with:</w:t>
      </w:r>
    </w:p>
    <w:p>
      <w:pPr>
        <w:spacing w:after="0" w:line="159" w:lineRule="exact"/>
        <w:rPr>
          <w:sz w:val="20"/>
          <w:szCs w:val="20"/>
          <w:color w:val="auto"/>
        </w:rPr>
      </w:pPr>
    </w:p>
    <w:p>
      <w:pPr>
        <w:ind w:left="1280" w:firstLine="1143"/>
        <w:spacing w:after="0" w:line="245" w:lineRule="auto"/>
        <w:tabs>
          <w:tab w:leader="none" w:pos="3184" w:val="left"/>
        </w:tabs>
        <w:numPr>
          <w:ilvl w:val="0"/>
          <w:numId w:val="188"/>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evidence that all filings under the UCC shall have been taken, completed or otherwise provided for in a manner reasonably satisfactory to the Administrative Agent;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113</w:t>
      </w:r>
    </w:p>
    <w:p>
      <w:pPr>
        <w:sectPr>
          <w:pgSz w:w="11900" w:h="16838" w:orient="portrait"/>
          <w:cols w:equalWidth="0" w:num="1">
            <w:col w:w="11240"/>
          </w:cols>
          <w:pgMar w:left="320" w:top="1371" w:right="339" w:bottom="1440" w:gutter="0" w:footer="0" w:header="0"/>
        </w:sectPr>
      </w:pPr>
    </w:p>
    <w:bookmarkStart w:id="219" w:name="page220"/>
    <w:bookmarkEnd w:id="219"/>
    <w:p>
      <w:pPr>
        <w:jc w:val="both"/>
        <w:ind w:left="1280" w:firstLine="1143"/>
        <w:spacing w:after="0" w:line="226" w:lineRule="auto"/>
        <w:tabs>
          <w:tab w:leader="none" w:pos="3187" w:val="left"/>
        </w:tabs>
        <w:numPr>
          <w:ilvl w:val="3"/>
          <w:numId w:val="189"/>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 xml:space="preserve">any other documents and instruments as may be necessary or advisable in the reasonable opinion of the Administrative Agent to vest in the Administrative Agent valid and subsisting first priority perfected Liens on the properties purported to be subject to the Collateral Documents set forth on </w:t>
      </w:r>
      <w:r>
        <w:rPr>
          <w:rFonts w:ascii="Times New Roman" w:cs="Times New Roman" w:eastAsia="Times New Roman" w:hAnsi="Times New Roman"/>
          <w:sz w:val="21"/>
          <w:szCs w:val="21"/>
          <w:u w:val="single" w:color="auto"/>
          <w:color w:val="auto"/>
        </w:rPr>
        <w:t>Schedule 4.01(a)(ii)</w:t>
      </w:r>
      <w:r>
        <w:rPr>
          <w:rFonts w:ascii="Times New Roman" w:cs="Times New Roman" w:eastAsia="Times New Roman" w:hAnsi="Times New Roman"/>
          <w:sz w:val="21"/>
          <w:szCs w:val="21"/>
          <w:color w:val="auto"/>
        </w:rPr>
        <w:t>, enforceable against all third parties in accordance with their terms;</w:t>
      </w:r>
    </w:p>
    <w:p>
      <w:pPr>
        <w:spacing w:after="0" w:line="150" w:lineRule="exact"/>
        <w:rPr>
          <w:rFonts w:ascii="Times New Roman" w:cs="Times New Roman" w:eastAsia="Times New Roman" w:hAnsi="Times New Roman"/>
          <w:sz w:val="19"/>
          <w:szCs w:val="19"/>
          <w:color w:val="auto"/>
        </w:rPr>
      </w:pPr>
    </w:p>
    <w:p>
      <w:pPr>
        <w:jc w:val="both"/>
        <w:ind w:left="2560" w:hanging="646"/>
        <w:spacing w:after="0" w:line="223" w:lineRule="auto"/>
        <w:tabs>
          <w:tab w:leader="none" w:pos="2560" w:val="left"/>
        </w:tabs>
        <w:numPr>
          <w:ilvl w:val="1"/>
          <w:numId w:val="1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certificates of resolutions or other action, incumbency certificates and/or other certificates of Responsible Officers of each Loan Party as the Administrative Agent may reasonably require evidencing the identity, authority and capacity of each Responsible Officer thereof authorized to act as a Responsible Officer in connection with this Agreement and the other Loan Documents to which such Loan Party is a party;</w:t>
      </w:r>
    </w:p>
    <w:p>
      <w:pPr>
        <w:spacing w:after="0" w:line="150" w:lineRule="exact"/>
        <w:rPr>
          <w:rFonts w:ascii="Times New Roman" w:cs="Times New Roman" w:eastAsia="Times New Roman" w:hAnsi="Times New Roman"/>
          <w:sz w:val="21"/>
          <w:szCs w:val="21"/>
          <w:color w:val="auto"/>
        </w:rPr>
      </w:pPr>
    </w:p>
    <w:p>
      <w:pPr>
        <w:jc w:val="both"/>
        <w:ind w:left="2560" w:hanging="646"/>
        <w:spacing w:after="0" w:line="226" w:lineRule="auto"/>
        <w:tabs>
          <w:tab w:leader="none" w:pos="2548" w:val="left"/>
        </w:tabs>
        <w:numPr>
          <w:ilvl w:val="1"/>
          <w:numId w:val="1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 opinion from (A) Lewis Rice LLC, counsel to the Loan Parties, and (B) local or other counsel in each of the jurisdictions listed on </w:t>
      </w:r>
      <w:r>
        <w:rPr>
          <w:rFonts w:ascii="Times New Roman" w:cs="Times New Roman" w:eastAsia="Times New Roman" w:hAnsi="Times New Roman"/>
          <w:sz w:val="21"/>
          <w:szCs w:val="21"/>
          <w:u w:val="single" w:color="auto"/>
          <w:color w:val="auto"/>
        </w:rPr>
        <w:t>Schedule 4.01(a)(iv)</w:t>
      </w:r>
      <w:r>
        <w:rPr>
          <w:rFonts w:ascii="Times New Roman" w:cs="Times New Roman" w:eastAsia="Times New Roman" w:hAnsi="Times New Roman"/>
          <w:sz w:val="21"/>
          <w:szCs w:val="21"/>
          <w:color w:val="auto"/>
        </w:rPr>
        <w:t xml:space="preserve">, in each case as reasonably requested by the Administrative Agent, in the case of each of </w:t>
      </w:r>
      <w:r>
        <w:rPr>
          <w:rFonts w:ascii="Times New Roman" w:cs="Times New Roman" w:eastAsia="Times New Roman" w:hAnsi="Times New Roman"/>
          <w:sz w:val="21"/>
          <w:szCs w:val="21"/>
          <w:u w:val="single" w:color="auto"/>
          <w:color w:val="auto"/>
        </w:rPr>
        <w:t>clauses (A)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in form and substance reasonably satisfactory to the Administrative Agent;</w:t>
      </w:r>
    </w:p>
    <w:p>
      <w:pPr>
        <w:spacing w:after="0" w:line="150" w:lineRule="exact"/>
        <w:rPr>
          <w:rFonts w:ascii="Times New Roman" w:cs="Times New Roman" w:eastAsia="Times New Roman" w:hAnsi="Times New Roman"/>
          <w:sz w:val="21"/>
          <w:szCs w:val="21"/>
          <w:color w:val="auto"/>
        </w:rPr>
      </w:pPr>
    </w:p>
    <w:p>
      <w:pPr>
        <w:jc w:val="both"/>
        <w:ind w:left="2560" w:hanging="646"/>
        <w:spacing w:after="0" w:line="232" w:lineRule="auto"/>
        <w:tabs>
          <w:tab w:leader="none" w:pos="2555" w:val="left"/>
        </w:tabs>
        <w:numPr>
          <w:ilvl w:val="1"/>
          <w:numId w:val="1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certificate attesting to the Solvency of the Borrower and its Subsidiaries (taken as a whole) on the Closing Date after giving effect to the Transactions, from the Chief Financial Officer of the Borrower, substantially in the form attached hereto as </w:t>
      </w:r>
      <w:r>
        <w:rPr>
          <w:rFonts w:ascii="Times New Roman" w:cs="Times New Roman" w:eastAsia="Times New Roman" w:hAnsi="Times New Roman"/>
          <w:sz w:val="21"/>
          <w:szCs w:val="21"/>
          <w:u w:val="single" w:color="auto"/>
          <w:color w:val="auto"/>
        </w:rPr>
        <w:t>Exhibit K</w:t>
      </w:r>
      <w:r>
        <w:rPr>
          <w:rFonts w:ascii="Times New Roman" w:cs="Times New Roman" w:eastAsia="Times New Roman" w:hAnsi="Times New Roman"/>
          <w:sz w:val="21"/>
          <w:szCs w:val="21"/>
          <w:color w:val="auto"/>
        </w:rPr>
        <w:t>;</w:t>
      </w:r>
    </w:p>
    <w:p>
      <w:pPr>
        <w:spacing w:after="0" w:line="147" w:lineRule="exact"/>
        <w:rPr>
          <w:rFonts w:ascii="Times New Roman" w:cs="Times New Roman" w:eastAsia="Times New Roman" w:hAnsi="Times New Roman"/>
          <w:sz w:val="21"/>
          <w:szCs w:val="21"/>
          <w:color w:val="auto"/>
        </w:rPr>
      </w:pPr>
    </w:p>
    <w:p>
      <w:pPr>
        <w:ind w:left="2480" w:hanging="566"/>
        <w:spacing w:after="0" w:line="245" w:lineRule="auto"/>
        <w:tabs>
          <w:tab w:leader="none" w:pos="2468" w:val="left"/>
        </w:tabs>
        <w:numPr>
          <w:ilvl w:val="1"/>
          <w:numId w:val="1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certificate attesting to the compliance with </w:t>
      </w:r>
      <w:r>
        <w:rPr>
          <w:rFonts w:ascii="Times New Roman" w:cs="Times New Roman" w:eastAsia="Times New Roman" w:hAnsi="Times New Roman"/>
          <w:sz w:val="21"/>
          <w:szCs w:val="21"/>
          <w:u w:val="single" w:color="auto"/>
          <w:color w:val="auto"/>
        </w:rPr>
        <w:t>clauses (e)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(g)</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u w:val="single" w:color="auto"/>
          <w:color w:val="auto"/>
        </w:rPr>
        <w:t>Section 4.01</w:t>
      </w:r>
      <w:r>
        <w:rPr>
          <w:rFonts w:ascii="Times New Roman" w:cs="Times New Roman" w:eastAsia="Times New Roman" w:hAnsi="Times New Roman"/>
          <w:sz w:val="21"/>
          <w:szCs w:val="21"/>
          <w:color w:val="auto"/>
        </w:rPr>
        <w:t xml:space="preserve"> on the Closing Date from a Responsible Officer of the Borrower;</w:t>
      </w:r>
    </w:p>
    <w:p>
      <w:pPr>
        <w:spacing w:after="0" w:line="142" w:lineRule="exact"/>
        <w:rPr>
          <w:rFonts w:ascii="Times New Roman" w:cs="Times New Roman" w:eastAsia="Times New Roman" w:hAnsi="Times New Roman"/>
          <w:sz w:val="21"/>
          <w:szCs w:val="21"/>
          <w:color w:val="auto"/>
        </w:rPr>
      </w:pPr>
    </w:p>
    <w:p>
      <w:pPr>
        <w:ind w:left="2480" w:hanging="566"/>
        <w:spacing w:after="0" w:line="245" w:lineRule="auto"/>
        <w:tabs>
          <w:tab w:leader="none" w:pos="2474" w:val="left"/>
        </w:tabs>
        <w:numPr>
          <w:ilvl w:val="1"/>
          <w:numId w:val="1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any Loans are to be made on the Closing Date, a Committed Loan Notice pursuant to </w:t>
      </w:r>
      <w:r>
        <w:rPr>
          <w:rFonts w:ascii="Times New Roman" w:cs="Times New Roman" w:eastAsia="Times New Roman" w:hAnsi="Times New Roman"/>
          <w:sz w:val="21"/>
          <w:szCs w:val="21"/>
          <w:u w:val="single" w:color="auto"/>
          <w:color w:val="auto"/>
        </w:rPr>
        <w:t>Section 2.02</w:t>
      </w:r>
      <w:r>
        <w:rPr>
          <w:rFonts w:ascii="Times New Roman" w:cs="Times New Roman" w:eastAsia="Times New Roman" w:hAnsi="Times New Roman"/>
          <w:sz w:val="21"/>
          <w:szCs w:val="21"/>
          <w:color w:val="auto"/>
        </w:rPr>
        <w:t>; and</w:t>
      </w:r>
    </w:p>
    <w:p>
      <w:pPr>
        <w:spacing w:after="0" w:line="142" w:lineRule="exact"/>
        <w:rPr>
          <w:rFonts w:ascii="Times New Roman" w:cs="Times New Roman" w:eastAsia="Times New Roman" w:hAnsi="Times New Roman"/>
          <w:sz w:val="21"/>
          <w:szCs w:val="21"/>
          <w:color w:val="auto"/>
        </w:rPr>
      </w:pPr>
    </w:p>
    <w:p>
      <w:pPr>
        <w:ind w:left="2560" w:hanging="567"/>
        <w:spacing w:after="0" w:line="245" w:lineRule="auto"/>
        <w:tabs>
          <w:tab w:leader="none" w:pos="2560" w:val="left"/>
        </w:tabs>
        <w:numPr>
          <w:ilvl w:val="2"/>
          <w:numId w:val="1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copies of a recent Lien search in each jurisdiction reasonably requested by the Administrative Agent with respect to the Loan Parties.</w:t>
      </w:r>
    </w:p>
    <w:p>
      <w:pPr>
        <w:spacing w:after="0" w:line="142" w:lineRule="exact"/>
        <w:rPr>
          <w:rFonts w:ascii="Times New Roman" w:cs="Times New Roman" w:eastAsia="Times New Roman" w:hAnsi="Times New Roman"/>
          <w:sz w:val="21"/>
          <w:szCs w:val="21"/>
          <w:color w:val="auto"/>
        </w:rPr>
      </w:pPr>
    </w:p>
    <w:p>
      <w:pPr>
        <w:jc w:val="both"/>
        <w:ind w:firstLine="1278"/>
        <w:spacing w:after="0" w:line="223" w:lineRule="auto"/>
        <w:tabs>
          <w:tab w:leader="none" w:pos="1903" w:val="left"/>
        </w:tabs>
        <w:numPr>
          <w:ilvl w:val="0"/>
          <w:numId w:val="1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All reasonable fees and out-of-pocket expenses due and payable to the Lenders, the Arrangers and the Administrative Agent and required to be paid on or prior to the Closing Date pursuant to the </w:t>
      </w:r>
      <w:r>
        <w:rPr>
          <w:rFonts w:ascii="Times New Roman" w:cs="Times New Roman" w:eastAsia="Times New Roman" w:hAnsi="Times New Roman"/>
          <w:sz w:val="21"/>
          <w:szCs w:val="21"/>
          <w:b w:val="1"/>
          <w:bCs w:val="1"/>
          <w:u w:val="single" w:color="auto"/>
          <w:color w:val="0000FF"/>
        </w:rPr>
        <w:t>2021</w:t>
      </w:r>
      <w:r>
        <w:rPr>
          <w:rFonts w:ascii="Times New Roman" w:cs="Times New Roman" w:eastAsia="Times New Roman" w:hAnsi="Times New Roman"/>
          <w:sz w:val="21"/>
          <w:szCs w:val="21"/>
          <w:color w:val="auto"/>
        </w:rPr>
        <w:t xml:space="preserve"> Engagement Letter and the Fee Letter </w:t>
      </w:r>
      <w:r>
        <w:rPr>
          <w:rFonts w:ascii="Times New Roman" w:cs="Times New Roman" w:eastAsia="Times New Roman" w:hAnsi="Times New Roman"/>
          <w:sz w:val="21"/>
          <w:szCs w:val="21"/>
          <w:b w:val="1"/>
          <w:bCs w:val="1"/>
          <w:u w:val="single" w:color="auto"/>
          <w:color w:val="0000FF"/>
        </w:rPr>
        <w:t>(as in effect on the Closing Date)</w:t>
      </w:r>
      <w:r>
        <w:rPr>
          <w:rFonts w:ascii="Times New Roman" w:cs="Times New Roman" w:eastAsia="Times New Roman" w:hAnsi="Times New Roman"/>
          <w:sz w:val="21"/>
          <w:szCs w:val="21"/>
          <w:color w:val="auto"/>
        </w:rPr>
        <w:t xml:space="preserve"> shall have been paid or shall have been authorized to be deducted from the proceeds of the initial funding under the Facilities, so long as any such fees or expenses not expressly set forth in the Fee </w:t>
      </w:r>
      <w:r>
        <w:rPr>
          <w:rFonts w:ascii="Times New Roman" w:cs="Times New Roman" w:eastAsia="Times New Roman" w:hAnsi="Times New Roman"/>
          <w:sz w:val="21"/>
          <w:szCs w:val="21"/>
          <w:b w:val="1"/>
          <w:bCs w:val="1"/>
          <w:color w:val="FF0000"/>
          <w:strike w:val="1"/>
        </w:rPr>
        <w:t>Letters have been</w:t>
      </w:r>
      <w:r>
        <w:rPr>
          <w:rFonts w:ascii="Times New Roman" w:cs="Times New Roman" w:eastAsia="Times New Roman" w:hAnsi="Times New Roman"/>
          <w:sz w:val="21"/>
          <w:szCs w:val="21"/>
          <w:b w:val="1"/>
          <w:bCs w:val="1"/>
          <w:u w:val="single" w:color="auto"/>
          <w:color w:val="0000FF"/>
        </w:rPr>
        <w:t>Letter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0000FF"/>
        </w:rPr>
        <w:t>(as in effect on the Closing Date)</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have been invoiced not less than three (3) business days prior to the Closing Date.</w:t>
      </w:r>
    </w:p>
    <w:p>
      <w:pPr>
        <w:spacing w:after="0" w:line="150" w:lineRule="exact"/>
        <w:rPr>
          <w:rFonts w:ascii="Times New Roman" w:cs="Times New Roman" w:eastAsia="Times New Roman" w:hAnsi="Times New Roman"/>
          <w:sz w:val="21"/>
          <w:szCs w:val="21"/>
          <w:color w:val="auto"/>
        </w:rPr>
      </w:pPr>
    </w:p>
    <w:p>
      <w:pPr>
        <w:jc w:val="both"/>
        <w:ind w:firstLine="1278"/>
        <w:spacing w:after="0" w:line="232" w:lineRule="auto"/>
        <w:tabs>
          <w:tab w:leader="none" w:pos="1905" w:val="left"/>
        </w:tabs>
        <w:numPr>
          <w:ilvl w:val="0"/>
          <w:numId w:val="1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Substantially concurrently with the initial funding of the Facility, all outstanding obligations of the Borrower, BellRing Brands, LLC and its Restricted Subsidiaries under the Existing Credit Agreement shall be repaid, all commitments thereunder and all guarantees, liens and security interests granted in connection therewith shall be terminated (the “</w:t>
      </w:r>
      <w:r>
        <w:rPr>
          <w:rFonts w:ascii="Times New Roman" w:cs="Times New Roman" w:eastAsia="Times New Roman" w:hAnsi="Times New Roman"/>
          <w:sz w:val="21"/>
          <w:szCs w:val="21"/>
          <w:b w:val="1"/>
          <w:bCs w:val="1"/>
          <w:color w:val="auto"/>
        </w:rPr>
        <w:t>Refinancing</w:t>
      </w:r>
      <w:r>
        <w:rPr>
          <w:rFonts w:ascii="Times New Roman" w:cs="Times New Roman" w:eastAsia="Times New Roman" w:hAnsi="Times New Roman"/>
          <w:sz w:val="21"/>
          <w:szCs w:val="21"/>
          <w:color w:val="auto"/>
        </w:rPr>
        <w:t>”).</w:t>
      </w:r>
    </w:p>
    <w:p>
      <w:pPr>
        <w:spacing w:after="0" w:line="147" w:lineRule="exact"/>
        <w:rPr>
          <w:rFonts w:ascii="Times New Roman" w:cs="Times New Roman" w:eastAsia="Times New Roman" w:hAnsi="Times New Roman"/>
          <w:sz w:val="21"/>
          <w:szCs w:val="21"/>
          <w:color w:val="auto"/>
        </w:rPr>
      </w:pPr>
    </w:p>
    <w:p>
      <w:pPr>
        <w:ind w:firstLine="1278"/>
        <w:spacing w:after="0" w:line="245" w:lineRule="auto"/>
        <w:tabs>
          <w:tab w:leader="none" w:pos="1903" w:val="left"/>
        </w:tabs>
        <w:numPr>
          <w:ilvl w:val="0"/>
          <w:numId w:val="1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and the Lenders shall have received at least three Business Days prior to the Closing Date, to the extent requested in writing at least seven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114</w:t>
      </w:r>
    </w:p>
    <w:p>
      <w:pPr>
        <w:sectPr>
          <w:pgSz w:w="11900" w:h="16838" w:orient="portrait"/>
          <w:cols w:equalWidth="0" w:num="1">
            <w:col w:w="11240"/>
          </w:cols>
          <w:pgMar w:left="320" w:top="1371" w:right="339" w:bottom="1440" w:gutter="0" w:footer="0" w:header="0"/>
        </w:sectPr>
      </w:pPr>
    </w:p>
    <w:bookmarkStart w:id="220" w:name="page221"/>
    <w:bookmarkEnd w:id="220"/>
    <w:p>
      <w:pPr>
        <w:jc w:val="both"/>
        <w:spacing w:after="0" w:line="232" w:lineRule="auto"/>
        <w:rPr>
          <w:sz w:val="20"/>
          <w:szCs w:val="20"/>
          <w:color w:val="auto"/>
        </w:rPr>
      </w:pPr>
      <w:r>
        <w:rPr>
          <w:rFonts w:ascii="Times New Roman" w:cs="Times New Roman" w:eastAsia="Times New Roman" w:hAnsi="Times New Roman"/>
          <w:sz w:val="21"/>
          <w:szCs w:val="21"/>
          <w:color w:val="auto"/>
        </w:rPr>
        <w:t>Business Days prior to the Closing Date, all documentation and other information that the Administrative Agent and the Lenders reasonably determine is necessary in order to allow the Administrative Agent and the Lenders to comply with applicable “know your customer” and anti-money laundering rules and regulations, including the Act and the Beneficial Ownership Regulation.</w:t>
      </w:r>
    </w:p>
    <w:p>
      <w:pPr>
        <w:spacing w:after="0" w:line="148" w:lineRule="exact"/>
        <w:rPr>
          <w:sz w:val="20"/>
          <w:szCs w:val="20"/>
          <w:color w:val="auto"/>
        </w:rPr>
      </w:pPr>
    </w:p>
    <w:p>
      <w:pPr>
        <w:jc w:val="both"/>
        <w:ind w:firstLine="1278"/>
        <w:spacing w:after="0"/>
        <w:tabs>
          <w:tab w:leader="none" w:pos="1905" w:val="left"/>
        </w:tabs>
        <w:numPr>
          <w:ilvl w:val="0"/>
          <w:numId w:val="1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representations and warranties of the Borrower and each other Loan Party contained in </w:t>
      </w:r>
      <w:r>
        <w:rPr>
          <w:rFonts w:ascii="Times New Roman" w:cs="Times New Roman" w:eastAsia="Times New Roman" w:hAnsi="Times New Roman"/>
          <w:sz w:val="21"/>
          <w:szCs w:val="21"/>
          <w:u w:val="single" w:color="auto"/>
          <w:color w:val="auto"/>
        </w:rPr>
        <w:t>Article 5</w:t>
      </w:r>
      <w:r>
        <w:rPr>
          <w:rFonts w:ascii="Times New Roman" w:cs="Times New Roman" w:eastAsia="Times New Roman" w:hAnsi="Times New Roman"/>
          <w:sz w:val="21"/>
          <w:szCs w:val="21"/>
          <w:color w:val="auto"/>
        </w:rPr>
        <w:t xml:space="preserve"> hereof shall be true and correct in all material respects;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any representation and warranty that is qualified as to “materiality,” “Material Adverse Effect” or similar language shall be true and correct (after giving effect to any qualification therein) in all respects.</w:t>
      </w:r>
    </w:p>
    <w:p>
      <w:pPr>
        <w:spacing w:after="0" w:line="335" w:lineRule="exact"/>
        <w:rPr>
          <w:rFonts w:ascii="Times New Roman" w:cs="Times New Roman" w:eastAsia="Times New Roman" w:hAnsi="Times New Roman"/>
          <w:sz w:val="21"/>
          <w:szCs w:val="21"/>
          <w:color w:val="auto"/>
        </w:rPr>
      </w:pPr>
    </w:p>
    <w:p>
      <w:pPr>
        <w:ind w:firstLine="1278"/>
        <w:spacing w:after="0" w:line="245" w:lineRule="auto"/>
        <w:tabs>
          <w:tab w:leader="none" w:pos="1908" w:val="left"/>
        </w:tabs>
        <w:numPr>
          <w:ilvl w:val="0"/>
          <w:numId w:val="1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 has been no change, occurrence or development since September 30, 2021 that could reasonably be expected to have a Material Adverse Effect.</w:t>
      </w:r>
    </w:p>
    <w:p>
      <w:pPr>
        <w:spacing w:after="0" w:line="137" w:lineRule="exact"/>
        <w:rPr>
          <w:rFonts w:ascii="Times New Roman" w:cs="Times New Roman" w:eastAsia="Times New Roman" w:hAnsi="Times New Roman"/>
          <w:sz w:val="21"/>
          <w:szCs w:val="21"/>
          <w:color w:val="auto"/>
        </w:rPr>
      </w:pPr>
    </w:p>
    <w:p>
      <w:pPr>
        <w:ind w:left="1900" w:hanging="622"/>
        <w:spacing w:after="0"/>
        <w:tabs>
          <w:tab w:leader="none" w:pos="1900" w:val="left"/>
        </w:tabs>
        <w:numPr>
          <w:ilvl w:val="0"/>
          <w:numId w:val="1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the time of and immediately after giving effect to the Transactions, no Default shall have occurred and be</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continuing.</w:t>
      </w:r>
    </w:p>
    <w:p>
      <w:pPr>
        <w:spacing w:after="0" w:line="158" w:lineRule="exact"/>
        <w:rPr>
          <w:rFonts w:ascii="Times New Roman" w:cs="Times New Roman" w:eastAsia="Times New Roman" w:hAnsi="Times New Roman"/>
          <w:sz w:val="21"/>
          <w:szCs w:val="21"/>
          <w:color w:val="auto"/>
        </w:rPr>
      </w:pPr>
    </w:p>
    <w:p>
      <w:pPr>
        <w:jc w:val="both"/>
        <w:ind w:firstLine="1278"/>
        <w:spacing w:after="0" w:line="226" w:lineRule="auto"/>
        <w:tabs>
          <w:tab w:leader="none" w:pos="1903" w:val="left"/>
        </w:tabs>
        <w:numPr>
          <w:ilvl w:val="0"/>
          <w:numId w:val="1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Administrative Agent shall have received a certificate from the Borrower’s insurance broker or other evidence reasonably satisfactory to it that all insurance required to be maintained pursuant to </w:t>
      </w:r>
      <w:r>
        <w:rPr>
          <w:rFonts w:ascii="Times New Roman" w:cs="Times New Roman" w:eastAsia="Times New Roman" w:hAnsi="Times New Roman"/>
          <w:sz w:val="21"/>
          <w:szCs w:val="21"/>
          <w:u w:val="single" w:color="auto"/>
          <w:color w:val="auto"/>
        </w:rPr>
        <w:t>Section 6.06</w:t>
      </w:r>
      <w:r>
        <w:rPr>
          <w:rFonts w:ascii="Times New Roman" w:cs="Times New Roman" w:eastAsia="Times New Roman" w:hAnsi="Times New Roman"/>
          <w:sz w:val="21"/>
          <w:szCs w:val="21"/>
          <w:color w:val="auto"/>
        </w:rPr>
        <w:t xml:space="preserve"> is in full force and effect, together with endorsements naming the Administrative Agent, for the benefit of the Secured Parties, as additional insured and loss payee thereunder to the extent required under </w:t>
      </w:r>
      <w:r>
        <w:rPr>
          <w:rFonts w:ascii="Times New Roman" w:cs="Times New Roman" w:eastAsia="Times New Roman" w:hAnsi="Times New Roman"/>
          <w:sz w:val="21"/>
          <w:szCs w:val="21"/>
          <w:u w:val="single" w:color="auto"/>
          <w:color w:val="auto"/>
        </w:rPr>
        <w:t>Section 6.06</w:t>
      </w:r>
      <w:r>
        <w:rPr>
          <w:rFonts w:ascii="Times New Roman" w:cs="Times New Roman" w:eastAsia="Times New Roman" w:hAnsi="Times New Roman"/>
          <w:sz w:val="21"/>
          <w:szCs w:val="21"/>
          <w:color w:val="auto"/>
        </w:rPr>
        <w:t>.</w:t>
      </w:r>
    </w:p>
    <w:p>
      <w:pPr>
        <w:spacing w:after="0" w:line="150" w:lineRule="exact"/>
        <w:rPr>
          <w:rFonts w:ascii="Times New Roman" w:cs="Times New Roman" w:eastAsia="Times New Roman" w:hAnsi="Times New Roman"/>
          <w:sz w:val="21"/>
          <w:szCs w:val="21"/>
          <w:color w:val="auto"/>
        </w:rPr>
      </w:pPr>
    </w:p>
    <w:p>
      <w:pPr>
        <w:jc w:val="both"/>
        <w:ind w:firstLine="1278"/>
        <w:spacing w:after="0" w:line="232" w:lineRule="auto"/>
        <w:tabs>
          <w:tab w:leader="none" w:pos="1896" w:val="left"/>
        </w:tabs>
        <w:numPr>
          <w:ilvl w:val="0"/>
          <w:numId w:val="1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shall have received the annual financial statements of Old BRBR for the fiscal years ended September 30, 2020 and September 30, 2021, and the quarterly financial statements of Old BRBR for the fiscal quarter ended December 31, 2021.</w:t>
      </w:r>
    </w:p>
    <w:p>
      <w:pPr>
        <w:spacing w:after="0" w:line="147" w:lineRule="exact"/>
        <w:rPr>
          <w:rFonts w:ascii="Times New Roman" w:cs="Times New Roman" w:eastAsia="Times New Roman" w:hAnsi="Times New Roman"/>
          <w:sz w:val="21"/>
          <w:szCs w:val="21"/>
          <w:color w:val="auto"/>
        </w:rPr>
      </w:pPr>
    </w:p>
    <w:p>
      <w:pPr>
        <w:jc w:val="both"/>
        <w:ind w:firstLine="1278"/>
        <w:spacing w:after="0" w:line="232" w:lineRule="auto"/>
        <w:tabs>
          <w:tab w:leader="none" w:pos="1896" w:val="left"/>
        </w:tabs>
        <w:numPr>
          <w:ilvl w:val="0"/>
          <w:numId w:val="1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Substantially concurrently with the initial funding of the Facility, Old BRBR shall file with the Secretary of State of the State of Delaware a certificate of merger evidencing the Old BRBR Merger, in the form required by and executed in accordance with the relevant provisions of the General Corporation Law of the State of Delaware.</w:t>
      </w:r>
    </w:p>
    <w:p>
      <w:pPr>
        <w:spacing w:after="0" w:line="146"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4.02</w:t>
      </w:r>
      <w:r>
        <w:rPr>
          <w:sz w:val="20"/>
          <w:szCs w:val="20"/>
          <w:color w:val="auto"/>
        </w:rPr>
        <w:tab/>
      </w:r>
      <w:r>
        <w:rPr>
          <w:rFonts w:ascii="Times New Roman" w:cs="Times New Roman" w:eastAsia="Times New Roman" w:hAnsi="Times New Roman"/>
          <w:sz w:val="21"/>
          <w:szCs w:val="21"/>
          <w:i w:val="1"/>
          <w:iCs w:val="1"/>
          <w:color w:val="auto"/>
        </w:rPr>
        <w:t>Conditions to All Credit Extensions after the Closing Date</w:t>
      </w:r>
    </w:p>
    <w:p>
      <w:pPr>
        <w:spacing w:after="0" w:line="211" w:lineRule="exact"/>
        <w:rPr>
          <w:sz w:val="20"/>
          <w:szCs w:val="20"/>
          <w:color w:val="auto"/>
        </w:rPr>
      </w:pPr>
    </w:p>
    <w:p>
      <w:pPr>
        <w:jc w:val="both"/>
        <w:ind w:firstLine="642"/>
        <w:spacing w:after="0" w:line="266" w:lineRule="auto"/>
        <w:tabs>
          <w:tab w:leader="none" w:pos="742" w:val="left"/>
        </w:tabs>
        <w:numPr>
          <w:ilvl w:val="0"/>
          <w:numId w:val="1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obligation of each Lender to honor any Request for Credit Extension other than a Letter of Credit, and if such Request for Credit Extension is for a Letter of Credit, the obligation of the applicable L/C Issuer to honor such Request for Credit Extension, after the Closing Date (other than (x) pursuant to a Conversion/Continuation Notice and (y) in connection with the funding of an Incremental Term Loan) is subject to the following conditions precedent:</w:t>
      </w:r>
    </w:p>
    <w:p>
      <w:pPr>
        <w:spacing w:after="0" w:line="135" w:lineRule="exact"/>
        <w:rPr>
          <w:rFonts w:ascii="Times New Roman" w:cs="Times New Roman" w:eastAsia="Times New Roman" w:hAnsi="Times New Roman"/>
          <w:sz w:val="21"/>
          <w:szCs w:val="21"/>
          <w:color w:val="auto"/>
        </w:rPr>
      </w:pPr>
    </w:p>
    <w:p>
      <w:pPr>
        <w:jc w:val="both"/>
        <w:ind w:firstLine="1278"/>
        <w:spacing w:after="0" w:line="218" w:lineRule="auto"/>
        <w:tabs>
          <w:tab w:leader="none" w:pos="1905" w:val="left"/>
        </w:tabs>
        <w:numPr>
          <w:ilvl w:val="1"/>
          <w:numId w:val="1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representations and warranties of the Borrower and each other Loan Party contained in </w:t>
      </w:r>
      <w:r>
        <w:rPr>
          <w:rFonts w:ascii="Times New Roman" w:cs="Times New Roman" w:eastAsia="Times New Roman" w:hAnsi="Times New Roman"/>
          <w:sz w:val="21"/>
          <w:szCs w:val="21"/>
          <w:u w:val="single" w:color="auto"/>
          <w:color w:val="auto"/>
        </w:rPr>
        <w:t>Article 5</w:t>
      </w:r>
      <w:r>
        <w:rPr>
          <w:rFonts w:ascii="Times New Roman" w:cs="Times New Roman" w:eastAsia="Times New Roman" w:hAnsi="Times New Roman"/>
          <w:sz w:val="21"/>
          <w:szCs w:val="21"/>
          <w:color w:val="auto"/>
        </w:rPr>
        <w:t xml:space="preserve"> or any other Loan Document, or which are contained in any document furnished at any time under or in connection herewith or therewith, that are qualified by materiality shall be true and correct (after giving effect to any qualification therein) on and as of the date of such Credit Extension, and each of the representations and warranties of the Borrower and each other Loan Party contained in any other Loan Document or in any document furnished at any time under or in connection herewith or therewith that are not qualified by materiality shall be true and correct in all material respects on and as of the date of such Credit Extension, except in each case to the extent that such representations and warranties specifically refer to an earlier date, in which case they shall be true and correct (if qualified by materiality) after giving effect to any such qualification therein and otherwise, shall be true and correct in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115</w:t>
      </w:r>
    </w:p>
    <w:p>
      <w:pPr>
        <w:sectPr>
          <w:pgSz w:w="11900" w:h="16838" w:orient="portrait"/>
          <w:cols w:equalWidth="0" w:num="1">
            <w:col w:w="11240"/>
          </w:cols>
          <w:pgMar w:left="320" w:top="1371" w:right="339" w:bottom="1440" w:gutter="0" w:footer="0" w:header="0"/>
        </w:sectPr>
      </w:pPr>
    </w:p>
    <w:bookmarkStart w:id="221" w:name="page222"/>
    <w:bookmarkEnd w:id="221"/>
    <w:p>
      <w:pPr>
        <w:spacing w:after="0" w:line="222" w:lineRule="auto"/>
        <w:rPr>
          <w:sz w:val="20"/>
          <w:szCs w:val="20"/>
          <w:color w:val="auto"/>
        </w:rPr>
      </w:pPr>
      <w:r>
        <w:rPr>
          <w:rFonts w:ascii="Times New Roman" w:cs="Times New Roman" w:eastAsia="Times New Roman" w:hAnsi="Times New Roman"/>
          <w:sz w:val="21"/>
          <w:szCs w:val="21"/>
          <w:color w:val="auto"/>
        </w:rPr>
        <w:t xml:space="preserve">material respects as of such earlier date, and except that for purposes of this </w:t>
      </w:r>
      <w:r>
        <w:rPr>
          <w:rFonts w:ascii="Times New Roman" w:cs="Times New Roman" w:eastAsia="Times New Roman" w:hAnsi="Times New Roman"/>
          <w:sz w:val="21"/>
          <w:szCs w:val="21"/>
          <w:u w:val="single" w:color="auto"/>
          <w:color w:val="auto"/>
        </w:rPr>
        <w:t>Section 4.02</w:t>
      </w:r>
      <w:r>
        <w:rPr>
          <w:rFonts w:ascii="Times New Roman" w:cs="Times New Roman" w:eastAsia="Times New Roman" w:hAnsi="Times New Roman"/>
          <w:sz w:val="21"/>
          <w:szCs w:val="21"/>
          <w:color w:val="auto"/>
        </w:rPr>
        <w:t xml:space="preserve">, the representations and warranties contained in </w:t>
      </w:r>
      <w:r>
        <w:rPr>
          <w:rFonts w:ascii="Times New Roman" w:cs="Times New Roman" w:eastAsia="Times New Roman" w:hAnsi="Times New Roman"/>
          <w:sz w:val="21"/>
          <w:szCs w:val="21"/>
          <w:u w:val="single" w:color="auto"/>
          <w:color w:val="auto"/>
        </w:rPr>
        <w:t>clauses (a)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of </w:t>
      </w:r>
      <w:r>
        <w:rPr>
          <w:rFonts w:ascii="Times New Roman" w:cs="Times New Roman" w:eastAsia="Times New Roman" w:hAnsi="Times New Roman"/>
          <w:sz w:val="21"/>
          <w:szCs w:val="21"/>
          <w:u w:val="single" w:color="auto"/>
          <w:color w:val="auto"/>
        </w:rPr>
        <w:t>Section 5.05</w:t>
      </w:r>
      <w:r>
        <w:rPr>
          <w:rFonts w:ascii="Times New Roman" w:cs="Times New Roman" w:eastAsia="Times New Roman" w:hAnsi="Times New Roman"/>
          <w:sz w:val="21"/>
          <w:szCs w:val="21"/>
          <w:color w:val="auto"/>
        </w:rPr>
        <w:t xml:space="preserve"> shall be deemed to refer to the most recent statements furnished pursuant to </w:t>
      </w:r>
      <w:r>
        <w:rPr>
          <w:rFonts w:ascii="Times New Roman" w:cs="Times New Roman" w:eastAsia="Times New Roman" w:hAnsi="Times New Roman"/>
          <w:sz w:val="21"/>
          <w:szCs w:val="21"/>
          <w:u w:val="single" w:color="auto"/>
          <w:color w:val="auto"/>
        </w:rPr>
        <w:t>clauses</w:t>
      </w:r>
    </w:p>
    <w:p>
      <w:pPr>
        <w:spacing w:after="0" w:line="1" w:lineRule="exact"/>
        <w:rPr>
          <w:sz w:val="20"/>
          <w:szCs w:val="20"/>
          <w:color w:val="auto"/>
        </w:rPr>
      </w:pPr>
    </w:p>
    <w:p>
      <w:pPr>
        <w:ind w:firstLine="6"/>
        <w:spacing w:after="0" w:line="231" w:lineRule="auto"/>
        <w:tabs>
          <w:tab w:leader="none" w:pos="295" w:val="left"/>
        </w:tabs>
        <w:numPr>
          <w:ilvl w:val="0"/>
          <w:numId w:val="194"/>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color w:val="auto"/>
        </w:rPr>
        <w:t xml:space="preserve">and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respectively, of </w:t>
      </w:r>
      <w:r>
        <w:rPr>
          <w:rFonts w:ascii="Times New Roman" w:cs="Times New Roman" w:eastAsia="Times New Roman" w:hAnsi="Times New Roman"/>
          <w:sz w:val="21"/>
          <w:szCs w:val="21"/>
          <w:u w:val="single" w:color="auto"/>
          <w:color w:val="auto"/>
        </w:rPr>
        <w:t>Section 6.01</w:t>
      </w:r>
      <w:r>
        <w:rPr>
          <w:rFonts w:ascii="Times New Roman" w:cs="Times New Roman" w:eastAsia="Times New Roman" w:hAnsi="Times New Roman"/>
          <w:sz w:val="21"/>
          <w:szCs w:val="21"/>
          <w:color w:val="auto"/>
        </w:rPr>
        <w:t xml:space="preserve"> (or, if no such financial statements have yet been delivered, to those delivered pursuant to </w:t>
      </w:r>
      <w:r>
        <w:rPr>
          <w:rFonts w:ascii="Times New Roman" w:cs="Times New Roman" w:eastAsia="Times New Roman" w:hAnsi="Times New Roman"/>
          <w:sz w:val="21"/>
          <w:szCs w:val="21"/>
          <w:u w:val="single" w:color="auto"/>
          <w:color w:val="auto"/>
        </w:rPr>
        <w:t>Section 4.01(i)</w:t>
      </w:r>
      <w:r>
        <w:rPr>
          <w:rFonts w:ascii="Times New Roman" w:cs="Times New Roman" w:eastAsia="Times New Roman" w:hAnsi="Times New Roman"/>
          <w:sz w:val="21"/>
          <w:szCs w:val="21"/>
          <w:color w:val="auto"/>
        </w:rPr>
        <w:t>).</w:t>
      </w:r>
    </w:p>
    <w:p>
      <w:pPr>
        <w:spacing w:after="0" w:line="141" w:lineRule="exact"/>
        <w:rPr>
          <w:rFonts w:ascii="Times New Roman" w:cs="Times New Roman" w:eastAsia="Times New Roman" w:hAnsi="Times New Roman"/>
          <w:sz w:val="21"/>
          <w:szCs w:val="21"/>
          <w:u w:val="single" w:color="auto"/>
          <w:color w:val="auto"/>
        </w:rPr>
      </w:pPr>
    </w:p>
    <w:p>
      <w:pPr>
        <w:ind w:left="1900" w:hanging="622"/>
        <w:spacing w:after="0"/>
        <w:tabs>
          <w:tab w:leader="none" w:pos="1900" w:val="left"/>
        </w:tabs>
        <w:numPr>
          <w:ilvl w:val="1"/>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Default shall exist, or would result from such proposed Credit Extension or from the application of the</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proceeds thereof.</w:t>
      </w:r>
    </w:p>
    <w:p>
      <w:pPr>
        <w:spacing w:after="0" w:line="158" w:lineRule="exact"/>
        <w:rPr>
          <w:rFonts w:ascii="Times New Roman" w:cs="Times New Roman" w:eastAsia="Times New Roman" w:hAnsi="Times New Roman"/>
          <w:sz w:val="21"/>
          <w:szCs w:val="21"/>
          <w:color w:val="auto"/>
        </w:rPr>
      </w:pPr>
    </w:p>
    <w:p>
      <w:pPr>
        <w:ind w:firstLine="1278"/>
        <w:spacing w:after="0" w:line="245" w:lineRule="auto"/>
        <w:tabs>
          <w:tab w:leader="none" w:pos="1905" w:val="left"/>
        </w:tabs>
        <w:numPr>
          <w:ilvl w:val="1"/>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and, if applicable, the applicable L/C Issuer shall have received a Request for Credit Extension in accordance with the requirements hereof.</w:t>
      </w:r>
    </w:p>
    <w:p>
      <w:pPr>
        <w:spacing w:after="0" w:line="142" w:lineRule="exact"/>
        <w:rPr>
          <w:rFonts w:ascii="Times New Roman" w:cs="Times New Roman" w:eastAsia="Times New Roman" w:hAnsi="Times New Roman"/>
          <w:sz w:val="21"/>
          <w:szCs w:val="21"/>
          <w:color w:val="auto"/>
        </w:rPr>
      </w:pPr>
    </w:p>
    <w:p>
      <w:pPr>
        <w:ind w:firstLine="1278"/>
        <w:spacing w:after="0" w:line="245" w:lineRule="auto"/>
        <w:tabs>
          <w:tab w:leader="none" w:pos="1903" w:val="left"/>
        </w:tabs>
        <w:numPr>
          <w:ilvl w:val="1"/>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Old BRBR Merger shall have become effective under the relevant provisions of the General Corporation Law of the State of Delaware.</w:t>
      </w:r>
    </w:p>
    <w:p>
      <w:pPr>
        <w:spacing w:after="0" w:line="16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21"/>
          <w:szCs w:val="21"/>
          <w:color w:val="auto"/>
        </w:rPr>
        <w:t xml:space="preserve">Each Request for Credit Extension (other than pursuant to a Conversion/Continuation Notice) submitted by the Borrower shall be deemed to be a representation and warranty that the conditions specified in </w:t>
      </w:r>
      <w:r>
        <w:rPr>
          <w:rFonts w:ascii="Times New Roman" w:cs="Times New Roman" w:eastAsia="Times New Roman" w:hAnsi="Times New Roman"/>
          <w:sz w:val="21"/>
          <w:szCs w:val="21"/>
          <w:u w:val="single" w:color="auto"/>
          <w:color w:val="auto"/>
        </w:rPr>
        <w:t>Sections 4.02(a)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have been satisfied on and as of the date of the applicable Credit Extension.</w:t>
      </w:r>
    </w:p>
    <w:p>
      <w:pPr>
        <w:spacing w:after="0" w:line="14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b w:val="1"/>
          <w:bCs w:val="1"/>
          <w:color w:val="auto"/>
        </w:rPr>
        <w:t>Article 5.</w:t>
      </w:r>
    </w:p>
    <w:p>
      <w:pPr>
        <w:ind w:left="3600"/>
        <w:spacing w:after="0"/>
        <w:rPr>
          <w:sz w:val="20"/>
          <w:szCs w:val="20"/>
          <w:color w:val="auto"/>
        </w:rPr>
      </w:pPr>
      <w:r>
        <w:rPr>
          <w:rFonts w:ascii="Times New Roman" w:cs="Times New Roman" w:eastAsia="Times New Roman" w:hAnsi="Times New Roman"/>
          <w:sz w:val="21"/>
          <w:szCs w:val="21"/>
          <w:b w:val="1"/>
          <w:bCs w:val="1"/>
          <w:color w:val="auto"/>
        </w:rPr>
        <w:t>REPRESENTATIONS AND WARRANTIES</w:t>
      </w:r>
    </w:p>
    <w:p>
      <w:pPr>
        <w:spacing w:after="0" w:line="185" w:lineRule="exact"/>
        <w:rPr>
          <w:sz w:val="20"/>
          <w:szCs w:val="20"/>
          <w:color w:val="auto"/>
        </w:rPr>
      </w:pPr>
    </w:p>
    <w:p>
      <w:pPr>
        <w:jc w:val="both"/>
        <w:ind w:firstLine="636"/>
        <w:spacing w:after="0" w:line="285" w:lineRule="auto"/>
        <w:rPr>
          <w:sz w:val="20"/>
          <w:szCs w:val="20"/>
          <w:color w:val="auto"/>
        </w:rPr>
      </w:pPr>
      <w:r>
        <w:rPr>
          <w:rFonts w:ascii="Times New Roman" w:cs="Times New Roman" w:eastAsia="Times New Roman" w:hAnsi="Times New Roman"/>
          <w:sz w:val="21"/>
          <w:szCs w:val="21"/>
          <w:color w:val="auto"/>
        </w:rPr>
        <w:t xml:space="preserve">The Borrower represents and warrants to the Administrative Agent and the Lenders on the Closing Date and on the date of each Credit Extension as contemplated by </w:t>
      </w:r>
      <w:r>
        <w:rPr>
          <w:rFonts w:ascii="Times New Roman" w:cs="Times New Roman" w:eastAsia="Times New Roman" w:hAnsi="Times New Roman"/>
          <w:sz w:val="21"/>
          <w:szCs w:val="21"/>
          <w:u w:val="single" w:color="auto"/>
          <w:color w:val="auto"/>
        </w:rPr>
        <w:t>Section 4.02</w:t>
      </w:r>
      <w:r>
        <w:rPr>
          <w:rFonts w:ascii="Times New Roman" w:cs="Times New Roman" w:eastAsia="Times New Roman" w:hAnsi="Times New Roman"/>
          <w:sz w:val="21"/>
          <w:szCs w:val="21"/>
          <w:color w:val="auto"/>
        </w:rPr>
        <w:t xml:space="preserve"> as to each of the matters set forth below that:</w:t>
      </w:r>
    </w:p>
    <w:p>
      <w:pPr>
        <w:spacing w:after="0" w:line="113"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5.01</w:t>
      </w:r>
      <w:r>
        <w:rPr>
          <w:sz w:val="20"/>
          <w:szCs w:val="20"/>
          <w:color w:val="auto"/>
        </w:rPr>
        <w:tab/>
      </w:r>
      <w:r>
        <w:rPr>
          <w:rFonts w:ascii="Times New Roman" w:cs="Times New Roman" w:eastAsia="Times New Roman" w:hAnsi="Times New Roman"/>
          <w:sz w:val="21"/>
          <w:szCs w:val="21"/>
          <w:i w:val="1"/>
          <w:iCs w:val="1"/>
          <w:color w:val="auto"/>
        </w:rPr>
        <w:t>Existence, Qualification and Power</w:t>
      </w:r>
    </w:p>
    <w:p>
      <w:pPr>
        <w:spacing w:after="0" w:line="211" w:lineRule="exact"/>
        <w:rPr>
          <w:sz w:val="20"/>
          <w:szCs w:val="20"/>
          <w:color w:val="auto"/>
        </w:rPr>
      </w:pPr>
    </w:p>
    <w:p>
      <w:pPr>
        <w:jc w:val="both"/>
        <w:ind w:firstLine="642"/>
        <w:spacing w:after="0" w:line="262" w:lineRule="auto"/>
        <w:tabs>
          <w:tab w:leader="none" w:pos="755" w:val="left"/>
        </w:tabs>
        <w:numPr>
          <w:ilvl w:val="1"/>
          <w:numId w:val="1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Loan Party and each Restricted Subsidiary (other than any Immaterial Subsidiary) thereof (a) is duly organized or formed, validly existing and, as applicable, in good standing under the Laws of the jurisdiction of its incorporation or organization;</w:t>
      </w:r>
    </w:p>
    <w:p>
      <w:pPr>
        <w:jc w:val="both"/>
        <w:ind w:firstLine="6"/>
        <w:spacing w:after="0" w:line="255" w:lineRule="auto"/>
        <w:tabs>
          <w:tab w:leader="none" w:pos="313" w:val="left"/>
        </w:tabs>
        <w:numPr>
          <w:ilvl w:val="0"/>
          <w:numId w:val="1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has all requisite power and authority and all requisite governmental licenses, authorizations, consents and approvals to (i) own or lease its assets and carry on its business and (ii) execute, deliver and perform its obligations under the Loan Documents to which it is a party; and (c) is duly qualified and is licensed and, as applicable, in good standing under the Laws of each jurisdiction where its ownership, lease or operation of properties or the conduct of its business requires such qualification or license; except in each case referred to in </w:t>
      </w:r>
      <w:r>
        <w:rPr>
          <w:rFonts w:ascii="Times New Roman" w:cs="Times New Roman" w:eastAsia="Times New Roman" w:hAnsi="Times New Roman"/>
          <w:sz w:val="21"/>
          <w:szCs w:val="21"/>
          <w:u w:val="single" w:color="auto"/>
          <w:color w:val="auto"/>
        </w:rPr>
        <w:t>clause (b)(i)</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(c)</w:t>
      </w:r>
      <w:r>
        <w:rPr>
          <w:rFonts w:ascii="Times New Roman" w:cs="Times New Roman" w:eastAsia="Times New Roman" w:hAnsi="Times New Roman"/>
          <w:sz w:val="21"/>
          <w:szCs w:val="21"/>
          <w:color w:val="auto"/>
        </w:rPr>
        <w:t>, to the extent that failure to do so could not reasonably be expected to have a Material Adverse Effect.</w:t>
      </w:r>
    </w:p>
    <w:p>
      <w:pPr>
        <w:spacing w:after="0" w:line="144"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5.02</w:t>
      </w:r>
      <w:r>
        <w:rPr>
          <w:sz w:val="20"/>
          <w:szCs w:val="20"/>
          <w:color w:val="auto"/>
        </w:rPr>
        <w:tab/>
      </w:r>
      <w:r>
        <w:rPr>
          <w:rFonts w:ascii="Times New Roman" w:cs="Times New Roman" w:eastAsia="Times New Roman" w:hAnsi="Times New Roman"/>
          <w:sz w:val="21"/>
          <w:szCs w:val="21"/>
          <w:i w:val="1"/>
          <w:iCs w:val="1"/>
          <w:color w:val="auto"/>
        </w:rPr>
        <w:t>Authorization; No Contravention</w:t>
      </w:r>
    </w:p>
    <w:p>
      <w:pPr>
        <w:spacing w:after="0" w:line="211" w:lineRule="exact"/>
        <w:rPr>
          <w:sz w:val="20"/>
          <w:szCs w:val="20"/>
          <w:color w:val="auto"/>
        </w:rPr>
      </w:pPr>
    </w:p>
    <w:p>
      <w:pPr>
        <w:jc w:val="both"/>
        <w:ind w:firstLine="642"/>
        <w:spacing w:after="0" w:line="259" w:lineRule="auto"/>
        <w:tabs>
          <w:tab w:leader="none" w:pos="742" w:val="left"/>
        </w:tabs>
        <w:numPr>
          <w:ilvl w:val="0"/>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execution, delivery and performance by each Loan Party of each Loan Document to which such Person is party have been duly authorized by all necessary corporate or other organizational action, and do not and will not (a) contravene the terms of any of such Person’s Organization Documents; (b) conflict with or result in any breach or contravention of, or the creation of any Lien under, or require any payment to be made under (i) any material contract to which such Person is a party or affecting such Person or the properties of such Person or any of its Restricted Subsidiaries or (ii) any order, injunction, writ or decree of any Governmental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116</w:t>
      </w:r>
    </w:p>
    <w:p>
      <w:pPr>
        <w:sectPr>
          <w:pgSz w:w="11900" w:h="16838" w:orient="portrait"/>
          <w:cols w:equalWidth="0" w:num="1">
            <w:col w:w="11240"/>
          </w:cols>
          <w:pgMar w:left="320" w:top="1371" w:right="33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21"/>
          <w:szCs w:val="21"/>
          <w:color w:val="auto"/>
        </w:rPr>
        <w:t>Authority or any arbitral award to which such Person or its property is subject; or (c) violate any Law.</w:t>
      </w:r>
    </w:p>
    <w:p>
      <w:pPr>
        <w:spacing w:after="0" w:line="194"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5.03</w:t>
      </w:r>
      <w:r>
        <w:rPr>
          <w:sz w:val="20"/>
          <w:szCs w:val="20"/>
          <w:color w:val="auto"/>
        </w:rPr>
        <w:tab/>
      </w:r>
      <w:r>
        <w:rPr>
          <w:rFonts w:ascii="Times New Roman" w:cs="Times New Roman" w:eastAsia="Times New Roman" w:hAnsi="Times New Roman"/>
          <w:sz w:val="21"/>
          <w:szCs w:val="21"/>
          <w:i w:val="1"/>
          <w:iCs w:val="1"/>
          <w:color w:val="auto"/>
        </w:rPr>
        <w:t>Governmental Authorization; Other Consents</w:t>
      </w:r>
    </w:p>
    <w:p>
      <w:pPr>
        <w:spacing w:after="0" w:line="211" w:lineRule="exact"/>
        <w:rPr>
          <w:sz w:val="20"/>
          <w:szCs w:val="20"/>
          <w:color w:val="auto"/>
        </w:rPr>
      </w:pPr>
    </w:p>
    <w:p>
      <w:pPr>
        <w:jc w:val="both"/>
        <w:ind w:firstLine="642"/>
        <w:spacing w:after="0" w:line="262" w:lineRule="auto"/>
        <w:tabs>
          <w:tab w:leader="none" w:pos="742" w:val="left"/>
        </w:tabs>
        <w:numPr>
          <w:ilvl w:val="1"/>
          <w:numId w:val="1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material approval, consent, exemption, authorization, or other action by, or notice to, or filing with, any Governmental Authority or any other Person is necessary or required in connection with (a) the execution, delivery or performance by, or enforcement against, any Loan Party of this Agreement or any other Loan Document, or for the consummation of the Transactions,</w:t>
      </w:r>
    </w:p>
    <w:p>
      <w:pPr>
        <w:spacing w:after="0" w:line="1" w:lineRule="exact"/>
        <w:rPr>
          <w:rFonts w:ascii="Times New Roman" w:cs="Times New Roman" w:eastAsia="Times New Roman" w:hAnsi="Times New Roman"/>
          <w:sz w:val="21"/>
          <w:szCs w:val="21"/>
          <w:color w:val="auto"/>
        </w:rPr>
      </w:pPr>
    </w:p>
    <w:p>
      <w:pPr>
        <w:jc w:val="both"/>
        <w:ind w:firstLine="6"/>
        <w:spacing w:after="0" w:line="254" w:lineRule="auto"/>
        <w:tabs>
          <w:tab w:leader="none" w:pos="303" w:val="left"/>
        </w:tabs>
        <w:numPr>
          <w:ilvl w:val="0"/>
          <w:numId w:val="1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grant by any Loan Party of the Liens granted by it pursuant to the Collateral Documents or (c) the perfection or maintenance of the Liens created under the Collateral Documents (including the priority thereof), except for (x) filings and actions completed on or prior to the Closing Date and as contemplated hereby and by the Collateral Documents necessary to perfect or maintain the Liens on the Collateral granted by the Loan Parties in favor of the Administrative Agent for the benefit of the Secured Parties (including, without limitation, UCC financing statements and filings in the United States Patent and Trademark Office and the United States Copyright Office) and (y) approvals, consents, exemptions, authorizations, actions, notices and filings which have been duly obtained, taken, given or made and are in full force and effect.</w:t>
      </w:r>
    </w:p>
    <w:p>
      <w:pPr>
        <w:spacing w:after="0" w:line="146"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5.04</w:t>
      </w:r>
      <w:r>
        <w:rPr>
          <w:sz w:val="20"/>
          <w:szCs w:val="20"/>
          <w:color w:val="auto"/>
        </w:rPr>
        <w:tab/>
      </w:r>
      <w:r>
        <w:rPr>
          <w:rFonts w:ascii="Times New Roman" w:cs="Times New Roman" w:eastAsia="Times New Roman" w:hAnsi="Times New Roman"/>
          <w:sz w:val="21"/>
          <w:szCs w:val="21"/>
          <w:i w:val="1"/>
          <w:iCs w:val="1"/>
          <w:color w:val="auto"/>
        </w:rPr>
        <w:t>Binding Effect</w:t>
      </w:r>
    </w:p>
    <w:p>
      <w:pPr>
        <w:spacing w:after="0" w:line="211" w:lineRule="exact"/>
        <w:rPr>
          <w:sz w:val="20"/>
          <w:szCs w:val="20"/>
          <w:color w:val="auto"/>
        </w:rPr>
      </w:pPr>
    </w:p>
    <w:p>
      <w:pPr>
        <w:jc w:val="both"/>
        <w:ind w:firstLine="642"/>
        <w:spacing w:after="0" w:line="259" w:lineRule="auto"/>
        <w:tabs>
          <w:tab w:leader="none" w:pos="755" w:val="left"/>
        </w:tabs>
        <w:numPr>
          <w:ilvl w:val="0"/>
          <w:numId w:val="1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has been, and each other Loan Document, when delivered hereunder, will have been, duly executed and delivered by each Loan Party that is party thereto. This Agreement constitutes, and each other Loan Document when so delivered will constitute, a legal, valid and binding obligation of such Loan Party, enforceable against each Loan Party that is party thereto in accordance with its terms, except to the extent that the enforceability thereof may be limited by applicable bankruptcy, insolvency, reorganization, moratorium or other similar laws generally affecting creditors’ rights and by equitable principles (regardless of whether enforcement is sought in equity or at law).</w:t>
      </w:r>
    </w:p>
    <w:p>
      <w:pPr>
        <w:spacing w:after="0" w:line="144"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5.05</w:t>
      </w:r>
      <w:r>
        <w:rPr>
          <w:sz w:val="20"/>
          <w:szCs w:val="20"/>
          <w:color w:val="auto"/>
        </w:rPr>
        <w:tab/>
      </w:r>
      <w:r>
        <w:rPr>
          <w:rFonts w:ascii="Times New Roman" w:cs="Times New Roman" w:eastAsia="Times New Roman" w:hAnsi="Times New Roman"/>
          <w:sz w:val="21"/>
          <w:szCs w:val="21"/>
          <w:i w:val="1"/>
          <w:iCs w:val="1"/>
          <w:color w:val="auto"/>
        </w:rPr>
        <w:t>Financial Statements; No Material Adverse Effect</w:t>
      </w:r>
    </w:p>
    <w:p>
      <w:pPr>
        <w:spacing w:after="0" w:line="185" w:lineRule="exact"/>
        <w:rPr>
          <w:sz w:val="20"/>
          <w:szCs w:val="20"/>
          <w:color w:val="auto"/>
        </w:rPr>
      </w:pPr>
    </w:p>
    <w:p>
      <w:pPr>
        <w:jc w:val="both"/>
        <w:ind w:firstLine="1278"/>
        <w:spacing w:after="0" w:line="217" w:lineRule="auto"/>
        <w:tabs>
          <w:tab w:leader="none" w:pos="1905" w:val="left"/>
        </w:tabs>
        <w:numPr>
          <w:ilvl w:val="0"/>
          <w:numId w:val="1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Annual Financial Statements of the Borrower and its Subsidiaries: (A) were prepared in accordance with GAAP consistently applied throughout the period covered thereby, except as otherwise expressly noted therein; (B) fairly present, in all material respects, the financial condition of the Borrower and its Subsidiaries as of the date thereof and their results of operations for the period covered thereby in accordance with GAAP consistently applied throughout the period covered thereby, except as otherwise expressly noted therein; (C) show all material indebtedness and other liabilities, direct or contingent, of the Borrower and its Subsidiaries, as of the date thereof, including liabilities for taxes, material commitments and Indebtedness to the extent required by GAAP and (D) </w:t>
      </w:r>
      <w:r>
        <w:rPr>
          <w:rFonts w:ascii="Times New Roman" w:cs="Times New Roman" w:eastAsia="Times New Roman" w:hAnsi="Times New Roman"/>
          <w:sz w:val="21"/>
          <w:szCs w:val="21"/>
          <w:b w:val="1"/>
          <w:bCs w:val="1"/>
          <w:color w:val="0000FF"/>
        </w:rPr>
        <w:t>if required by Section 6.01(a),</w:t>
      </w:r>
      <w:r>
        <w:rPr>
          <w:rFonts w:ascii="Times New Roman" w:cs="Times New Roman" w:eastAsia="Times New Roman" w:hAnsi="Times New Roman"/>
          <w:sz w:val="21"/>
          <w:szCs w:val="21"/>
          <w:color w:val="auto"/>
        </w:rPr>
        <w:t xml:space="preserve"> were accompanied by a reconciliation that explains or otherwise shows in reasonable detail the differences between the information relating to the Borrower and its Subsidiaries, on the one hand, and the information relating to the Borrower and its Restricted Subsidiaries on a standalone basis, on the other hand.</w:t>
      </w:r>
    </w:p>
    <w:p>
      <w:pPr>
        <w:spacing w:after="0" w:line="154" w:lineRule="exact"/>
        <w:rPr>
          <w:rFonts w:ascii="Times New Roman" w:cs="Times New Roman" w:eastAsia="Times New Roman" w:hAnsi="Times New Roman"/>
          <w:sz w:val="21"/>
          <w:szCs w:val="21"/>
          <w:color w:val="auto"/>
        </w:rPr>
      </w:pPr>
    </w:p>
    <w:p>
      <w:pPr>
        <w:jc w:val="both"/>
        <w:ind w:firstLine="1278"/>
        <w:spacing w:after="0" w:line="232" w:lineRule="auto"/>
        <w:tabs>
          <w:tab w:leader="none" w:pos="1903" w:val="left"/>
        </w:tabs>
        <w:numPr>
          <w:ilvl w:val="0"/>
          <w:numId w:val="1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Quarterly Financial Statements of the Borrower and its Subsidiaries: (A) were each prepared in accordance with GAAP consistently applied throughout the period covered thereby, subject only to normal year-end audit adjustments and the absence of 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1848485</wp:posOffset>
            </wp:positionH>
            <wp:positionV relativeFrom="paragraph">
              <wp:posOffset>-838835</wp:posOffset>
            </wp:positionV>
            <wp:extent cx="175069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4">
                      <a:extLst>
                        <a:ext uri="{28A0092B-C50C-407E-A947-70E740481C1C}"/>
                      </a:extLst>
                    </a:blip>
                    <a:srcRect/>
                    <a:stretch>
                      <a:fillRect/>
                    </a:stretch>
                  </pic:blipFill>
                  <pic:spPr bwMode="auto">
                    <a:xfrm>
                      <a:off x="0" y="0"/>
                      <a:ext cx="17506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117</w:t>
      </w:r>
    </w:p>
    <w:p>
      <w:pPr>
        <w:sectPr>
          <w:pgSz w:w="11900" w:h="16838" w:orient="portrait"/>
          <w:cols w:equalWidth="0" w:num="1">
            <w:col w:w="11240"/>
          </w:cols>
          <w:pgMar w:left="320" w:top="1398" w:right="339" w:bottom="1440" w:gutter="0" w:footer="0" w:header="0"/>
        </w:sectPr>
      </w:pPr>
    </w:p>
    <w:bookmarkStart w:id="223" w:name="page224"/>
    <w:bookmarkEnd w:id="223"/>
    <w:p>
      <w:pPr>
        <w:jc w:val="both"/>
        <w:spacing w:after="0" w:line="223" w:lineRule="auto"/>
        <w:rPr>
          <w:sz w:val="20"/>
          <w:szCs w:val="20"/>
          <w:color w:val="auto"/>
        </w:rPr>
      </w:pPr>
      <w:r>
        <w:rPr>
          <w:rFonts w:ascii="Times New Roman" w:cs="Times New Roman" w:eastAsia="Times New Roman" w:hAnsi="Times New Roman"/>
          <w:sz w:val="21"/>
          <w:szCs w:val="21"/>
          <w:color w:val="auto"/>
        </w:rPr>
        <w:t xml:space="preserve">except as otherwise expressly noted therein, (B) fairly present, in all material respects, the financial condition of the Borrower and its Subsidiaries, as of the date thereof and their results of operations for the period covered thereby and (C) </w:t>
      </w:r>
      <w:r>
        <w:rPr>
          <w:rFonts w:ascii="Times New Roman" w:cs="Times New Roman" w:eastAsia="Times New Roman" w:hAnsi="Times New Roman"/>
          <w:sz w:val="21"/>
          <w:szCs w:val="21"/>
          <w:b w:val="1"/>
          <w:bCs w:val="1"/>
          <w:color w:val="0000FF"/>
        </w:rPr>
        <w:t>if required by 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0000FF"/>
        </w:rPr>
        <w:t>6.01(b),</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were accompanied by a reconciliation that explains or otherwise shows in reasonable detail the differences between the</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information relating to the Borrower and its Subsidiaries, on the one hand, and the information relating to the Borrower and its Restricted Subsidiaries on a standalone basis, on the other hand.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5841365</wp:posOffset>
            </wp:positionH>
            <wp:positionV relativeFrom="paragraph">
              <wp:posOffset>-433705</wp:posOffset>
            </wp:positionV>
            <wp:extent cx="129095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5">
                      <a:extLst>
                        <a:ext uri="{28A0092B-C50C-407E-A947-70E740481C1C}"/>
                      </a:extLst>
                    </a:blip>
                    <a:srcRect/>
                    <a:stretch>
                      <a:fillRect/>
                    </a:stretch>
                  </pic:blipFill>
                  <pic:spPr bwMode="auto">
                    <a:xfrm>
                      <a:off x="0" y="0"/>
                      <a:ext cx="1290955" cy="8255"/>
                    </a:xfrm>
                    <a:prstGeom prst="rect">
                      <a:avLst/>
                    </a:prstGeom>
                    <a:noFill/>
                  </pic:spPr>
                </pic:pic>
              </a:graphicData>
            </a:graphic>
          </wp:anchor>
        </w:drawing>
      </w:r>
    </w:p>
    <w:p>
      <w:pPr>
        <w:spacing w:after="0" w:line="130" w:lineRule="exact"/>
        <w:rPr>
          <w:sz w:val="20"/>
          <w:szCs w:val="20"/>
          <w:color w:val="auto"/>
        </w:rPr>
      </w:pPr>
    </w:p>
    <w:p>
      <w:pPr>
        <w:ind w:firstLine="1278"/>
        <w:spacing w:after="0" w:line="245" w:lineRule="auto"/>
        <w:tabs>
          <w:tab w:leader="none" w:pos="1905" w:val="left"/>
        </w:tabs>
        <w:numPr>
          <w:ilvl w:val="0"/>
          <w:numId w:val="2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Since September 30, 2021, there has been no event or circumstance, either individually or in the aggregate, that has had or could reasonably be expected to have a Material Adverse Effect.</w:t>
      </w:r>
    </w:p>
    <w:p>
      <w:pPr>
        <w:spacing w:after="0" w:line="141"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5.06</w:t>
      </w:r>
      <w:r>
        <w:rPr>
          <w:sz w:val="20"/>
          <w:szCs w:val="20"/>
          <w:color w:val="auto"/>
        </w:rPr>
        <w:tab/>
      </w:r>
      <w:r>
        <w:rPr>
          <w:rFonts w:ascii="Times New Roman" w:cs="Times New Roman" w:eastAsia="Times New Roman" w:hAnsi="Times New Roman"/>
          <w:sz w:val="21"/>
          <w:szCs w:val="21"/>
          <w:i w:val="1"/>
          <w:iCs w:val="1"/>
          <w:color w:val="auto"/>
        </w:rPr>
        <w:t>Litigation</w:t>
      </w:r>
    </w:p>
    <w:p>
      <w:pPr>
        <w:spacing w:after="0" w:line="211" w:lineRule="exact"/>
        <w:rPr>
          <w:sz w:val="20"/>
          <w:szCs w:val="20"/>
          <w:color w:val="auto"/>
        </w:rPr>
      </w:pPr>
    </w:p>
    <w:p>
      <w:pPr>
        <w:jc w:val="both"/>
        <w:ind w:firstLine="642"/>
        <w:spacing w:after="0" w:line="266" w:lineRule="auto"/>
        <w:tabs>
          <w:tab w:leader="none" w:pos="755" w:val="left"/>
        </w:tabs>
        <w:numPr>
          <w:ilvl w:val="0"/>
          <w:numId w:val="2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 are no actions, suits, proceedings, claims or disputes pending or, to the knowledge of the Borrower, threatened or contemplated, at law, in equity, in arbitration or before any Governmental Authority, by or against the Borrower or any of its Restricted Subsidiaries or against any of their properties or revenues that (a) purport to affect or pertain to this Agreement or any other Loan Document or (b) either individually or in the aggregate could reasonably be expected to have a Material Adverse Effect.</w:t>
      </w:r>
    </w:p>
    <w:p>
      <w:pPr>
        <w:spacing w:after="0" w:line="133"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5.07</w:t>
      </w:r>
      <w:r>
        <w:rPr>
          <w:sz w:val="20"/>
          <w:szCs w:val="20"/>
          <w:color w:val="auto"/>
        </w:rPr>
        <w:tab/>
      </w:r>
      <w:r>
        <w:rPr>
          <w:rFonts w:ascii="Times New Roman" w:cs="Times New Roman" w:eastAsia="Times New Roman" w:hAnsi="Times New Roman"/>
          <w:sz w:val="21"/>
          <w:szCs w:val="21"/>
          <w:i w:val="1"/>
          <w:iCs w:val="1"/>
          <w:color w:val="auto"/>
        </w:rPr>
        <w:t>Ownership of Property</w:t>
      </w:r>
    </w:p>
    <w:p>
      <w:pPr>
        <w:spacing w:after="0" w:line="211" w:lineRule="exact"/>
        <w:rPr>
          <w:sz w:val="20"/>
          <w:szCs w:val="20"/>
          <w:color w:val="auto"/>
        </w:rPr>
      </w:pPr>
    </w:p>
    <w:p>
      <w:pPr>
        <w:jc w:val="both"/>
        <w:ind w:firstLine="642"/>
        <w:spacing w:after="0" w:line="261" w:lineRule="auto"/>
        <w:tabs>
          <w:tab w:leader="none" w:pos="742" w:val="left"/>
        </w:tabs>
        <w:numPr>
          <w:ilvl w:val="0"/>
          <w:numId w:val="2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Borrower and each Restricted Subsidiary has good record and marketable title to all owned property, or valid leasehold interests or valid licenses in all leased or licensed property, reasonably necessary or used in the ordinary conduct of its business, except for such defects in title, or failure to obtain a valid leasehold interest or valid license as would not, individually or in the aggregate, reasonably be expected to have a Material Adverse Effect.</w:t>
      </w:r>
    </w:p>
    <w:p>
      <w:pPr>
        <w:spacing w:after="0" w:line="153"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5.08</w:t>
      </w:r>
      <w:r>
        <w:rPr>
          <w:sz w:val="20"/>
          <w:szCs w:val="20"/>
          <w:color w:val="auto"/>
        </w:rPr>
        <w:tab/>
      </w:r>
      <w:r>
        <w:rPr>
          <w:rFonts w:ascii="Times New Roman" w:cs="Times New Roman" w:eastAsia="Times New Roman" w:hAnsi="Times New Roman"/>
          <w:sz w:val="20"/>
          <w:szCs w:val="20"/>
          <w:i w:val="1"/>
          <w:iCs w:val="1"/>
          <w:color w:val="auto"/>
        </w:rPr>
        <w:t>Environmental</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p>
    <w:p>
      <w:pPr>
        <w:spacing w:after="0" w:line="196" w:lineRule="exact"/>
        <w:rPr>
          <w:sz w:val="20"/>
          <w:szCs w:val="20"/>
          <w:color w:val="auto"/>
        </w:rPr>
      </w:pPr>
    </w:p>
    <w:p>
      <w:pPr>
        <w:jc w:val="both"/>
        <w:ind w:firstLine="1278"/>
        <w:spacing w:after="0" w:line="232" w:lineRule="auto"/>
        <w:tabs>
          <w:tab w:leader="none" w:pos="1905" w:val="left"/>
        </w:tabs>
        <w:numPr>
          <w:ilvl w:val="0"/>
          <w:numId w:val="2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Loan Parties and its Restricted Subsidiaries is and has been in compliance with all Environmental Laws and has received and maintained in full force and effect all Environmental Permits required for its current operations, except where non-compliance could not, either individually or in the aggregate, reasonably be expected to have a Material Adverse Effect.</w:t>
      </w:r>
    </w:p>
    <w:p>
      <w:pPr>
        <w:spacing w:after="0" w:line="147" w:lineRule="exact"/>
        <w:rPr>
          <w:rFonts w:ascii="Times New Roman" w:cs="Times New Roman" w:eastAsia="Times New Roman" w:hAnsi="Times New Roman"/>
          <w:sz w:val="21"/>
          <w:szCs w:val="21"/>
          <w:color w:val="auto"/>
        </w:rPr>
      </w:pPr>
    </w:p>
    <w:p>
      <w:pPr>
        <w:jc w:val="both"/>
        <w:ind w:firstLine="1278"/>
        <w:spacing w:after="0" w:line="219" w:lineRule="auto"/>
        <w:tabs>
          <w:tab w:leader="none" w:pos="1903" w:val="left"/>
        </w:tabs>
        <w:numPr>
          <w:ilvl w:val="0"/>
          <w:numId w:val="2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Loan Parties’ knowledge, no Hazardous Materials are present, or have been released by any Person, whether related or unrelated to any Loan Party in, on, within, above, under, affecting or emanating from any real property currently or previously owned, leased or operated by any Loan Party or its Restricted Subsidiaries (i) in a quantity, location, manner or state requiring any cleanup, investigation or remedial action pursuant to any Environmental Laws; (ii) in violation or alleged violation of any Environmental Laws; or (iii) which has or could give rise to any Environmental Liability, including any claim pursuant to any Environmental Laws against any Loan Party or its Restricted Subsidiaries, except, in each case, as could not, either individually or in the aggregate, reasonably be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118</w:t>
      </w:r>
    </w:p>
    <w:p>
      <w:pPr>
        <w:sectPr>
          <w:pgSz w:w="11900" w:h="16838" w:orient="portrait"/>
          <w:cols w:equalWidth="0" w:num="1">
            <w:col w:w="11240"/>
          </w:cols>
          <w:pgMar w:left="320" w:top="1371" w:right="339" w:bottom="1440" w:gutter="0" w:footer="0" w:header="0"/>
        </w:sectPr>
      </w:pPr>
    </w:p>
    <w:bookmarkStart w:id="224" w:name="page225"/>
    <w:bookmarkEnd w:id="224"/>
    <w:p>
      <w:pPr>
        <w:jc w:val="both"/>
        <w:ind w:firstLine="1278"/>
        <w:spacing w:after="0" w:line="226" w:lineRule="auto"/>
        <w:tabs>
          <w:tab w:leader="none" w:pos="1905" w:val="left"/>
        </w:tabs>
        <w:numPr>
          <w:ilvl w:val="0"/>
          <w:numId w:val="2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Environmental Claim is pending or, to the Loan Parties’ knowledge, proposed, threatened or anticipated, with respect to or in connection with any Loan Party or its Restricted Subsidiaries or any real properties now or previously owned, leased or operated by any Loan Party or its Restricted Subsidiaries except as could not, either individually or in the aggregate, reasonably be expected to have a Material Adverse Effect.</w:t>
      </w:r>
    </w:p>
    <w:p>
      <w:pPr>
        <w:spacing w:after="0" w:line="150" w:lineRule="exact"/>
        <w:rPr>
          <w:rFonts w:ascii="Times New Roman" w:cs="Times New Roman" w:eastAsia="Times New Roman" w:hAnsi="Times New Roman"/>
          <w:sz w:val="21"/>
          <w:szCs w:val="21"/>
          <w:color w:val="auto"/>
        </w:rPr>
      </w:pPr>
    </w:p>
    <w:p>
      <w:pPr>
        <w:jc w:val="both"/>
        <w:ind w:firstLine="1278"/>
        <w:spacing w:after="0" w:line="219" w:lineRule="auto"/>
        <w:tabs>
          <w:tab w:leader="none" w:pos="1903" w:val="left"/>
        </w:tabs>
        <w:numPr>
          <w:ilvl w:val="0"/>
          <w:numId w:val="2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properties now or, to the Loan Parties’ knowledge, previously owned, leased or operated by any Loan Party or its Restricted Subsidiaries nor, to the Loan Parties’ knowledge, any property to which any Loan Party or its Restricted Subsidiaries has transported or arranged for the transportation of any Hazardous Material is listed or, to the Loan Parties’ knowledge, proposed for listing on the National Priorities List promulgated pursuant to CERCLA, on CERCLIS (as defined in CERCLA) or on any similar federal, state or foreign list of sites requiring investigation or cleanup, nor to the knowledge of the Loan Parties, is any such property anticipated or to the Loan Parties’ knowledge, threatened to be placed on any such list, except as could not, either individually or in the aggregate, reasonably be expected to have a Material Adverse Effect.</w:t>
      </w:r>
    </w:p>
    <w:p>
      <w:pPr>
        <w:spacing w:after="0" w:line="153" w:lineRule="exact"/>
        <w:rPr>
          <w:rFonts w:ascii="Times New Roman" w:cs="Times New Roman" w:eastAsia="Times New Roman" w:hAnsi="Times New Roman"/>
          <w:sz w:val="21"/>
          <w:szCs w:val="21"/>
          <w:color w:val="auto"/>
        </w:rPr>
      </w:pPr>
    </w:p>
    <w:p>
      <w:pPr>
        <w:jc w:val="both"/>
        <w:ind w:firstLine="1278"/>
        <w:spacing w:after="0" w:line="223" w:lineRule="auto"/>
        <w:tabs>
          <w:tab w:leader="none" w:pos="1905" w:val="left"/>
        </w:tabs>
        <w:numPr>
          <w:ilvl w:val="0"/>
          <w:numId w:val="2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Loan Parties’ knowledge, there are no Environmental Liabilities of any Loan Party or its Restricted Subsidiaries of any kind whatsoever, whether accrued, contingent, absolute, determined, determinable or otherwise, and there are no facts, conditions, situations or set of circumstances which could reasonably be expected to result in or be the basis for any such Environmental Liability, except, in each case, as could not, either individually or in the aggregate, reasonably be expected to have a Material Adverse Effect.</w:t>
      </w:r>
    </w:p>
    <w:p>
      <w:pPr>
        <w:spacing w:after="0" w:line="150" w:lineRule="exact"/>
        <w:rPr>
          <w:rFonts w:ascii="Times New Roman" w:cs="Times New Roman" w:eastAsia="Times New Roman" w:hAnsi="Times New Roman"/>
          <w:sz w:val="21"/>
          <w:szCs w:val="21"/>
          <w:color w:val="auto"/>
        </w:rPr>
      </w:pPr>
    </w:p>
    <w:p>
      <w:pPr>
        <w:jc w:val="both"/>
        <w:ind w:firstLine="1278"/>
        <w:spacing w:after="0" w:line="232" w:lineRule="auto"/>
        <w:tabs>
          <w:tab w:leader="none" w:pos="1908" w:val="left"/>
        </w:tabs>
        <w:numPr>
          <w:ilvl w:val="0"/>
          <w:numId w:val="2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Loan Party or any of its Restricted Subsidiaries has assumed or retained any Environmental Liability of any other Person, except as could not, either individually or in the aggregate, reasonably be expected to have a Material Adverse Effect.</w:t>
      </w:r>
    </w:p>
    <w:p>
      <w:pPr>
        <w:spacing w:after="0" w:line="174" w:lineRule="exact"/>
        <w:rPr>
          <w:sz w:val="20"/>
          <w:szCs w:val="20"/>
          <w:color w:val="auto"/>
        </w:rPr>
      </w:pPr>
    </w:p>
    <w:p>
      <w:pPr>
        <w:ind w:firstLine="636"/>
        <w:spacing w:after="0" w:line="285" w:lineRule="auto"/>
        <w:rPr>
          <w:sz w:val="20"/>
          <w:szCs w:val="20"/>
          <w:color w:val="auto"/>
        </w:rPr>
      </w:pPr>
      <w:r>
        <w:rPr>
          <w:rFonts w:ascii="Times New Roman" w:cs="Times New Roman" w:eastAsia="Times New Roman" w:hAnsi="Times New Roman"/>
          <w:sz w:val="21"/>
          <w:szCs w:val="21"/>
          <w:color w:val="auto"/>
        </w:rPr>
        <w:t xml:space="preserve">This </w:t>
      </w:r>
      <w:r>
        <w:rPr>
          <w:rFonts w:ascii="Times New Roman" w:cs="Times New Roman" w:eastAsia="Times New Roman" w:hAnsi="Times New Roman"/>
          <w:sz w:val="21"/>
          <w:szCs w:val="21"/>
          <w:u w:val="single" w:color="auto"/>
          <w:color w:val="auto"/>
        </w:rPr>
        <w:t>Section 5.08</w:t>
      </w:r>
      <w:r>
        <w:rPr>
          <w:rFonts w:ascii="Times New Roman" w:cs="Times New Roman" w:eastAsia="Times New Roman" w:hAnsi="Times New Roman"/>
          <w:sz w:val="21"/>
          <w:szCs w:val="21"/>
          <w:color w:val="auto"/>
        </w:rPr>
        <w:t xml:space="preserve"> contains the sole and exclusive representations and warranties of the Loan Parties with respect to environmental matters.</w:t>
      </w:r>
    </w:p>
    <w:p>
      <w:pPr>
        <w:spacing w:after="0" w:line="113"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5.09</w:t>
      </w:r>
      <w:r>
        <w:rPr>
          <w:sz w:val="20"/>
          <w:szCs w:val="20"/>
          <w:color w:val="auto"/>
        </w:rPr>
        <w:tab/>
      </w:r>
      <w:r>
        <w:rPr>
          <w:rFonts w:ascii="Times New Roman" w:cs="Times New Roman" w:eastAsia="Times New Roman" w:hAnsi="Times New Roman"/>
          <w:sz w:val="21"/>
          <w:szCs w:val="21"/>
          <w:i w:val="1"/>
          <w:iCs w:val="1"/>
          <w:color w:val="auto"/>
        </w:rPr>
        <w:t>Insurance</w:t>
      </w:r>
    </w:p>
    <w:p>
      <w:pPr>
        <w:spacing w:after="0" w:line="211" w:lineRule="exact"/>
        <w:rPr>
          <w:sz w:val="20"/>
          <w:szCs w:val="20"/>
          <w:color w:val="auto"/>
        </w:rPr>
      </w:pPr>
    </w:p>
    <w:p>
      <w:pPr>
        <w:jc w:val="both"/>
        <w:ind w:firstLine="642"/>
        <w:spacing w:after="0" w:line="266" w:lineRule="auto"/>
        <w:tabs>
          <w:tab w:leader="none" w:pos="755" w:val="left"/>
        </w:tabs>
        <w:numPr>
          <w:ilvl w:val="0"/>
          <w:numId w:val="2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properties of the Borrower and its Restricted Subsidiaries are insured with financially sound and reputable insurance companies that are not Affiliates of the Borrower, in such amounts, with such deductibles and covering such risks as are customarily carried by companies engaged in similar businesses and owning similar properties in localities where the Borrower or the applicable Restricted Subsidiary operates.</w:t>
      </w:r>
    </w:p>
    <w:p>
      <w:pPr>
        <w:spacing w:after="0" w:line="133"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5.10</w:t>
      </w:r>
      <w:r>
        <w:rPr>
          <w:sz w:val="20"/>
          <w:szCs w:val="20"/>
          <w:color w:val="auto"/>
        </w:rPr>
        <w:tab/>
      </w:r>
      <w:r>
        <w:rPr>
          <w:rFonts w:ascii="Times New Roman" w:cs="Times New Roman" w:eastAsia="Times New Roman" w:hAnsi="Times New Roman"/>
          <w:sz w:val="19"/>
          <w:szCs w:val="19"/>
          <w:i w:val="1"/>
          <w:iCs w:val="1"/>
          <w:color w:val="auto"/>
        </w:rPr>
        <w:t>Taxes</w:t>
      </w:r>
    </w:p>
    <w:p>
      <w:pPr>
        <w:spacing w:after="0" w:line="211" w:lineRule="exact"/>
        <w:rPr>
          <w:sz w:val="20"/>
          <w:szCs w:val="20"/>
          <w:color w:val="auto"/>
        </w:rPr>
      </w:pPr>
    </w:p>
    <w:p>
      <w:pPr>
        <w:jc w:val="both"/>
        <w:ind w:firstLine="642"/>
        <w:spacing w:after="0" w:line="260" w:lineRule="auto"/>
        <w:tabs>
          <w:tab w:leader="none" w:pos="742" w:val="left"/>
        </w:tabs>
        <w:numPr>
          <w:ilvl w:val="0"/>
          <w:numId w:val="2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and its Restricted Subsidiaries have filed all Federal, state and other material tax returns and reports required to be filed, and have paid all Federal, state and other material taxes, assessments, fees and other governmental charges levied or imposed upon them or their properties, income, business, franchise or assets otherwise due and payable, except (a) those which are being contested in good faith by appropriate proceedings diligently conducted and for which adequate reserves have been provided in accordance with GAAP or (b) to the extent that failure to do so could not reasonably be expected to result in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119</w:t>
      </w:r>
    </w:p>
    <w:p>
      <w:pPr>
        <w:sectPr>
          <w:pgSz w:w="11900" w:h="16838" w:orient="portrait"/>
          <w:cols w:equalWidth="0" w:num="1">
            <w:col w:w="11240"/>
          </w:cols>
          <w:pgMar w:left="320" w:top="1371" w:right="339" w:bottom="1440" w:gutter="0" w:footer="0" w:header="0"/>
        </w:sectPr>
      </w:pPr>
    </w:p>
    <w:bookmarkStart w:id="225" w:name="page226"/>
    <w:bookmarkEnd w:id="225"/>
    <w:p>
      <w:pPr>
        <w:ind w:left="640"/>
        <w:spacing w:after="0"/>
        <w:tabs>
          <w:tab w:leader="none" w:pos="1880" w:val="left"/>
        </w:tabs>
        <w:rPr>
          <w:sz w:val="20"/>
          <w:szCs w:val="20"/>
          <w:color w:val="auto"/>
        </w:rPr>
      </w:pPr>
      <w:r>
        <w:rPr>
          <w:rFonts w:ascii="Times New Roman" w:cs="Times New Roman" w:eastAsia="Times New Roman" w:hAnsi="Times New Roman"/>
          <w:sz w:val="21"/>
          <w:szCs w:val="21"/>
          <w:color w:val="auto"/>
        </w:rPr>
        <w:t>Section 5.11</w:t>
      </w:r>
      <w:r>
        <w:rPr>
          <w:sz w:val="20"/>
          <w:szCs w:val="20"/>
          <w:color w:val="auto"/>
        </w:rPr>
        <w:tab/>
      </w:r>
      <w:r>
        <w:rPr>
          <w:rFonts w:ascii="Times New Roman" w:cs="Times New Roman" w:eastAsia="Times New Roman" w:hAnsi="Times New Roman"/>
          <w:sz w:val="21"/>
          <w:szCs w:val="21"/>
          <w:i w:val="1"/>
          <w:iCs w:val="1"/>
          <w:color w:val="auto"/>
        </w:rPr>
        <w:t>ERISA Compliance; Labor Matters</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p>
    <w:p>
      <w:pPr>
        <w:spacing w:after="0" w:line="196" w:lineRule="exact"/>
        <w:rPr>
          <w:sz w:val="20"/>
          <w:szCs w:val="20"/>
          <w:color w:val="auto"/>
        </w:rPr>
      </w:pPr>
    </w:p>
    <w:p>
      <w:pPr>
        <w:jc w:val="both"/>
        <w:ind w:firstLine="1278"/>
        <w:spacing w:after="0" w:line="217" w:lineRule="auto"/>
        <w:tabs>
          <w:tab w:leader="none" w:pos="1905" w:val="left"/>
        </w:tabs>
        <w:numPr>
          <w:ilvl w:val="0"/>
          <w:numId w:val="2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ERISA Event has occurred or is reasonably expected to occur that, when taken together with all other such ERISA Events for which liability is reasonably expected to occur, could reasonably be expected to result in a Material Adverse Effect. Each Plan is in compliance in all material respects with the applicable provisions of ERISA, the Code and other Federal or state laws. Each Pension Plan that is intended to be a qualified plan under Section 401(a) of the Code has received a favorable determination or opinion/advisory letter from the Internal Revenue Service to the effect that the form of such Plan is qualified under Section 401(a) of the Code and the trust related thereto has been determined by the Internal Revenue Service to be exempt from federal income tax under Section 501(a) of the Code, or an application for such a letter is currently being processed by the Internal Revenue Service. To the best knowledge of the Borrower, nothing has occurred that would prevent or cause the loss of such tax-qualified status.</w:t>
      </w:r>
    </w:p>
    <w:p>
      <w:pPr>
        <w:spacing w:after="0" w:line="154" w:lineRule="exact"/>
        <w:rPr>
          <w:rFonts w:ascii="Times New Roman" w:cs="Times New Roman" w:eastAsia="Times New Roman" w:hAnsi="Times New Roman"/>
          <w:sz w:val="21"/>
          <w:szCs w:val="21"/>
          <w:color w:val="auto"/>
        </w:rPr>
      </w:pPr>
    </w:p>
    <w:p>
      <w:pPr>
        <w:jc w:val="both"/>
        <w:ind w:firstLine="1278"/>
        <w:spacing w:after="0" w:line="216" w:lineRule="auto"/>
        <w:tabs>
          <w:tab w:leader="none" w:pos="1903" w:val="left"/>
        </w:tabs>
        <w:numPr>
          <w:ilvl w:val="0"/>
          <w:numId w:val="2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 are no strikes, or other labor disputes pending or, to the Borrower’s knowledge, threatened against the Borrower or any of its Restricted Subsidiaries, the hours worked and payments made to employees of the Borrower and its Restricted Subsidiaries have not been in violation of the Fair Labor Standards Act or any other applicable law dealing with such matters and all payments due from the Borrower or any of its Restricted Subsidiaries or for which any claim may be made against the Borrower or any of its Restricted Subsidiaries on account of wages and employee health and welfare insurance and other benefits have been paid or accrued as a liability on the books of the Borrower or such Restricted Subsidiary to the extent required by GAAP except, in each case, as would not reasonably be expected to result in a Material Adverse Effect. Except as could not reasonably be expected to result in a Material Adverse Effect, the consummation of the Transactions will not give rise to a right of termination or right of renegotiation on the part of any union under any material collective bargaining agreement to which the Borrower or any of its Restricted Subsidiaries (or any predecessor) is a party or by which the Borrower or any of its Restricted Subsidiaries (or any predecessor) is bound.</w:t>
      </w:r>
    </w:p>
    <w:p>
      <w:pPr>
        <w:spacing w:after="0" w:line="153" w:lineRule="exact"/>
        <w:rPr>
          <w:rFonts w:ascii="Times New Roman" w:cs="Times New Roman" w:eastAsia="Times New Roman" w:hAnsi="Times New Roman"/>
          <w:sz w:val="21"/>
          <w:szCs w:val="21"/>
          <w:color w:val="auto"/>
        </w:rPr>
      </w:pPr>
    </w:p>
    <w:p>
      <w:pPr>
        <w:jc w:val="both"/>
        <w:ind w:firstLine="1278"/>
        <w:spacing w:after="0" w:line="226" w:lineRule="auto"/>
        <w:tabs>
          <w:tab w:leader="none" w:pos="1905" w:val="left"/>
        </w:tabs>
        <w:numPr>
          <w:ilvl w:val="0"/>
          <w:numId w:val="2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each scheme or arrangement mandated by a government other than the United States (a “</w:t>
      </w:r>
      <w:r>
        <w:rPr>
          <w:rFonts w:ascii="Times New Roman" w:cs="Times New Roman" w:eastAsia="Times New Roman" w:hAnsi="Times New Roman"/>
          <w:sz w:val="21"/>
          <w:szCs w:val="21"/>
          <w:b w:val="1"/>
          <w:bCs w:val="1"/>
          <w:color w:val="auto"/>
        </w:rPr>
        <w:t>Foreign Government Scheme or Arrangement</w:t>
      </w:r>
      <w:r>
        <w:rPr>
          <w:rFonts w:ascii="Times New Roman" w:cs="Times New Roman" w:eastAsia="Times New Roman" w:hAnsi="Times New Roman"/>
          <w:sz w:val="21"/>
          <w:szCs w:val="21"/>
          <w:color w:val="auto"/>
        </w:rPr>
        <w:t>”) and with respect to each employee benefit plan maintained, contributed to or required to be contributed to by any Loan Party or any Restricted Subsidiary of any Loan Party primarily for the benefit of any employees located outside of the United States (a “</w:t>
      </w:r>
      <w:r>
        <w:rPr>
          <w:rFonts w:ascii="Times New Roman" w:cs="Times New Roman" w:eastAsia="Times New Roman" w:hAnsi="Times New Roman"/>
          <w:sz w:val="21"/>
          <w:szCs w:val="21"/>
          <w:b w:val="1"/>
          <w:bCs w:val="1"/>
          <w:color w:val="auto"/>
        </w:rPr>
        <w:t>Foreign Plan</w:t>
      </w:r>
      <w:r>
        <w:rPr>
          <w:rFonts w:ascii="Times New Roman" w:cs="Times New Roman" w:eastAsia="Times New Roman" w:hAnsi="Times New Roman"/>
          <w:sz w:val="21"/>
          <w:szCs w:val="21"/>
          <w:color w:val="auto"/>
        </w:rPr>
        <w:t>”):</w:t>
      </w:r>
    </w:p>
    <w:p>
      <w:pPr>
        <w:spacing w:after="0" w:line="150" w:lineRule="exact"/>
        <w:rPr>
          <w:rFonts w:ascii="Times New Roman" w:cs="Times New Roman" w:eastAsia="Times New Roman" w:hAnsi="Times New Roman"/>
          <w:sz w:val="21"/>
          <w:szCs w:val="21"/>
          <w:color w:val="auto"/>
        </w:rPr>
      </w:pPr>
    </w:p>
    <w:p>
      <w:pPr>
        <w:jc w:val="both"/>
        <w:ind w:left="640" w:firstLine="1274"/>
        <w:spacing w:after="0" w:line="232" w:lineRule="auto"/>
        <w:tabs>
          <w:tab w:leader="none" w:pos="2536" w:val="left"/>
        </w:tabs>
        <w:numPr>
          <w:ilvl w:val="1"/>
          <w:numId w:val="2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employer and employee contributions required by law or by the terms of any Foreign Government Scheme or Arrangement or any Foreign Plan have been made, or, if applicable, accrued, in accordance with normal accounting practices;</w:t>
      </w:r>
    </w:p>
    <w:p>
      <w:pPr>
        <w:spacing w:after="0" w:line="147" w:lineRule="exact"/>
        <w:rPr>
          <w:rFonts w:ascii="Times New Roman" w:cs="Times New Roman" w:eastAsia="Times New Roman" w:hAnsi="Times New Roman"/>
          <w:sz w:val="21"/>
          <w:szCs w:val="21"/>
          <w:color w:val="auto"/>
        </w:rPr>
      </w:pPr>
    </w:p>
    <w:p>
      <w:pPr>
        <w:jc w:val="both"/>
        <w:ind w:left="640" w:firstLine="1274"/>
        <w:spacing w:after="0" w:line="219" w:lineRule="auto"/>
        <w:tabs>
          <w:tab w:leader="none" w:pos="2542" w:val="left"/>
        </w:tabs>
        <w:numPr>
          <w:ilvl w:val="1"/>
          <w:numId w:val="2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fair market value of the assets of each funded Foreign Plan, the liability of each insurer for any Foreign Plan funded through insurance or the book reserve established for any Foreign Plan, together with any accrued contributions, is sufficient to procure or provide for the accrued benefit obligations, as of the Closing Date, with respect to all current and former participants in such Foreign Plan according to the actuarial assumptions and valuations most recently used to account for such obligations in accordance with applicable generally accepted accounting principles (“</w:t>
      </w:r>
      <w:r>
        <w:rPr>
          <w:rFonts w:ascii="Times New Roman" w:cs="Times New Roman" w:eastAsia="Times New Roman" w:hAnsi="Times New Roman"/>
          <w:sz w:val="21"/>
          <w:szCs w:val="21"/>
          <w:b w:val="1"/>
          <w:bCs w:val="1"/>
          <w:color w:val="auto"/>
        </w:rPr>
        <w:t>Fully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Funded</w:t>
      </w:r>
      <w:r>
        <w:rPr>
          <w:rFonts w:ascii="Times New Roman" w:cs="Times New Roman" w:eastAsia="Times New Roman" w:hAnsi="Times New Roman"/>
          <w:sz w:val="21"/>
          <w:szCs w:val="21"/>
          <w:color w:val="auto"/>
        </w:rPr>
        <w:t>”), except where the failure to be Fully Funded, in each case, could not, either individually or in the aggregate,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reasonably be expected to have a Material Adverse Effect;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120</w:t>
      </w:r>
    </w:p>
    <w:p>
      <w:pPr>
        <w:sectPr>
          <w:pgSz w:w="11900" w:h="16838" w:orient="portrait"/>
          <w:cols w:equalWidth="0" w:num="1">
            <w:col w:w="11240"/>
          </w:cols>
          <w:pgMar w:left="320" w:top="1369" w:right="339" w:bottom="1440" w:gutter="0" w:footer="0" w:header="0"/>
        </w:sectPr>
      </w:pPr>
    </w:p>
    <w:bookmarkStart w:id="226" w:name="page227"/>
    <w:bookmarkEnd w:id="226"/>
    <w:p>
      <w:pPr>
        <w:ind w:left="640" w:firstLine="1274"/>
        <w:spacing w:after="0" w:line="245" w:lineRule="auto"/>
        <w:tabs>
          <w:tab w:leader="none" w:pos="2548" w:val="left"/>
        </w:tabs>
        <w:numPr>
          <w:ilvl w:val="0"/>
          <w:numId w:val="2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Foreign Plan required to be registered has been registered and has been maintained in good standing with applicable regulatory authorities.</w:t>
      </w:r>
    </w:p>
    <w:p>
      <w:pPr>
        <w:spacing w:after="0" w:line="141"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5.12</w:t>
      </w:r>
      <w:r>
        <w:rPr>
          <w:sz w:val="20"/>
          <w:szCs w:val="20"/>
          <w:color w:val="auto"/>
        </w:rPr>
        <w:tab/>
      </w:r>
      <w:r>
        <w:rPr>
          <w:rFonts w:ascii="Times New Roman" w:cs="Times New Roman" w:eastAsia="Times New Roman" w:hAnsi="Times New Roman"/>
          <w:sz w:val="21"/>
          <w:szCs w:val="21"/>
          <w:i w:val="1"/>
          <w:iCs w:val="1"/>
          <w:color w:val="auto"/>
        </w:rPr>
        <w:t>Subsidiaries; Equity Interests</w:t>
      </w:r>
    </w:p>
    <w:p>
      <w:pPr>
        <w:spacing w:after="0" w:line="211" w:lineRule="exact"/>
        <w:rPr>
          <w:sz w:val="20"/>
          <w:szCs w:val="20"/>
          <w:color w:val="auto"/>
        </w:rPr>
      </w:pPr>
    </w:p>
    <w:p>
      <w:pPr>
        <w:jc w:val="both"/>
        <w:ind w:firstLine="642"/>
        <w:spacing w:after="0" w:line="258" w:lineRule="auto"/>
        <w:tabs>
          <w:tab w:leader="none" w:pos="755" w:val="left"/>
        </w:tabs>
        <w:numPr>
          <w:ilvl w:val="0"/>
          <w:numId w:val="2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As of the Closing Date, the Borrower has no Restricted Subsidiaries other than those specifically disclosed in Part (a) of </w:t>
      </w:r>
      <w:r>
        <w:rPr>
          <w:rFonts w:ascii="Times New Roman" w:cs="Times New Roman" w:eastAsia="Times New Roman" w:hAnsi="Times New Roman"/>
          <w:sz w:val="21"/>
          <w:szCs w:val="21"/>
          <w:u w:val="single" w:color="auto"/>
          <w:color w:val="auto"/>
        </w:rPr>
        <w:t>Schedule 5.12</w:t>
      </w:r>
      <w:r>
        <w:rPr>
          <w:rFonts w:ascii="Times New Roman" w:cs="Times New Roman" w:eastAsia="Times New Roman" w:hAnsi="Times New Roman"/>
          <w:sz w:val="21"/>
          <w:szCs w:val="21"/>
          <w:color w:val="auto"/>
        </w:rPr>
        <w:t xml:space="preserve">, and all of the outstanding Equity Interests in such Subsidiaries have been validly issued, are fully paid and nonassessable and are owned by the Borrower or one or more of its Subsidiaries in the amounts specified on Part (a) of </w:t>
      </w:r>
      <w:r>
        <w:rPr>
          <w:rFonts w:ascii="Times New Roman" w:cs="Times New Roman" w:eastAsia="Times New Roman" w:hAnsi="Times New Roman"/>
          <w:sz w:val="21"/>
          <w:szCs w:val="21"/>
          <w:u w:val="single" w:color="auto"/>
          <w:color w:val="auto"/>
        </w:rPr>
        <w:t>Schedule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5.12</w:t>
      </w:r>
      <w:r>
        <w:rPr>
          <w:rFonts w:ascii="Times New Roman" w:cs="Times New Roman" w:eastAsia="Times New Roman" w:hAnsi="Times New Roman"/>
          <w:sz w:val="21"/>
          <w:szCs w:val="21"/>
          <w:color w:val="auto"/>
        </w:rPr>
        <w:t xml:space="preserve"> free and clear of all Liens except those created under the Collateral Documents. As of the Closing Date, (x) the Borrower has no Equity Interests in any other Person other than (i) those specifically disclosed in Part (b) of </w:t>
      </w:r>
      <w:r>
        <w:rPr>
          <w:rFonts w:ascii="Times New Roman" w:cs="Times New Roman" w:eastAsia="Times New Roman" w:hAnsi="Times New Roman"/>
          <w:sz w:val="21"/>
          <w:szCs w:val="21"/>
          <w:u w:val="single" w:color="auto"/>
          <w:color w:val="auto"/>
        </w:rPr>
        <w:t>Schedule 5.12</w:t>
      </w:r>
      <w:r>
        <w:rPr>
          <w:rFonts w:ascii="Times New Roman" w:cs="Times New Roman" w:eastAsia="Times New Roman" w:hAnsi="Times New Roman"/>
          <w:sz w:val="21"/>
          <w:szCs w:val="21"/>
          <w:color w:val="auto"/>
        </w:rPr>
        <w:t xml:space="preserve"> and (ii) Equity Interests in Subsidiaries and (y) there are no Unrestricted Subsidiaries other than those listed on Part (c) of </w:t>
      </w:r>
      <w:r>
        <w:rPr>
          <w:rFonts w:ascii="Times New Roman" w:cs="Times New Roman" w:eastAsia="Times New Roman" w:hAnsi="Times New Roman"/>
          <w:sz w:val="21"/>
          <w:szCs w:val="21"/>
          <w:u w:val="single" w:color="auto"/>
          <w:color w:val="auto"/>
        </w:rPr>
        <w:t>Schedule 5.12</w:t>
      </w:r>
      <w:r>
        <w:rPr>
          <w:rFonts w:ascii="Times New Roman" w:cs="Times New Roman" w:eastAsia="Times New Roman" w:hAnsi="Times New Roman"/>
          <w:sz w:val="21"/>
          <w:szCs w:val="21"/>
          <w:color w:val="auto"/>
        </w:rPr>
        <w:t>. All of the outstanding Equity Interests in the Borrower have been validly issued and are fully paid and nonassessable.</w:t>
      </w:r>
    </w:p>
    <w:p>
      <w:pPr>
        <w:spacing w:after="0" w:line="142"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5.13</w:t>
      </w:r>
      <w:r>
        <w:rPr>
          <w:sz w:val="20"/>
          <w:szCs w:val="20"/>
          <w:color w:val="auto"/>
        </w:rPr>
        <w:tab/>
      </w:r>
      <w:r>
        <w:rPr>
          <w:rFonts w:ascii="Times New Roman" w:cs="Times New Roman" w:eastAsia="Times New Roman" w:hAnsi="Times New Roman"/>
          <w:sz w:val="21"/>
          <w:szCs w:val="21"/>
          <w:i w:val="1"/>
          <w:iCs w:val="1"/>
          <w:color w:val="auto"/>
        </w:rPr>
        <w:t>Margin Regulations; Investment Company Act</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p>
    <w:p>
      <w:pPr>
        <w:spacing w:after="0" w:line="209" w:lineRule="exact"/>
        <w:rPr>
          <w:sz w:val="20"/>
          <w:szCs w:val="20"/>
          <w:color w:val="auto"/>
        </w:rPr>
      </w:pPr>
    </w:p>
    <w:p>
      <w:pPr>
        <w:jc w:val="both"/>
        <w:ind w:firstLine="1278"/>
        <w:spacing w:after="0" w:line="232" w:lineRule="auto"/>
        <w:tabs>
          <w:tab w:leader="none" w:pos="1905" w:val="left"/>
        </w:tabs>
        <w:numPr>
          <w:ilvl w:val="0"/>
          <w:numId w:val="2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is not engaged and will not engage, principally or as one of its important activities, in the business of purchasing or carrying margin stock (within the meaning of Regulation U issued by the FRB), or extending credit for the purpose of purchasing or carrying margin stock.</w:t>
      </w:r>
    </w:p>
    <w:p>
      <w:pPr>
        <w:spacing w:after="0" w:line="147" w:lineRule="exact"/>
        <w:rPr>
          <w:rFonts w:ascii="Times New Roman" w:cs="Times New Roman" w:eastAsia="Times New Roman" w:hAnsi="Times New Roman"/>
          <w:sz w:val="21"/>
          <w:szCs w:val="21"/>
          <w:color w:val="auto"/>
        </w:rPr>
      </w:pPr>
    </w:p>
    <w:p>
      <w:pPr>
        <w:ind w:firstLine="1278"/>
        <w:spacing w:after="0" w:line="245" w:lineRule="auto"/>
        <w:tabs>
          <w:tab w:leader="none" w:pos="1903" w:val="left"/>
        </w:tabs>
        <w:numPr>
          <w:ilvl w:val="0"/>
          <w:numId w:val="2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None of the Borrower, any Person Controlling the Borrower or any Restricted Subsidiary is or is required to be registered as an “investment company” under the Investment Company Act of 1940.</w:t>
      </w:r>
    </w:p>
    <w:p>
      <w:pPr>
        <w:spacing w:after="0" w:line="141"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5.14</w:t>
      </w:r>
      <w:r>
        <w:rPr>
          <w:sz w:val="20"/>
          <w:szCs w:val="20"/>
          <w:color w:val="auto"/>
        </w:rPr>
        <w:tab/>
      </w:r>
      <w:r>
        <w:rPr>
          <w:rFonts w:ascii="Times New Roman" w:cs="Times New Roman" w:eastAsia="Times New Roman" w:hAnsi="Times New Roman"/>
          <w:sz w:val="20"/>
          <w:szCs w:val="20"/>
          <w:i w:val="1"/>
          <w:iCs w:val="1"/>
          <w:color w:val="auto"/>
        </w:rPr>
        <w:t>Disclosure</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p>
    <w:p>
      <w:pPr>
        <w:spacing w:after="0" w:line="196" w:lineRule="exact"/>
        <w:rPr>
          <w:sz w:val="20"/>
          <w:szCs w:val="20"/>
          <w:color w:val="auto"/>
        </w:rPr>
      </w:pPr>
    </w:p>
    <w:p>
      <w:pPr>
        <w:jc w:val="both"/>
        <w:ind w:firstLine="1278"/>
        <w:spacing w:after="0" w:line="217" w:lineRule="auto"/>
        <w:tabs>
          <w:tab w:leader="none" w:pos="1905" w:val="left"/>
        </w:tabs>
        <w:numPr>
          <w:ilvl w:val="0"/>
          <w:numId w:val="2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 report, financial statement, certificate or other information furnished in writing by or on behalf of any Loan Party to the Administrative Agent or any Lender in connection with the Transactions or delivered hereunder or under any other Loan Document (in each case, taken as a whole and as modified or supplemented by other information so furnished) contains any material misstatement of fact or omits to state any material fact necessary to make the statements therein, in the light of the circumstances under which they were made, not materially misleading;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with respect to projected financial information, the Borrower represents only that such information was prepared in good faith based upon assumptions believed by it to be reasonable at the time made, it being recognized by the Administrative Agent and the Lenders that such financial information as it relates to future events is not to be viewed as fact and that actual results during the period or periods covered by such financial information may differ from the projected results set forth therein by a material amount.</w:t>
      </w:r>
    </w:p>
    <w:p>
      <w:pPr>
        <w:spacing w:after="0" w:line="149" w:lineRule="exact"/>
        <w:rPr>
          <w:rFonts w:ascii="Times New Roman" w:cs="Times New Roman" w:eastAsia="Times New Roman" w:hAnsi="Times New Roman"/>
          <w:sz w:val="21"/>
          <w:szCs w:val="21"/>
          <w:color w:val="auto"/>
        </w:rPr>
      </w:pPr>
    </w:p>
    <w:p>
      <w:pPr>
        <w:ind w:left="1900" w:hanging="622"/>
        <w:spacing w:after="0"/>
        <w:tabs>
          <w:tab w:leader="none" w:pos="1900" w:val="left"/>
        </w:tabs>
        <w:numPr>
          <w:ilvl w:val="0"/>
          <w:numId w:val="2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of the Closing Date, the information included in the Beneficial Ownership Certification is true and correct</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all respects.</w:t>
      </w:r>
    </w:p>
    <w:p>
      <w:pPr>
        <w:spacing w:after="0" w:line="157"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5.15</w:t>
      </w:r>
      <w:r>
        <w:rPr>
          <w:sz w:val="20"/>
          <w:szCs w:val="20"/>
          <w:color w:val="auto"/>
        </w:rPr>
        <w:tab/>
      </w:r>
      <w:r>
        <w:rPr>
          <w:rFonts w:ascii="Times New Roman" w:cs="Times New Roman" w:eastAsia="Times New Roman" w:hAnsi="Times New Roman"/>
          <w:sz w:val="21"/>
          <w:szCs w:val="21"/>
          <w:i w:val="1"/>
          <w:iCs w:val="1"/>
          <w:color w:val="auto"/>
        </w:rPr>
        <w:t>Compliance with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121</w:t>
      </w:r>
    </w:p>
    <w:p>
      <w:pPr>
        <w:sectPr>
          <w:pgSz w:w="11900" w:h="16838" w:orient="portrait"/>
          <w:cols w:equalWidth="0" w:num="1">
            <w:col w:w="11240"/>
          </w:cols>
          <w:pgMar w:left="320" w:top="1371" w:right="339" w:bottom="1440" w:gutter="0" w:footer="0" w:header="0"/>
        </w:sectPr>
      </w:pPr>
    </w:p>
    <w:bookmarkStart w:id="227" w:name="page228"/>
    <w:bookmarkEnd w:id="227"/>
    <w:p>
      <w:pPr>
        <w:jc w:val="both"/>
        <w:ind w:firstLine="642"/>
        <w:spacing w:after="0" w:line="262" w:lineRule="auto"/>
        <w:tabs>
          <w:tab w:leader="none" w:pos="742" w:val="left"/>
        </w:tabs>
        <w:numPr>
          <w:ilvl w:val="0"/>
          <w:numId w:val="2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Loan Party and each Restricted Subsidiary thereof is in compliance in all material respects with the requirements of all Laws and all orders, writs, injunctions and decrees applicable to it or to its properties (including the Act), except in such instances in which (a) such requirement of Law or order, writ, injunction or decree is being contested in good faith by appropriate proceedings diligently conducted; or (b) the failure to comply therewith, either individually or in the aggregate, could not reasonably be expected to have a Material Adverse Effect.</w:t>
      </w:r>
    </w:p>
    <w:p>
      <w:pPr>
        <w:spacing w:after="0" w:line="137"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5.16</w:t>
      </w:r>
      <w:r>
        <w:rPr>
          <w:sz w:val="20"/>
          <w:szCs w:val="20"/>
          <w:color w:val="auto"/>
        </w:rPr>
        <w:tab/>
      </w:r>
      <w:r>
        <w:rPr>
          <w:rFonts w:ascii="Times New Roman" w:cs="Times New Roman" w:eastAsia="Times New Roman" w:hAnsi="Times New Roman"/>
          <w:sz w:val="21"/>
          <w:szCs w:val="21"/>
          <w:i w:val="1"/>
          <w:iCs w:val="1"/>
          <w:color w:val="auto"/>
        </w:rPr>
        <w:t>Intellectual Property; Licenses, Etc.</w:t>
      </w:r>
    </w:p>
    <w:p>
      <w:pPr>
        <w:spacing w:after="0" w:line="211" w:lineRule="exact"/>
        <w:rPr>
          <w:sz w:val="20"/>
          <w:szCs w:val="20"/>
          <w:color w:val="auto"/>
        </w:rPr>
      </w:pPr>
    </w:p>
    <w:p>
      <w:pPr>
        <w:jc w:val="both"/>
        <w:ind w:firstLine="636"/>
        <w:spacing w:after="0" w:line="257" w:lineRule="auto"/>
        <w:rPr>
          <w:sz w:val="20"/>
          <w:szCs w:val="20"/>
          <w:color w:val="auto"/>
        </w:rPr>
      </w:pPr>
      <w:r>
        <w:rPr>
          <w:rFonts w:ascii="Times New Roman" w:cs="Times New Roman" w:eastAsia="Times New Roman" w:hAnsi="Times New Roman"/>
          <w:sz w:val="21"/>
          <w:szCs w:val="21"/>
          <w:color w:val="auto"/>
        </w:rPr>
        <w:t xml:space="preserve">The Borrower and its Restricted Subsidiaries own or possess the right to use all of the trademarks, service marks, trade names, trade dress, logos, domain names and all </w:t>
      </w:r>
      <w:r>
        <w:rPr>
          <w:rFonts w:ascii="Times New Roman" w:cs="Times New Roman" w:eastAsia="Times New Roman" w:hAnsi="Times New Roman"/>
          <w:sz w:val="21"/>
          <w:szCs w:val="21"/>
          <w:b w:val="1"/>
          <w:bCs w:val="1"/>
          <w:color w:val="FF0000"/>
          <w:strike w:val="1"/>
        </w:rPr>
        <w:t>good will</w:t>
      </w:r>
      <w:r>
        <w:rPr>
          <w:rFonts w:ascii="Times New Roman" w:cs="Times New Roman" w:eastAsia="Times New Roman" w:hAnsi="Times New Roman"/>
          <w:sz w:val="21"/>
          <w:szCs w:val="21"/>
          <w:b w:val="1"/>
          <w:bCs w:val="1"/>
          <w:u w:val="single" w:color="auto"/>
          <w:color w:val="0000FF"/>
        </w:rPr>
        <w:t>goodwill</w:t>
      </w:r>
      <w:r>
        <w:rPr>
          <w:rFonts w:ascii="Times New Roman" w:cs="Times New Roman" w:eastAsia="Times New Roman" w:hAnsi="Times New Roman"/>
          <w:sz w:val="21"/>
          <w:szCs w:val="21"/>
          <w:color w:val="auto"/>
        </w:rPr>
        <w:t xml:space="preserve"> associated therewith, copyrights, patents, patent rights, trade secrets, know-how, franchises, licenses, and other intellectual property rights (collectively, “</w:t>
      </w:r>
      <w:r>
        <w:rPr>
          <w:rFonts w:ascii="Times New Roman" w:cs="Times New Roman" w:eastAsia="Times New Roman" w:hAnsi="Times New Roman"/>
          <w:sz w:val="21"/>
          <w:szCs w:val="21"/>
          <w:b w:val="1"/>
          <w:bCs w:val="1"/>
          <w:color w:val="auto"/>
        </w:rPr>
        <w:t>IP Rights</w:t>
      </w:r>
      <w:r>
        <w:rPr>
          <w:rFonts w:ascii="Times New Roman" w:cs="Times New Roman" w:eastAsia="Times New Roman" w:hAnsi="Times New Roman"/>
          <w:sz w:val="21"/>
          <w:szCs w:val="21"/>
          <w:color w:val="auto"/>
        </w:rPr>
        <w:t xml:space="preserve">”) that are reasonably necessary for the operation of their respective businesses as currently conducted, without conflict with the rights of any other Person, except where the failure to own or possess the right to use any such IP Rights would not reasonably be expected to have a Material Adverse Effect. The Borrower and its Restricted Subsidiaries hold all right, title and interest in and to such owned IP Rights free and clear of any Lien (other than Liens permitted by </w:t>
      </w:r>
      <w:r>
        <w:rPr>
          <w:rFonts w:ascii="Times New Roman" w:cs="Times New Roman" w:eastAsia="Times New Roman" w:hAnsi="Times New Roman"/>
          <w:sz w:val="21"/>
          <w:szCs w:val="21"/>
          <w:u w:val="single" w:color="auto"/>
          <w:color w:val="auto"/>
        </w:rPr>
        <w:t>Section 7.01</w:t>
      </w:r>
      <w:r>
        <w:rPr>
          <w:rFonts w:ascii="Times New Roman" w:cs="Times New Roman" w:eastAsia="Times New Roman" w:hAnsi="Times New Roman"/>
          <w:sz w:val="21"/>
          <w:szCs w:val="21"/>
          <w:color w:val="auto"/>
        </w:rPr>
        <w:t>). No slogan or other advertising device, product, process, method, substance, part or other material or activity now employed, or now contemplated to be employed, by the Borrower or any Restricted Subsidiary infringes upon, misappropriates or otherwise violates any rights held by any other Person, except where such infringement, misappropriation or other violation would not reasonably be expected to have a Material Adverse Effect.</w:t>
      </w:r>
    </w:p>
    <w:p>
      <w:pPr>
        <w:spacing w:after="0" w:line="142"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5.17</w:t>
      </w:r>
      <w:r>
        <w:rPr>
          <w:sz w:val="20"/>
          <w:szCs w:val="20"/>
          <w:color w:val="auto"/>
        </w:rPr>
        <w:tab/>
      </w:r>
      <w:r>
        <w:rPr>
          <w:rFonts w:ascii="Times New Roman" w:cs="Times New Roman" w:eastAsia="Times New Roman" w:hAnsi="Times New Roman"/>
          <w:sz w:val="20"/>
          <w:szCs w:val="20"/>
          <w:i w:val="1"/>
          <w:iCs w:val="1"/>
          <w:color w:val="auto"/>
        </w:rPr>
        <w:t>Solvency</w:t>
      </w:r>
    </w:p>
    <w:p>
      <w:pPr>
        <w:spacing w:after="0" w:line="211" w:lineRule="exact"/>
        <w:rPr>
          <w:sz w:val="20"/>
          <w:szCs w:val="20"/>
          <w:color w:val="auto"/>
        </w:rPr>
      </w:pPr>
    </w:p>
    <w:p>
      <w:pPr>
        <w:ind w:firstLine="642"/>
        <w:spacing w:after="0" w:line="285" w:lineRule="auto"/>
        <w:tabs>
          <w:tab w:leader="none" w:pos="755" w:val="left"/>
        </w:tabs>
        <w:numPr>
          <w:ilvl w:val="0"/>
          <w:numId w:val="2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of the Closing Date, immediately after giving effect to the consummation of the Transactions, the Borrower and its Subsidiaries on a consolidated basis are Solvent.</w:t>
      </w:r>
    </w:p>
    <w:p>
      <w:pPr>
        <w:spacing w:after="0" w:line="113"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5.18</w:t>
      </w:r>
      <w:r>
        <w:rPr>
          <w:sz w:val="20"/>
          <w:szCs w:val="20"/>
          <w:color w:val="auto"/>
        </w:rPr>
        <w:tab/>
      </w:r>
      <w:r>
        <w:rPr>
          <w:rFonts w:ascii="Times New Roman" w:cs="Times New Roman" w:eastAsia="Times New Roman" w:hAnsi="Times New Roman"/>
          <w:sz w:val="21"/>
          <w:szCs w:val="21"/>
          <w:i w:val="1"/>
          <w:iCs w:val="1"/>
          <w:color w:val="auto"/>
        </w:rPr>
        <w:t>Collateral Documents</w:t>
      </w:r>
    </w:p>
    <w:p>
      <w:pPr>
        <w:spacing w:after="0" w:line="211" w:lineRule="exact"/>
        <w:rPr>
          <w:sz w:val="20"/>
          <w:szCs w:val="20"/>
          <w:color w:val="auto"/>
        </w:rPr>
      </w:pPr>
    </w:p>
    <w:p>
      <w:pPr>
        <w:jc w:val="both"/>
        <w:ind w:firstLine="642"/>
        <w:spacing w:after="0" w:line="262" w:lineRule="auto"/>
        <w:tabs>
          <w:tab w:leader="none" w:pos="742" w:val="left"/>
        </w:tabs>
        <w:numPr>
          <w:ilvl w:val="0"/>
          <w:numId w:val="2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provisions of the applicable Collateral Documents are effective to create in favor of the Administrative Agent for the benefit of the Secured Parties a legal, valid and enforceable first priority Lien subject, in the case of any Collateral (other than Collateral consisting of Equity Interests), to Permitted Liens, and with respect to Collateral consisting of Equity Interests, subject to Liens permitted pursuant to </w:t>
      </w:r>
      <w:r>
        <w:rPr>
          <w:rFonts w:ascii="Times New Roman" w:cs="Times New Roman" w:eastAsia="Times New Roman" w:hAnsi="Times New Roman"/>
          <w:sz w:val="21"/>
          <w:szCs w:val="21"/>
          <w:u w:val="single" w:color="auto"/>
          <w:color w:val="auto"/>
        </w:rPr>
        <w:t>Sections 7.01(a) and (y)</w:t>
      </w:r>
      <w:r>
        <w:rPr>
          <w:rFonts w:ascii="Times New Roman" w:cs="Times New Roman" w:eastAsia="Times New Roman" w:hAnsi="Times New Roman"/>
          <w:sz w:val="21"/>
          <w:szCs w:val="21"/>
          <w:color w:val="auto"/>
        </w:rPr>
        <w:t xml:space="preserve"> and non-consensual Liens permitted by </w:t>
      </w:r>
      <w:r>
        <w:rPr>
          <w:rFonts w:ascii="Times New Roman" w:cs="Times New Roman" w:eastAsia="Times New Roman" w:hAnsi="Times New Roman"/>
          <w:sz w:val="21"/>
          <w:szCs w:val="21"/>
          <w:u w:val="single" w:color="auto"/>
          <w:color w:val="auto"/>
        </w:rPr>
        <w:t>Section 7.01</w:t>
      </w:r>
      <w:r>
        <w:rPr>
          <w:rFonts w:ascii="Times New Roman" w:cs="Times New Roman" w:eastAsia="Times New Roman" w:hAnsi="Times New Roman"/>
          <w:sz w:val="21"/>
          <w:szCs w:val="21"/>
          <w:color w:val="auto"/>
        </w:rPr>
        <w:t xml:space="preserve"> (collectively, such Liens, “</w:t>
      </w:r>
      <w:r>
        <w:rPr>
          <w:rFonts w:ascii="Times New Roman" w:cs="Times New Roman" w:eastAsia="Times New Roman" w:hAnsi="Times New Roman"/>
          <w:sz w:val="21"/>
          <w:szCs w:val="21"/>
          <w:b w:val="1"/>
          <w:bCs w:val="1"/>
          <w:color w:val="auto"/>
        </w:rPr>
        <w:t>Permitted Prior Liens</w:t>
      </w:r>
      <w:r>
        <w:rPr>
          <w:rFonts w:ascii="Times New Roman" w:cs="Times New Roman" w:eastAsia="Times New Roman" w:hAnsi="Times New Roman"/>
          <w:sz w:val="21"/>
          <w:szCs w:val="21"/>
          <w:color w:val="auto"/>
        </w:rPr>
        <w:t>”), on all right, title and interest of the respective Loan Parties in the Collateral described therein.</w:t>
      </w:r>
    </w:p>
    <w:p>
      <w:pPr>
        <w:spacing w:after="0" w:line="137"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5.19</w:t>
      </w:r>
      <w:r>
        <w:rPr>
          <w:sz w:val="20"/>
          <w:szCs w:val="20"/>
          <w:color w:val="auto"/>
        </w:rPr>
        <w:tab/>
      </w:r>
      <w:r>
        <w:rPr>
          <w:rFonts w:ascii="Times New Roman" w:cs="Times New Roman" w:eastAsia="Times New Roman" w:hAnsi="Times New Roman"/>
          <w:sz w:val="21"/>
          <w:szCs w:val="21"/>
          <w:i w:val="1"/>
          <w:iCs w:val="1"/>
          <w:color w:val="auto"/>
        </w:rPr>
        <w:t>Anti-Terrorism; Anti-Money Laundering; Etc.</w:t>
      </w:r>
    </w:p>
    <w:p>
      <w:pPr>
        <w:spacing w:after="0" w:line="211"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21"/>
          <w:szCs w:val="21"/>
          <w:color w:val="auto"/>
        </w:rPr>
        <w:t>The Borrower has implemented and maintains in effect policies and procedures designed to ensure compliance in all material respects by the Borrower, its Restricted Subsidiaries and their respective directors, officers, and employees with Anti-Corruption Laws and applicable Sanctions, and the Borrower, its Restricted Subsidiaries and, to the Borrower’s knowledge, its and its Restricted Subsidiaries’ respective officers and directors, are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122</w:t>
      </w:r>
    </w:p>
    <w:p>
      <w:pPr>
        <w:sectPr>
          <w:pgSz w:w="11900" w:h="16838" w:orient="portrait"/>
          <w:cols w:equalWidth="0" w:num="1">
            <w:col w:w="11240"/>
          </w:cols>
          <w:pgMar w:left="320" w:top="1397" w:right="339" w:bottom="1440" w:gutter="0" w:footer="0" w:header="0"/>
        </w:sectPr>
      </w:pPr>
    </w:p>
    <w:bookmarkStart w:id="228" w:name="page229"/>
    <w:bookmarkEnd w:id="228"/>
    <w:p>
      <w:pPr>
        <w:jc w:val="both"/>
        <w:spacing w:after="0" w:line="256" w:lineRule="auto"/>
        <w:rPr>
          <w:sz w:val="20"/>
          <w:szCs w:val="20"/>
          <w:color w:val="auto"/>
        </w:rPr>
      </w:pPr>
      <w:r>
        <w:rPr>
          <w:rFonts w:ascii="Times New Roman" w:cs="Times New Roman" w:eastAsia="Times New Roman" w:hAnsi="Times New Roman"/>
          <w:sz w:val="21"/>
          <w:szCs w:val="21"/>
          <w:color w:val="auto"/>
        </w:rPr>
        <w:t>compliance with Anti-Corruption Laws in all material respects and applicable Sanctions in all material respects and are not knowingly engaged in any activity that would reasonably be expected to result in the Borrower being designated as a Sanctioned Person. No Loan Party nor any of its Restricted Subsidiaries (i) is an “enemy” or an “ally of the enemy” within the meaning of Section 2 of the Trading with the Enemy Act of the United States (50 U.S.C. App. §§ 1 et seq.), (ii) is in violation in any material respect of (A) the Trading with the Enemy Act, (B) any of the foreign assets control regulations of the United States Treasury Department (31 CFR, Subtitle B, Chapter V) or any enabling legislation or executive order relating thereto, (C) the Act or (D) any other laws relating to terrorism or money laundering (collectively, the “</w:t>
      </w:r>
      <w:r>
        <w:rPr>
          <w:rFonts w:ascii="Times New Roman" w:cs="Times New Roman" w:eastAsia="Times New Roman" w:hAnsi="Times New Roman"/>
          <w:sz w:val="21"/>
          <w:szCs w:val="21"/>
          <w:b w:val="1"/>
          <w:bCs w:val="1"/>
          <w:color w:val="auto"/>
        </w:rPr>
        <w:t>Anti-Terrorism Laws</w:t>
      </w:r>
      <w:r>
        <w:rPr>
          <w:rFonts w:ascii="Times New Roman" w:cs="Times New Roman" w:eastAsia="Times New Roman" w:hAnsi="Times New Roman"/>
          <w:sz w:val="21"/>
          <w:szCs w:val="21"/>
          <w:color w:val="auto"/>
        </w:rPr>
        <w:t>”) or (iii) is a Sanctioned Person. No part of the proceeds of any Loan and no Letter of Credit hereunder will be unlawfully used to fund any operations in, finance any investments or activities in or make any payments to, a Sanctioned Person or a Sanctioned Country, or in any other manner that will result in any violation in any material respect by any Loan Party or any Lender or Arranger, the Administrative Agent or any L/C Issuer of any Anti-Terrorism Laws or Sanctions.</w:t>
      </w:r>
    </w:p>
    <w:p>
      <w:pPr>
        <w:spacing w:after="0" w:line="146"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5.20</w:t>
      </w:r>
      <w:r>
        <w:rPr>
          <w:sz w:val="20"/>
          <w:szCs w:val="20"/>
          <w:color w:val="auto"/>
        </w:rPr>
        <w:tab/>
      </w:r>
      <w:r>
        <w:rPr>
          <w:rFonts w:ascii="Times New Roman" w:cs="Times New Roman" w:eastAsia="Times New Roman" w:hAnsi="Times New Roman"/>
          <w:sz w:val="21"/>
          <w:szCs w:val="21"/>
          <w:i w:val="1"/>
          <w:iCs w:val="1"/>
          <w:color w:val="auto"/>
        </w:rPr>
        <w:t>Foreign Corrupt Practices Act.</w:t>
      </w:r>
    </w:p>
    <w:p>
      <w:pPr>
        <w:spacing w:after="0" w:line="211" w:lineRule="exact"/>
        <w:rPr>
          <w:sz w:val="20"/>
          <w:szCs w:val="20"/>
          <w:color w:val="auto"/>
        </w:rPr>
      </w:pPr>
    </w:p>
    <w:p>
      <w:pPr>
        <w:jc w:val="both"/>
        <w:ind w:firstLine="636"/>
        <w:spacing w:after="0" w:line="267" w:lineRule="auto"/>
        <w:rPr>
          <w:sz w:val="20"/>
          <w:szCs w:val="20"/>
          <w:color w:val="auto"/>
        </w:rPr>
      </w:pPr>
      <w:r>
        <w:rPr>
          <w:rFonts w:ascii="Times New Roman" w:cs="Times New Roman" w:eastAsia="Times New Roman" w:hAnsi="Times New Roman"/>
          <w:sz w:val="21"/>
          <w:szCs w:val="21"/>
          <w:color w:val="auto"/>
        </w:rPr>
        <w:t>No part of the proceeds of the Loans will be used,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Anti-Corruption Laws.</w:t>
      </w:r>
    </w:p>
    <w:p>
      <w:pPr>
        <w:spacing w:after="0" w:line="146"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5.21</w:t>
      </w:r>
      <w:r>
        <w:rPr>
          <w:sz w:val="20"/>
          <w:szCs w:val="20"/>
          <w:color w:val="auto"/>
        </w:rPr>
        <w:tab/>
      </w:r>
      <w:r>
        <w:rPr>
          <w:rFonts w:ascii="Times New Roman" w:cs="Times New Roman" w:eastAsia="Times New Roman" w:hAnsi="Times New Roman"/>
          <w:sz w:val="21"/>
          <w:szCs w:val="21"/>
          <w:i w:val="1"/>
          <w:iCs w:val="1"/>
          <w:color w:val="auto"/>
        </w:rPr>
        <w:t>Affected Financial Institution</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No Loan Party is an Affected Financial Institution.</w:t>
      </w:r>
    </w:p>
    <w:p>
      <w:pPr>
        <w:spacing w:after="0" w:line="19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b w:val="1"/>
          <w:bCs w:val="1"/>
          <w:color w:val="auto"/>
        </w:rPr>
        <w:t>Article 6.</w:t>
      </w:r>
    </w:p>
    <w:p>
      <w:pPr>
        <w:jc w:val="center"/>
        <w:spacing w:after="0"/>
        <w:rPr>
          <w:sz w:val="20"/>
          <w:szCs w:val="20"/>
          <w:color w:val="auto"/>
        </w:rPr>
      </w:pPr>
      <w:r>
        <w:rPr>
          <w:rFonts w:ascii="Times New Roman" w:cs="Times New Roman" w:eastAsia="Times New Roman" w:hAnsi="Times New Roman"/>
          <w:sz w:val="21"/>
          <w:szCs w:val="21"/>
          <w:b w:val="1"/>
          <w:bCs w:val="1"/>
          <w:color w:val="auto"/>
        </w:rPr>
        <w:t>AFFIRMATIVE COVENANTS</w:t>
      </w:r>
    </w:p>
    <w:p>
      <w:pPr>
        <w:spacing w:after="0" w:line="185"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21"/>
          <w:szCs w:val="21"/>
          <w:color w:val="auto"/>
        </w:rPr>
        <w:t xml:space="preserve">From and after the Closing Date, so long as any Lender shall have any Commitment hereunder, any Loan or other Obligation (other than contingent indemnification obligations as to which no claim has been asserted and obligations and liabilities under Secured Cash Management Agreements and Secured Hedge Agreements) hereunder shall remain unpaid or unsatisfied, or any Letter of Credit (other than Letters of Credit which have been Cash Collateralized or as to which other arrangements satisfactory to the applicable L/C Issuer have been made) shall remain outstanding, the Borrower shall, and shall (except in the case of the covenants set forth in </w:t>
      </w:r>
      <w:r>
        <w:rPr>
          <w:rFonts w:ascii="Times New Roman" w:cs="Times New Roman" w:eastAsia="Times New Roman" w:hAnsi="Times New Roman"/>
          <w:sz w:val="21"/>
          <w:szCs w:val="21"/>
          <w:u w:val="single" w:color="auto"/>
          <w:color w:val="auto"/>
        </w:rPr>
        <w:t>Sections 6.01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6.02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6.03</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6.13</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6.14</w:t>
      </w:r>
      <w:r>
        <w:rPr>
          <w:rFonts w:ascii="Times New Roman" w:cs="Times New Roman" w:eastAsia="Times New Roman" w:hAnsi="Times New Roman"/>
          <w:sz w:val="21"/>
          <w:szCs w:val="21"/>
          <w:color w:val="auto"/>
        </w:rPr>
        <w:t>) cause each Restricted Subsidiary to:</w:t>
      </w:r>
    </w:p>
    <w:p>
      <w:pPr>
        <w:spacing w:after="0" w:line="144"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6.01</w:t>
      </w:r>
      <w:r>
        <w:rPr>
          <w:sz w:val="20"/>
          <w:szCs w:val="20"/>
          <w:color w:val="auto"/>
        </w:rPr>
        <w:tab/>
      </w:r>
      <w:r>
        <w:rPr>
          <w:rFonts w:ascii="Times New Roman" w:cs="Times New Roman" w:eastAsia="Times New Roman" w:hAnsi="Times New Roman"/>
          <w:sz w:val="21"/>
          <w:szCs w:val="21"/>
          <w:i w:val="1"/>
          <w:iCs w:val="1"/>
          <w:color w:val="auto"/>
        </w:rPr>
        <w:t>Financial Statements</w:t>
      </w:r>
    </w:p>
    <w:p>
      <w:pPr>
        <w:spacing w:after="0" w:line="211" w:lineRule="exact"/>
        <w:rPr>
          <w:sz w:val="20"/>
          <w:szCs w:val="20"/>
          <w:color w:val="auto"/>
        </w:rPr>
      </w:pPr>
    </w:p>
    <w:p>
      <w:pPr>
        <w:ind w:left="740" w:hanging="98"/>
        <w:spacing w:after="0"/>
        <w:tabs>
          <w:tab w:leader="none" w:pos="740" w:val="left"/>
        </w:tabs>
        <w:numPr>
          <w:ilvl w:val="0"/>
          <w:numId w:val="2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Deliver to the Administrative Agent:</w:t>
      </w:r>
    </w:p>
    <w:p>
      <w:pPr>
        <w:spacing w:after="0" w:line="195" w:lineRule="exact"/>
        <w:rPr>
          <w:rFonts w:ascii="Times New Roman" w:cs="Times New Roman" w:eastAsia="Times New Roman" w:hAnsi="Times New Roman"/>
          <w:sz w:val="21"/>
          <w:szCs w:val="21"/>
          <w:color w:val="auto"/>
        </w:rPr>
      </w:pPr>
    </w:p>
    <w:p>
      <w:pPr>
        <w:jc w:val="both"/>
        <w:ind w:firstLine="1278"/>
        <w:spacing w:after="0" w:line="232" w:lineRule="auto"/>
        <w:tabs>
          <w:tab w:leader="none" w:pos="1905" w:val="left"/>
        </w:tabs>
        <w:numPr>
          <w:ilvl w:val="1"/>
          <w:numId w:val="2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within 90 days after the end of each Fiscal Year of the Borrower (commencing with the Fiscal Year ending September 30, 2022), a consolidated balance sheet of the Borrower and its Subsidiaries as at the end of such Fiscal Year, and the related consolidated statements of income or operations, changes in Shareholders’ Equity, and cash flows for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123</w:t>
      </w:r>
    </w:p>
    <w:p>
      <w:pPr>
        <w:sectPr>
          <w:pgSz w:w="11900" w:h="16838" w:orient="portrait"/>
          <w:cols w:equalWidth="0" w:num="1">
            <w:col w:w="11240"/>
          </w:cols>
          <w:pgMar w:left="320" w:top="1398" w:right="339" w:bottom="1440" w:gutter="0" w:footer="0" w:header="0"/>
        </w:sectPr>
      </w:pPr>
    </w:p>
    <w:bookmarkStart w:id="229" w:name="page230"/>
    <w:bookmarkEnd w:id="229"/>
    <w:p>
      <w:pPr>
        <w:jc w:val="both"/>
        <w:spacing w:after="0" w:line="216" w:lineRule="auto"/>
        <w:rPr>
          <w:sz w:val="20"/>
          <w:szCs w:val="20"/>
          <w:color w:val="auto"/>
        </w:rPr>
      </w:pPr>
      <w:r>
        <w:rPr>
          <w:rFonts w:ascii="Times New Roman" w:cs="Times New Roman" w:eastAsia="Times New Roman" w:hAnsi="Times New Roman"/>
          <w:sz w:val="21"/>
          <w:szCs w:val="21"/>
          <w:color w:val="auto"/>
        </w:rPr>
        <w:t xml:space="preserve">Fiscal Year, setting forth in each case in comparative form the figures for the previous Fiscal Year, all in reasonable detail and prepared in accordance with GAAP, audited and accompanied by a report and opinion of PricewaterhouseCoopers LLP or any other independent certified public accountant of nationally recognized standing, which report and opinion shall be prepared in accordance with generally accepted auditing standards and shall not be subject to any “going concern” qualification, “going concern” exception or “going concern” explanatory paragraph (other than a “going concern” qualification, exception or explanatory paragraph resulting solely from an upcoming maturity date under any Indebtedness occurring within one year from the time such opinion is delivered) or any qualification or exception paragraph as to the scope of such audit;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w:t>
      </w:r>
      <w:r>
        <w:rPr>
          <w:rFonts w:ascii="Times New Roman" w:cs="Times New Roman" w:eastAsia="Times New Roman" w:hAnsi="Times New Roman"/>
          <w:sz w:val="21"/>
          <w:szCs w:val="21"/>
          <w:b w:val="1"/>
          <w:bCs w:val="1"/>
          <w:color w:val="0000FF"/>
        </w:rPr>
        <w:t>if the assets, liabilities, income, results 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0000FF"/>
        </w:rPr>
        <w:t>operations, cash flow, or any other information of or with respect to any Unrestricted Subsidiary is included in any of the foregoing financial statements,</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the foregoing financial statements are accompanied by a reconciliation that explains or otherwise</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shows in reasonable detail the differences between the information relating to the Borrower and its Subsidiaries, on the one hand, and the information relating to the Borrower and its Restricted Subsidiaries on a standalone basis, on the other hand;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4747895</wp:posOffset>
            </wp:positionH>
            <wp:positionV relativeFrom="paragraph">
              <wp:posOffset>-566420</wp:posOffset>
            </wp:positionV>
            <wp:extent cx="238696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6">
                      <a:extLst>
                        <a:ext uri="{28A0092B-C50C-407E-A947-70E740481C1C}"/>
                      </a:extLst>
                    </a:blip>
                    <a:srcRect/>
                    <a:stretch>
                      <a:fillRect/>
                    </a:stretch>
                  </pic:blipFill>
                  <pic:spPr bwMode="auto">
                    <a:xfrm>
                      <a:off x="0" y="0"/>
                      <a:ext cx="2386965" cy="8255"/>
                    </a:xfrm>
                    <a:prstGeom prst="rect">
                      <a:avLst/>
                    </a:prstGeom>
                    <a:noFill/>
                  </pic:spPr>
                </pic:pic>
              </a:graphicData>
            </a:graphic>
          </wp:anchor>
        </w:drawing>
      </w:r>
    </w:p>
    <w:p>
      <w:pPr>
        <w:spacing w:after="0" w:line="133" w:lineRule="exact"/>
        <w:rPr>
          <w:sz w:val="20"/>
          <w:szCs w:val="20"/>
          <w:color w:val="auto"/>
        </w:rPr>
      </w:pPr>
    </w:p>
    <w:p>
      <w:pPr>
        <w:jc w:val="both"/>
        <w:ind w:firstLine="1278"/>
        <w:spacing w:after="0" w:line="214" w:lineRule="auto"/>
        <w:tabs>
          <w:tab w:leader="none" w:pos="1903" w:val="left"/>
        </w:tabs>
        <w:numPr>
          <w:ilvl w:val="0"/>
          <w:numId w:val="2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connection with each of the first three fiscal quarters of each Fiscal Year of the Borrower (commencing with the fiscal quarter ending March 31, 2022), within 45 days after the end of each such fiscal quarter, a consolidated balance sheet of the Borrower and its Subsidiaries as at the end of such fiscal quarter, the related consolidated statements of income or operations for such fiscal quarter and for the portion of the Borrower’s Fiscal Year then ended, and the related consolidated statements of changes in Shareholders’ Equity, and cash flows for the portion of the Borrower’s Fiscal Year then ended, in each case setting forth in comparative form, as applicable, the figures for the corresponding fiscal quarter of the previous Fiscal Year and the corresponding portion of the previous Fiscal Year, all in reasonable detail, certified by the chief executive officer, chief financial officer, chief accounting officer, treasurer or controller of the Borrower as fairly presenting, in all material respects, the financial condition, results of operations, Shareholders’ Equity and cash flows of the Borrower and its Subsidiaries in accordance with GAAP, subject only to normal year-end audit adjustments and the absence of footnotes;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w:t>
      </w:r>
      <w:r>
        <w:rPr>
          <w:rFonts w:ascii="Times New Roman" w:cs="Times New Roman" w:eastAsia="Times New Roman" w:hAnsi="Times New Roman"/>
          <w:sz w:val="21"/>
          <w:szCs w:val="21"/>
          <w:b w:val="1"/>
          <w:bCs w:val="1"/>
          <w:color w:val="0000FF"/>
        </w:rPr>
        <w:t>if the assets, liabilities,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0000FF"/>
        </w:rPr>
        <w:t>income, results of operations, cash flow, or any other information of or with respect to any Unrestricted Subsidiary is included in any of the foregoing financial statements,</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the foregoing financial statements are accompanied by a reconciliation that</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explains or otherwise shows in reasonable detail the differences between the information relating to the Borrower and its Subsidiaries, on the one hand, and the information relating to the Borrower and its Restricted Subsidiaries on a standalone basis, on the other hand (the “</w:t>
      </w:r>
      <w:r>
        <w:rPr>
          <w:rFonts w:ascii="Times New Roman" w:cs="Times New Roman" w:eastAsia="Times New Roman" w:hAnsi="Times New Roman"/>
          <w:sz w:val="21"/>
          <w:szCs w:val="21"/>
          <w:b w:val="1"/>
          <w:bCs w:val="1"/>
          <w:color w:val="000000"/>
        </w:rPr>
        <w:t>Quarterly Financial Statements</w:t>
      </w:r>
      <w:r>
        <w:rPr>
          <w:rFonts w:ascii="Times New Roman" w:cs="Times New Roman" w:eastAsia="Times New Roman" w:hAnsi="Times New Roman"/>
          <w:sz w:val="21"/>
          <w:szCs w:val="21"/>
          <w:color w:val="000000"/>
        </w:rPr>
        <w:t>”); and</w:t>
      </w:r>
    </w:p>
    <w:p>
      <w:pPr>
        <w:spacing w:after="0" w:line="162" w:lineRule="exact"/>
        <w:rPr>
          <w:rFonts w:ascii="Times New Roman" w:cs="Times New Roman" w:eastAsia="Times New Roman" w:hAnsi="Times New Roman"/>
          <w:sz w:val="21"/>
          <w:szCs w:val="21"/>
          <w:color w:val="auto"/>
        </w:rPr>
      </w:pPr>
    </w:p>
    <w:p>
      <w:pPr>
        <w:jc w:val="both"/>
        <w:ind w:firstLine="1278"/>
        <w:spacing w:after="0" w:line="223" w:lineRule="auto"/>
        <w:tabs>
          <w:tab w:leader="none" w:pos="1905" w:val="left"/>
        </w:tabs>
        <w:numPr>
          <w:ilvl w:val="0"/>
          <w:numId w:val="2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 later than 60 days after the end of each Fiscal Year of the Borrower (commencing with the Fiscal Year ending September 30, 2022), an annual budget of the Borrower and its Restricted Subsidiaries on a consolidated basis consisting of consolidated balance sheets and statements of income or operations and cash flows of the Borrower and its Restricted Subsidiaries on a quarterly basis for the then-current Fiscal Year (including the Fiscal Year in which the Latest Maturity Date occurs, if such Fiscal Year is the then-current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5744210</wp:posOffset>
            </wp:positionH>
            <wp:positionV relativeFrom="paragraph">
              <wp:posOffset>-1510665</wp:posOffset>
            </wp:positionV>
            <wp:extent cx="13919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7">
                      <a:extLst>
                        <a:ext uri="{28A0092B-C50C-407E-A947-70E740481C1C}"/>
                      </a:extLst>
                    </a:blip>
                    <a:srcRect/>
                    <a:stretch>
                      <a:fillRect/>
                    </a:stretch>
                  </pic:blipFill>
                  <pic:spPr bwMode="auto">
                    <a:xfrm>
                      <a:off x="0" y="0"/>
                      <a:ext cx="1391920" cy="8255"/>
                    </a:xfrm>
                    <a:prstGeom prst="rect">
                      <a:avLst/>
                    </a:prstGeom>
                    <a:noFill/>
                  </pic:spPr>
                </pic:pic>
              </a:graphicData>
            </a:graphic>
          </wp:anchor>
        </w:drawing>
      </w:r>
    </w:p>
    <w:p>
      <w:pPr>
        <w:spacing w:after="0" w:line="15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21"/>
          <w:szCs w:val="21"/>
          <w:color w:val="auto"/>
        </w:rPr>
        <w:t xml:space="preserve">As to any information contained in materials furnished pursuant to </w:t>
      </w:r>
      <w:r>
        <w:rPr>
          <w:rFonts w:ascii="Times New Roman" w:cs="Times New Roman" w:eastAsia="Times New Roman" w:hAnsi="Times New Roman"/>
          <w:sz w:val="21"/>
          <w:szCs w:val="21"/>
          <w:u w:val="single" w:color="auto"/>
          <w:color w:val="auto"/>
        </w:rPr>
        <w:t>Section 6.02(c)</w:t>
      </w:r>
      <w:r>
        <w:rPr>
          <w:rFonts w:ascii="Times New Roman" w:cs="Times New Roman" w:eastAsia="Times New Roman" w:hAnsi="Times New Roman"/>
          <w:sz w:val="21"/>
          <w:szCs w:val="21"/>
          <w:color w:val="auto"/>
        </w:rPr>
        <w:t xml:space="preserve">, the Borrower shall not be required separately to furnish such information under </w:t>
      </w:r>
      <w:r>
        <w:rPr>
          <w:rFonts w:ascii="Times New Roman" w:cs="Times New Roman" w:eastAsia="Times New Roman" w:hAnsi="Times New Roman"/>
          <w:sz w:val="21"/>
          <w:szCs w:val="21"/>
          <w:u w:val="single" w:color="auto"/>
          <w:color w:val="auto"/>
        </w:rPr>
        <w:t>Section 6.01(a)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but the foregoing shall not be in derogation of the obligation of the Borrower to furnish the information and materials described in </w:t>
      </w:r>
      <w:r>
        <w:rPr>
          <w:rFonts w:ascii="Times New Roman" w:cs="Times New Roman" w:eastAsia="Times New Roman" w:hAnsi="Times New Roman"/>
          <w:sz w:val="21"/>
          <w:szCs w:val="21"/>
          <w:u w:val="single" w:color="auto"/>
          <w:color w:val="auto"/>
        </w:rPr>
        <w:t>Section 6.01(a)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at the times specified therein.</w:t>
      </w:r>
    </w:p>
    <w:p>
      <w:pPr>
        <w:spacing w:after="0" w:line="146"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6.02</w:t>
      </w:r>
      <w:r>
        <w:rPr>
          <w:sz w:val="20"/>
          <w:szCs w:val="20"/>
          <w:color w:val="auto"/>
        </w:rPr>
        <w:tab/>
      </w:r>
      <w:r>
        <w:rPr>
          <w:rFonts w:ascii="Times New Roman" w:cs="Times New Roman" w:eastAsia="Times New Roman" w:hAnsi="Times New Roman"/>
          <w:sz w:val="21"/>
          <w:szCs w:val="21"/>
          <w:i w:val="1"/>
          <w:iCs w:val="1"/>
          <w:color w:val="auto"/>
        </w:rPr>
        <w:t>Certificates; Other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124</w:t>
      </w:r>
    </w:p>
    <w:p>
      <w:pPr>
        <w:sectPr>
          <w:pgSz w:w="11900" w:h="16838" w:orient="portrait"/>
          <w:cols w:equalWidth="0" w:num="1">
            <w:col w:w="11240"/>
          </w:cols>
          <w:pgMar w:left="320" w:top="1371" w:right="339" w:bottom="1440" w:gutter="0" w:footer="0" w:header="0"/>
        </w:sectPr>
      </w:pPr>
    </w:p>
    <w:bookmarkStart w:id="230" w:name="page231"/>
    <w:bookmarkEnd w:id="230"/>
    <w:p>
      <w:pPr>
        <w:ind w:left="740" w:hanging="98"/>
        <w:spacing w:after="0"/>
        <w:tabs>
          <w:tab w:leader="none" w:pos="740" w:val="left"/>
        </w:tabs>
        <w:numPr>
          <w:ilvl w:val="0"/>
          <w:numId w:val="2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Deliver to the Administrative Agent, in form and detail reasonably satisfactory to the Administrative Agent:</w:t>
      </w:r>
    </w:p>
    <w:p>
      <w:pPr>
        <w:spacing w:after="0" w:line="195" w:lineRule="exact"/>
        <w:rPr>
          <w:rFonts w:ascii="Times New Roman" w:cs="Times New Roman" w:eastAsia="Times New Roman" w:hAnsi="Times New Roman"/>
          <w:sz w:val="21"/>
          <w:szCs w:val="21"/>
          <w:color w:val="auto"/>
        </w:rPr>
      </w:pPr>
    </w:p>
    <w:p>
      <w:pPr>
        <w:jc w:val="both"/>
        <w:ind w:firstLine="1278"/>
        <w:spacing w:after="0" w:line="232" w:lineRule="auto"/>
        <w:tabs>
          <w:tab w:leader="none" w:pos="1905" w:val="left"/>
        </w:tabs>
        <w:numPr>
          <w:ilvl w:val="1"/>
          <w:numId w:val="2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concurrently with the delivery of the financial statements referred to in </w:t>
      </w:r>
      <w:r>
        <w:rPr>
          <w:rFonts w:ascii="Times New Roman" w:cs="Times New Roman" w:eastAsia="Times New Roman" w:hAnsi="Times New Roman"/>
          <w:sz w:val="21"/>
          <w:szCs w:val="21"/>
          <w:u w:val="single" w:color="auto"/>
          <w:color w:val="auto"/>
        </w:rPr>
        <w:t>Sections 6.01(a)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a duly completed Compliance Certificate signed by the chief executive officer, chief financial officer, treasurer, controller or other officer of the Borrower;</w:t>
      </w:r>
    </w:p>
    <w:p>
      <w:pPr>
        <w:spacing w:after="0" w:line="147" w:lineRule="exact"/>
        <w:rPr>
          <w:rFonts w:ascii="Times New Roman" w:cs="Times New Roman" w:eastAsia="Times New Roman" w:hAnsi="Times New Roman"/>
          <w:sz w:val="21"/>
          <w:szCs w:val="21"/>
          <w:color w:val="auto"/>
        </w:rPr>
      </w:pPr>
    </w:p>
    <w:p>
      <w:pPr>
        <w:jc w:val="both"/>
        <w:ind w:firstLine="1278"/>
        <w:spacing w:after="0" w:line="226" w:lineRule="auto"/>
        <w:tabs>
          <w:tab w:leader="none" w:pos="1903" w:val="left"/>
        </w:tabs>
        <w:numPr>
          <w:ilvl w:val="1"/>
          <w:numId w:val="2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promptly after any request by the Administrative Agent or the Required Lenders acting through the Administrative Agent, copies of any detailed audit reports, management letters or recommendations submitted to the board of directors (or the audit committee of the board of directors) of the Borrower by independent accountants in connection with the accounts or books of the Borrower or any Restricted Subsidiary, or any audit of any of them;</w:t>
      </w:r>
    </w:p>
    <w:p>
      <w:pPr>
        <w:spacing w:after="0" w:line="150" w:lineRule="exact"/>
        <w:rPr>
          <w:rFonts w:ascii="Times New Roman" w:cs="Times New Roman" w:eastAsia="Times New Roman" w:hAnsi="Times New Roman"/>
          <w:sz w:val="21"/>
          <w:szCs w:val="21"/>
          <w:color w:val="auto"/>
        </w:rPr>
      </w:pPr>
    </w:p>
    <w:p>
      <w:pPr>
        <w:jc w:val="both"/>
        <w:ind w:firstLine="1278"/>
        <w:spacing w:after="0" w:line="219" w:lineRule="auto"/>
        <w:tabs>
          <w:tab w:leader="none" w:pos="1905" w:val="left"/>
        </w:tabs>
        <w:numPr>
          <w:ilvl w:val="1"/>
          <w:numId w:val="2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promptly after the same are available, copies of each annual report, proxy or financial statement or other report or communication sent to the shareholders of the Borrower, and copies of all annual, regular, periodic and special reports and registration statements which the Borrower may file or be required to file with the SEC under Section 13 or 15(d) of the Securities Exchange Act of 1934, whether or not otherwise required to be delivered to the Administrative Agent pursuant hereto;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to the extent any such documents are filed with the SEC, such documents shall be deemed delivered pursuant to this </w:t>
      </w:r>
      <w:r>
        <w:rPr>
          <w:rFonts w:ascii="Times New Roman" w:cs="Times New Roman" w:eastAsia="Times New Roman" w:hAnsi="Times New Roman"/>
          <w:sz w:val="21"/>
          <w:szCs w:val="21"/>
          <w:u w:val="single" w:color="auto"/>
          <w:color w:val="auto"/>
        </w:rPr>
        <w:t>Section 6.02(c)</w:t>
      </w:r>
      <w:r>
        <w:rPr>
          <w:rFonts w:ascii="Times New Roman" w:cs="Times New Roman" w:eastAsia="Times New Roman" w:hAnsi="Times New Roman"/>
          <w:sz w:val="21"/>
          <w:szCs w:val="21"/>
          <w:color w:val="auto"/>
        </w:rPr>
        <w:t xml:space="preserve"> at the time of and so long as the Borrower notifies the Administrative Agent (by facsimile or electronic mail) of the filing with the SEC of any such documents; and</w:t>
      </w:r>
    </w:p>
    <w:p>
      <w:pPr>
        <w:spacing w:after="0" w:line="153" w:lineRule="exact"/>
        <w:rPr>
          <w:rFonts w:ascii="Times New Roman" w:cs="Times New Roman" w:eastAsia="Times New Roman" w:hAnsi="Times New Roman"/>
          <w:sz w:val="21"/>
          <w:szCs w:val="21"/>
          <w:color w:val="auto"/>
        </w:rPr>
      </w:pPr>
    </w:p>
    <w:p>
      <w:pPr>
        <w:jc w:val="both"/>
        <w:ind w:firstLine="1278"/>
        <w:spacing w:after="0" w:line="232" w:lineRule="auto"/>
        <w:tabs>
          <w:tab w:leader="none" w:pos="1903" w:val="left"/>
        </w:tabs>
        <w:numPr>
          <w:ilvl w:val="1"/>
          <w:numId w:val="2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promptly, such additional information regarding the business, financial or corporate affairs of the Borrower or any Restricted Subsidiary, or compliance with the terms of the Loan Documents, as the Administrative Agent or the Required Lenders, through the Administrative Agent, may from time to time reasonably request.</w:t>
      </w:r>
    </w:p>
    <w:p>
      <w:pPr>
        <w:spacing w:after="0" w:line="174"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21"/>
          <w:szCs w:val="21"/>
          <w:color w:val="auto"/>
        </w:rPr>
        <w:t xml:space="preserve">Documents required to be delivered pursuant to </w:t>
      </w:r>
      <w:r>
        <w:rPr>
          <w:rFonts w:ascii="Times New Roman" w:cs="Times New Roman" w:eastAsia="Times New Roman" w:hAnsi="Times New Roman"/>
          <w:sz w:val="21"/>
          <w:szCs w:val="21"/>
          <w:u w:val="single" w:color="auto"/>
          <w:color w:val="auto"/>
        </w:rPr>
        <w:t>Section 6.01(a)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6.02(c)</w:t>
      </w:r>
      <w:r>
        <w:rPr>
          <w:rFonts w:ascii="Times New Roman" w:cs="Times New Roman" w:eastAsia="Times New Roman" w:hAnsi="Times New Roman"/>
          <w:sz w:val="21"/>
          <w:szCs w:val="21"/>
          <w:color w:val="auto"/>
        </w:rPr>
        <w:t xml:space="preserve"> (to the extent any such documents are included in materials otherwise filed with the SEC) may be delivered electronically and if so delivered, shall be deemed to have been delivered on the date (1) on which the Borrower posts such documents, or provides a link thereto on the Borrower’s website, on the Internet at the website address listed on </w:t>
      </w:r>
      <w:r>
        <w:rPr>
          <w:rFonts w:ascii="Times New Roman" w:cs="Times New Roman" w:eastAsia="Times New Roman" w:hAnsi="Times New Roman"/>
          <w:sz w:val="21"/>
          <w:szCs w:val="21"/>
          <w:u w:val="single" w:color="auto"/>
          <w:color w:val="auto"/>
        </w:rPr>
        <w:t>Schedule 10.02</w:t>
      </w:r>
      <w:r>
        <w:rPr>
          <w:rFonts w:ascii="Times New Roman" w:cs="Times New Roman" w:eastAsia="Times New Roman" w:hAnsi="Times New Roman"/>
          <w:sz w:val="21"/>
          <w:szCs w:val="21"/>
          <w:color w:val="auto"/>
        </w:rPr>
        <w:t xml:space="preserve"> or (2) on which such documents are posted on the Borrower’s behalf on an Internet or intranet website, if any, to which each Lender and the Administrative Agent has access (whether a commercial, third-party website or whether sponsored by the Administrative Agent).</w:t>
      </w:r>
    </w:p>
    <w:p>
      <w:pPr>
        <w:spacing w:after="0" w:line="172" w:lineRule="exact"/>
        <w:rPr>
          <w:sz w:val="20"/>
          <w:szCs w:val="20"/>
          <w:color w:val="auto"/>
        </w:rPr>
      </w:pPr>
    </w:p>
    <w:p>
      <w:pPr>
        <w:jc w:val="both"/>
        <w:ind w:firstLine="636"/>
        <w:spacing w:after="0" w:line="258" w:lineRule="auto"/>
        <w:rPr>
          <w:sz w:val="20"/>
          <w:szCs w:val="20"/>
          <w:color w:val="auto"/>
        </w:rPr>
      </w:pPr>
      <w:r>
        <w:rPr>
          <w:rFonts w:ascii="Times New Roman" w:cs="Times New Roman" w:eastAsia="Times New Roman" w:hAnsi="Times New Roman"/>
          <w:sz w:val="21"/>
          <w:szCs w:val="21"/>
          <w:color w:val="auto"/>
        </w:rPr>
        <w:t>The Borrower hereby acknowledges that (a) the Administrative Agent and/or the Arrangers and the Co-Managers will make available to the Lenders and the L/C Issuers materials and/or information provided by or on behalf of the Borrower hereunder (collectively, “</w:t>
      </w:r>
      <w:r>
        <w:rPr>
          <w:rFonts w:ascii="Times New Roman" w:cs="Times New Roman" w:eastAsia="Times New Roman" w:hAnsi="Times New Roman"/>
          <w:sz w:val="21"/>
          <w:szCs w:val="21"/>
          <w:b w:val="1"/>
          <w:bCs w:val="1"/>
          <w:color w:val="auto"/>
        </w:rPr>
        <w:t>Borrower Materials</w:t>
      </w:r>
      <w:r>
        <w:rPr>
          <w:rFonts w:ascii="Times New Roman" w:cs="Times New Roman" w:eastAsia="Times New Roman" w:hAnsi="Times New Roman"/>
          <w:sz w:val="21"/>
          <w:szCs w:val="21"/>
          <w:color w:val="auto"/>
        </w:rPr>
        <w:t>”) by posting the Borrower Materials on IntraLinks, SyndTrak or another similar electronic system (the “</w:t>
      </w:r>
      <w:r>
        <w:rPr>
          <w:rFonts w:ascii="Times New Roman" w:cs="Times New Roman" w:eastAsia="Times New Roman" w:hAnsi="Times New Roman"/>
          <w:sz w:val="21"/>
          <w:szCs w:val="21"/>
          <w:b w:val="1"/>
          <w:bCs w:val="1"/>
          <w:color w:val="auto"/>
        </w:rPr>
        <w:t>Platform</w:t>
      </w:r>
      <w:r>
        <w:rPr>
          <w:rFonts w:ascii="Times New Roman" w:cs="Times New Roman" w:eastAsia="Times New Roman" w:hAnsi="Times New Roman"/>
          <w:sz w:val="21"/>
          <w:szCs w:val="21"/>
          <w:color w:val="auto"/>
        </w:rPr>
        <w:t>”) and (b) certain of the Lenders (each, a “</w:t>
      </w:r>
      <w:r>
        <w:rPr>
          <w:rFonts w:ascii="Times New Roman" w:cs="Times New Roman" w:eastAsia="Times New Roman" w:hAnsi="Times New Roman"/>
          <w:sz w:val="21"/>
          <w:szCs w:val="21"/>
          <w:b w:val="1"/>
          <w:bCs w:val="1"/>
          <w:color w:val="auto"/>
        </w:rPr>
        <w:t>Public Lender</w:t>
      </w:r>
      <w:r>
        <w:rPr>
          <w:rFonts w:ascii="Times New Roman" w:cs="Times New Roman" w:eastAsia="Times New Roman" w:hAnsi="Times New Roman"/>
          <w:sz w:val="21"/>
          <w:szCs w:val="21"/>
          <w:color w:val="auto"/>
        </w:rPr>
        <w:t>”) may have personnel who do not wish to receive material non-public information within the meaning of United States federal securities laws (“</w:t>
      </w:r>
      <w:r>
        <w:rPr>
          <w:rFonts w:ascii="Times New Roman" w:cs="Times New Roman" w:eastAsia="Times New Roman" w:hAnsi="Times New Roman"/>
          <w:sz w:val="21"/>
          <w:szCs w:val="21"/>
          <w:b w:val="1"/>
          <w:bCs w:val="1"/>
          <w:color w:val="auto"/>
        </w:rPr>
        <w:t>MNPI</w:t>
      </w:r>
      <w:r>
        <w:rPr>
          <w:rFonts w:ascii="Times New Roman" w:cs="Times New Roman" w:eastAsia="Times New Roman" w:hAnsi="Times New Roman"/>
          <w:sz w:val="21"/>
          <w:szCs w:val="21"/>
          <w:color w:val="auto"/>
        </w:rPr>
        <w:t>”) with respect to the Borrower or its Subsidiaries, or the respective securities of any of the foregoing, and who may be engaged in investment and other market-related activities with respect to such Persons’ securities. The Borrower hereby agrees that (w) all Borrower Materials that are to be made available to Public Lenders shall be clearly and conspicuously marked “PUBLIC” which, at a minimum, shall mean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125</w:t>
      </w:r>
    </w:p>
    <w:p>
      <w:pPr>
        <w:sectPr>
          <w:pgSz w:w="11900" w:h="16838" w:orient="portrait"/>
          <w:cols w:equalWidth="0" w:num="1">
            <w:col w:w="11240"/>
          </w:cols>
          <w:pgMar w:left="320" w:top="1398" w:right="339" w:bottom="1440" w:gutter="0" w:footer="0" w:header="0"/>
        </w:sectPr>
      </w:pPr>
    </w:p>
    <w:bookmarkStart w:id="231" w:name="page232"/>
    <w:bookmarkEnd w:id="231"/>
    <w:p>
      <w:pPr>
        <w:jc w:val="both"/>
        <w:spacing w:after="0" w:line="257" w:lineRule="auto"/>
        <w:rPr>
          <w:sz w:val="20"/>
          <w:szCs w:val="20"/>
          <w:color w:val="auto"/>
        </w:rPr>
      </w:pPr>
      <w:r>
        <w:rPr>
          <w:rFonts w:ascii="Times New Roman" w:cs="Times New Roman" w:eastAsia="Times New Roman" w:hAnsi="Times New Roman"/>
          <w:sz w:val="21"/>
          <w:szCs w:val="21"/>
          <w:color w:val="auto"/>
        </w:rPr>
        <w:t>that the word “PUBLIC” shall appear prominently on the first page thereof; (x) by marking Borrower Materials “PUBLIC,” the Borrower shall be deemed to have authorized the Administrative Agent, the Arrangers, the Co-Managers, the L/C Issuers and the Lenders to treat such Borrower Materials as not containing any MNPI with respect to the Borrower or its Subsidiaries, or their respective securities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to the extent such Borrower Materials constitute Information, they shall be treated as set forth in </w:t>
      </w:r>
      <w:r>
        <w:rPr>
          <w:rFonts w:ascii="Times New Roman" w:cs="Times New Roman" w:eastAsia="Times New Roman" w:hAnsi="Times New Roman"/>
          <w:sz w:val="21"/>
          <w:szCs w:val="21"/>
          <w:u w:val="single" w:color="auto"/>
          <w:color w:val="auto"/>
        </w:rPr>
        <w:t>Section 10.07</w:t>
      </w:r>
      <w:r>
        <w:rPr>
          <w:rFonts w:ascii="Times New Roman" w:cs="Times New Roman" w:eastAsia="Times New Roman" w:hAnsi="Times New Roman"/>
          <w:sz w:val="21"/>
          <w:szCs w:val="21"/>
          <w:color w:val="auto"/>
        </w:rPr>
        <w:t>); (y) all Borrower Materials marked “PUBLIC” are permitted to be made available through a portion of the Platform designated “Public Side Information” (and the Administrative Agent agrees that only Borrower Materials marked “PUBLIC” will be made available on such portion of the Platform); and (z) the Administrative Agent, the Co-Managers and the Arrangers shall be entitled to treat any Borrower Materials that are not marked “PUBLIC” as being suitable only for posting on a portion of the Platform that is not designated “Public Side Information.” Notwithstanding the foregoing, the Borrower shall be under no obligation to mark any Borrower materials “PUBLIC.”</w:t>
      </w:r>
    </w:p>
    <w:p>
      <w:pPr>
        <w:spacing w:after="0" w:line="142"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6.03</w:t>
      </w:r>
      <w:r>
        <w:rPr>
          <w:sz w:val="20"/>
          <w:szCs w:val="20"/>
          <w:color w:val="auto"/>
        </w:rPr>
        <w:tab/>
      </w:r>
      <w:r>
        <w:rPr>
          <w:rFonts w:ascii="Times New Roman" w:cs="Times New Roman" w:eastAsia="Times New Roman" w:hAnsi="Times New Roman"/>
          <w:sz w:val="20"/>
          <w:szCs w:val="20"/>
          <w:i w:val="1"/>
          <w:iCs w:val="1"/>
          <w:color w:val="auto"/>
        </w:rPr>
        <w:t>Notices</w:t>
      </w:r>
    </w:p>
    <w:p>
      <w:pPr>
        <w:spacing w:after="0" w:line="211" w:lineRule="exact"/>
        <w:rPr>
          <w:sz w:val="20"/>
          <w:szCs w:val="20"/>
          <w:color w:val="auto"/>
        </w:rPr>
      </w:pPr>
    </w:p>
    <w:p>
      <w:pPr>
        <w:ind w:left="740" w:hanging="98"/>
        <w:spacing w:after="0"/>
        <w:tabs>
          <w:tab w:leader="none" w:pos="740" w:val="left"/>
        </w:tabs>
        <w:numPr>
          <w:ilvl w:val="0"/>
          <w:numId w:val="2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Promptly notify the Administrative Agent when a Responsible Officer of the Borrower has knowledge:</w:t>
      </w:r>
    </w:p>
    <w:p>
      <w:pPr>
        <w:spacing w:after="0" w:line="195" w:lineRule="exact"/>
        <w:rPr>
          <w:rFonts w:ascii="Times New Roman" w:cs="Times New Roman" w:eastAsia="Times New Roman" w:hAnsi="Times New Roman"/>
          <w:sz w:val="21"/>
          <w:szCs w:val="21"/>
          <w:color w:val="auto"/>
        </w:rPr>
      </w:pPr>
    </w:p>
    <w:p>
      <w:pPr>
        <w:ind w:left="1920" w:hanging="642"/>
        <w:spacing w:after="0"/>
        <w:tabs>
          <w:tab w:leader="none" w:pos="1920" w:val="left"/>
        </w:tabs>
        <w:numPr>
          <w:ilvl w:val="1"/>
          <w:numId w:val="2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 the occurrence of any Default;</w:t>
      </w:r>
    </w:p>
    <w:p>
      <w:pPr>
        <w:spacing w:after="0" w:line="182" w:lineRule="exact"/>
        <w:rPr>
          <w:rFonts w:ascii="Times New Roman" w:cs="Times New Roman" w:eastAsia="Times New Roman" w:hAnsi="Times New Roman"/>
          <w:sz w:val="21"/>
          <w:szCs w:val="21"/>
          <w:color w:val="auto"/>
        </w:rPr>
      </w:pPr>
    </w:p>
    <w:p>
      <w:pPr>
        <w:jc w:val="both"/>
        <w:ind w:firstLine="1278"/>
        <w:spacing w:after="0" w:line="221" w:lineRule="auto"/>
        <w:tabs>
          <w:tab w:leader="none" w:pos="1903" w:val="left"/>
        </w:tabs>
        <w:numPr>
          <w:ilvl w:val="1"/>
          <w:numId w:val="2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 any matter that has resulted or would reasonably be expected to result in a Material Adverse Effect, including (i) breach or non-performance of, or any default under, a Contractual Obligation of the Borrower or any Restricted Subsidiary; (ii) any dispute, litigation, investigation, proceeding or suspension between the Borrower or any Restricted Subsidiary and any Governmental Authority, including in connection with any tax liabilities, assessments, governmental charges or levies upon it or its properties or assets; and (iii) the commencement of, or any material development in, any litigation or proceeding affecting the Borrower or any Restricted Subsidiary, including pursuant to any applicable Environmental Laws;</w:t>
      </w:r>
    </w:p>
    <w:p>
      <w:pPr>
        <w:spacing w:after="0" w:line="149" w:lineRule="exact"/>
        <w:rPr>
          <w:rFonts w:ascii="Times New Roman" w:cs="Times New Roman" w:eastAsia="Times New Roman" w:hAnsi="Times New Roman"/>
          <w:sz w:val="21"/>
          <w:szCs w:val="21"/>
          <w:color w:val="auto"/>
        </w:rPr>
      </w:pPr>
    </w:p>
    <w:p>
      <w:pPr>
        <w:ind w:firstLine="1278"/>
        <w:spacing w:after="0" w:line="245" w:lineRule="auto"/>
        <w:tabs>
          <w:tab w:leader="none" w:pos="1905" w:val="left"/>
        </w:tabs>
        <w:numPr>
          <w:ilvl w:val="1"/>
          <w:numId w:val="2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 the occurrence of any ERISA Event that, alone or together with any other ERISA Events that have occurred or are reasonably expected to occur, would reasonably be expected to result in a Material Adverse Effect; or</w:t>
      </w:r>
    </w:p>
    <w:p>
      <w:pPr>
        <w:spacing w:after="0" w:line="142" w:lineRule="exact"/>
        <w:rPr>
          <w:rFonts w:ascii="Times New Roman" w:cs="Times New Roman" w:eastAsia="Times New Roman" w:hAnsi="Times New Roman"/>
          <w:sz w:val="21"/>
          <w:szCs w:val="21"/>
          <w:color w:val="auto"/>
        </w:rPr>
      </w:pPr>
    </w:p>
    <w:p>
      <w:pPr>
        <w:ind w:firstLine="1278"/>
        <w:spacing w:after="0" w:line="245" w:lineRule="auto"/>
        <w:tabs>
          <w:tab w:leader="none" w:pos="1903" w:val="left"/>
        </w:tabs>
        <w:numPr>
          <w:ilvl w:val="1"/>
          <w:numId w:val="2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of the incurrence or issuance of any Indebtedness for which the Borrower is required to make a mandatory prepayment pursuant to </w:t>
      </w:r>
      <w:r>
        <w:rPr>
          <w:rFonts w:ascii="Times New Roman" w:cs="Times New Roman" w:eastAsia="Times New Roman" w:hAnsi="Times New Roman"/>
          <w:sz w:val="21"/>
          <w:szCs w:val="21"/>
          <w:u w:val="single" w:color="auto"/>
          <w:color w:val="auto"/>
        </w:rPr>
        <w:t>Section 2.05(b)(i)</w:t>
      </w:r>
      <w:r>
        <w:rPr>
          <w:rFonts w:ascii="Times New Roman" w:cs="Times New Roman" w:eastAsia="Times New Roman" w:hAnsi="Times New Roman"/>
          <w:sz w:val="21"/>
          <w:szCs w:val="21"/>
          <w:color w:val="auto"/>
        </w:rPr>
        <w:t>.</w:t>
      </w:r>
    </w:p>
    <w:p>
      <w:pPr>
        <w:spacing w:after="0" w:line="169"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21"/>
          <w:szCs w:val="21"/>
          <w:color w:val="auto"/>
        </w:rPr>
        <w:t xml:space="preserve">Each notice pursuant to this </w:t>
      </w:r>
      <w:r>
        <w:rPr>
          <w:rFonts w:ascii="Times New Roman" w:cs="Times New Roman" w:eastAsia="Times New Roman" w:hAnsi="Times New Roman"/>
          <w:sz w:val="21"/>
          <w:szCs w:val="21"/>
          <w:u w:val="single" w:color="auto"/>
          <w:color w:val="auto"/>
        </w:rPr>
        <w:t>Section 6.03</w:t>
      </w:r>
      <w:r>
        <w:rPr>
          <w:rFonts w:ascii="Times New Roman" w:cs="Times New Roman" w:eastAsia="Times New Roman" w:hAnsi="Times New Roman"/>
          <w:sz w:val="21"/>
          <w:szCs w:val="21"/>
          <w:color w:val="auto"/>
        </w:rPr>
        <w:t xml:space="preserve"> shall be accompanied by a statement of a Responsible Officer of the Borrower setting forth details of the occurrence referred to therein and stating what action the Borrower has taken and proposes to take with respect thereto. Each notice pursuant to </w:t>
      </w:r>
      <w:r>
        <w:rPr>
          <w:rFonts w:ascii="Times New Roman" w:cs="Times New Roman" w:eastAsia="Times New Roman" w:hAnsi="Times New Roman"/>
          <w:sz w:val="21"/>
          <w:szCs w:val="21"/>
          <w:u w:val="single" w:color="auto"/>
          <w:color w:val="auto"/>
        </w:rPr>
        <w:t>Section 6.03(a)</w:t>
      </w:r>
      <w:r>
        <w:rPr>
          <w:rFonts w:ascii="Times New Roman" w:cs="Times New Roman" w:eastAsia="Times New Roman" w:hAnsi="Times New Roman"/>
          <w:sz w:val="21"/>
          <w:szCs w:val="21"/>
          <w:color w:val="auto"/>
        </w:rPr>
        <w:t xml:space="preserve"> shall describe with particularity any and all provisions of this Agreement and any other Loan Document, if any, that have been breached.</w:t>
      </w:r>
    </w:p>
    <w:p>
      <w:pPr>
        <w:spacing w:after="0" w:line="133"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6.04</w:t>
      </w:r>
      <w:r>
        <w:rPr>
          <w:sz w:val="20"/>
          <w:szCs w:val="20"/>
          <w:color w:val="auto"/>
        </w:rPr>
        <w:tab/>
      </w:r>
      <w:r>
        <w:rPr>
          <w:rFonts w:ascii="Times New Roman" w:cs="Times New Roman" w:eastAsia="Times New Roman" w:hAnsi="Times New Roman"/>
          <w:sz w:val="21"/>
          <w:szCs w:val="21"/>
          <w:i w:val="1"/>
          <w:iCs w:val="1"/>
          <w:color w:val="auto"/>
        </w:rPr>
        <w:t>Preservation of Existence, Etc.</w:t>
      </w:r>
    </w:p>
    <w:p>
      <w:pPr>
        <w:spacing w:after="0" w:line="211" w:lineRule="exact"/>
        <w:rPr>
          <w:sz w:val="20"/>
          <w:szCs w:val="20"/>
          <w:color w:val="auto"/>
        </w:rPr>
      </w:pPr>
    </w:p>
    <w:p>
      <w:pPr>
        <w:jc w:val="both"/>
        <w:ind w:firstLine="642"/>
        <w:spacing w:after="0" w:line="267" w:lineRule="auto"/>
        <w:tabs>
          <w:tab w:leader="none" w:pos="963" w:val="left"/>
        </w:tabs>
        <w:numPr>
          <w:ilvl w:val="0"/>
          <w:numId w:val="2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Preserve, renew and maintain in full force and effect its legal existence and good standing under the Laws of the jurisdiction of its organization except in a transaction permitted by </w:t>
      </w:r>
      <w:r>
        <w:rPr>
          <w:rFonts w:ascii="Times New Roman" w:cs="Times New Roman" w:eastAsia="Times New Roman" w:hAnsi="Times New Roman"/>
          <w:sz w:val="21"/>
          <w:szCs w:val="21"/>
          <w:u w:val="single" w:color="auto"/>
          <w:color w:val="auto"/>
        </w:rPr>
        <w:t>Section 7.04</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7.05</w:t>
      </w:r>
      <w:r>
        <w:rPr>
          <w:rFonts w:ascii="Times New Roman" w:cs="Times New Roman" w:eastAsia="Times New Roman" w:hAnsi="Times New Roman"/>
          <w:sz w:val="21"/>
          <w:szCs w:val="21"/>
          <w:color w:val="auto"/>
        </w:rPr>
        <w:t>; (b) maintain all rights, privileges, permits, and licenses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126</w:t>
      </w:r>
    </w:p>
    <w:p>
      <w:pPr>
        <w:sectPr>
          <w:pgSz w:w="11900" w:h="16838" w:orient="portrait"/>
          <w:cols w:equalWidth="0" w:num="1">
            <w:col w:w="11240"/>
          </w:cols>
          <w:pgMar w:left="320" w:top="1397" w:right="339" w:bottom="1440" w:gutter="0" w:footer="0" w:header="0"/>
        </w:sectPr>
      </w:pPr>
    </w:p>
    <w:bookmarkStart w:id="232" w:name="page233"/>
    <w:bookmarkEnd w:id="232"/>
    <w:p>
      <w:pPr>
        <w:jc w:val="both"/>
        <w:spacing w:after="0" w:line="257" w:lineRule="auto"/>
        <w:rPr>
          <w:sz w:val="20"/>
          <w:szCs w:val="20"/>
          <w:color w:val="auto"/>
        </w:rPr>
      </w:pPr>
      <w:r>
        <w:rPr>
          <w:rFonts w:ascii="Times New Roman" w:cs="Times New Roman" w:eastAsia="Times New Roman" w:hAnsi="Times New Roman"/>
          <w:sz w:val="21"/>
          <w:szCs w:val="21"/>
          <w:color w:val="auto"/>
        </w:rPr>
        <w:t>reasonably necessary in the normal conduct of its business, except to the extent that failure to do so could not reasonably be expected to have a Material Adverse Effect; (c) preserve, maintain, renew and keep in full force and effect all of its registered patents, trademarks, trade names, trade dress and service marks, the failure of which to so preserve, maintain, renew or keep in full force and effect could reasonably be expected to have a Material Adverse Effect; and (d) pay, discharge or otherwise satisfy as the same shall become due and payable all Federal, state and other Tax liabilities, assessments and governmental charges or levies upon it or its properties or assets, unless the same are being contested in good faith by appropriate proceedings diligently conducted and adequate reserves in accordance with GAAP are being maintained by the Borrower or such Restricted Subsidiary, except to the extent that failure to do so could not reasonably be expected to have a Material Adverse Effect.</w:t>
      </w:r>
    </w:p>
    <w:p>
      <w:pPr>
        <w:spacing w:after="0" w:line="155"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6.05</w:t>
      </w:r>
      <w:r>
        <w:rPr>
          <w:sz w:val="20"/>
          <w:szCs w:val="20"/>
          <w:color w:val="auto"/>
        </w:rPr>
        <w:tab/>
      </w:r>
      <w:r>
        <w:rPr>
          <w:rFonts w:ascii="Times New Roman" w:cs="Times New Roman" w:eastAsia="Times New Roman" w:hAnsi="Times New Roman"/>
          <w:sz w:val="21"/>
          <w:szCs w:val="21"/>
          <w:i w:val="1"/>
          <w:iCs w:val="1"/>
          <w:color w:val="auto"/>
        </w:rPr>
        <w:t>Maintenance of Properties</w:t>
      </w:r>
    </w:p>
    <w:p>
      <w:pPr>
        <w:spacing w:after="0" w:line="211" w:lineRule="exact"/>
        <w:rPr>
          <w:sz w:val="20"/>
          <w:szCs w:val="20"/>
          <w:color w:val="auto"/>
        </w:rPr>
      </w:pPr>
    </w:p>
    <w:p>
      <w:pPr>
        <w:jc w:val="both"/>
        <w:ind w:firstLine="642"/>
        <w:spacing w:after="0" w:line="261" w:lineRule="auto"/>
        <w:tabs>
          <w:tab w:leader="none" w:pos="765" w:val="left"/>
        </w:tabs>
        <w:numPr>
          <w:ilvl w:val="0"/>
          <w:numId w:val="2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Maintain, preserve and protect all of its properties and equipment necessary in the operation of its business in good working order and condition, ordinary wear and tear excepted, and (b) make all necessary repairs thereto and renewals and replacements thereof, in each case with respect to </w:t>
      </w:r>
      <w:r>
        <w:rPr>
          <w:rFonts w:ascii="Times New Roman" w:cs="Times New Roman" w:eastAsia="Times New Roman" w:hAnsi="Times New Roman"/>
          <w:sz w:val="21"/>
          <w:szCs w:val="21"/>
          <w:u w:val="single" w:color="auto"/>
          <w:color w:val="auto"/>
        </w:rPr>
        <w:t>clauses (a)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except where the failure to do so could not reasonably be expected to have a Material Adverse Effect.</w:t>
      </w:r>
    </w:p>
    <w:p>
      <w:pPr>
        <w:spacing w:after="0" w:line="140"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6.06</w:t>
      </w:r>
      <w:r>
        <w:rPr>
          <w:sz w:val="20"/>
          <w:szCs w:val="20"/>
          <w:color w:val="auto"/>
        </w:rPr>
        <w:tab/>
      </w:r>
      <w:r>
        <w:rPr>
          <w:rFonts w:ascii="Times New Roman" w:cs="Times New Roman" w:eastAsia="Times New Roman" w:hAnsi="Times New Roman"/>
          <w:sz w:val="21"/>
          <w:szCs w:val="21"/>
          <w:i w:val="1"/>
          <w:iCs w:val="1"/>
          <w:color w:val="auto"/>
        </w:rPr>
        <w:t>Maintenance of Insurance</w:t>
      </w:r>
    </w:p>
    <w:p>
      <w:pPr>
        <w:spacing w:after="0" w:line="211" w:lineRule="exact"/>
        <w:rPr>
          <w:sz w:val="20"/>
          <w:szCs w:val="20"/>
          <w:color w:val="auto"/>
        </w:rPr>
      </w:pPr>
    </w:p>
    <w:p>
      <w:pPr>
        <w:jc w:val="both"/>
        <w:ind w:firstLine="642"/>
        <w:spacing w:after="0" w:line="257" w:lineRule="auto"/>
        <w:tabs>
          <w:tab w:leader="none" w:pos="745" w:val="left"/>
        </w:tabs>
        <w:numPr>
          <w:ilvl w:val="0"/>
          <w:numId w:val="2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Maintain with financially sound and reputable insurance companies (that are not Affiliates of the Borrower) insurance with respect to its properties and business against loss or damage of the kinds customarily insured against by Persons engaged in the same or similar business, of such types and in such amounts as are customarily carried under similar circumstances by such other Persons, and providing for not less than 30 days’ prior notice to the Administrative Agent of termination, lapse or cancellation of such insurance, which insurance (except as to Excluded Subsidiaries and Immaterial Subsidiaries) shall name the Administrative Agent as loss payee (in the case of casualty insurance) or additional insured (in the case of liability insurance);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if any insurance proceeds are paid on account of a casualty to assets or properties of any Loan Party constituting Collateral and at such time no Event of Default shall have occurred and is continuing, then the Administrative Agent shall take such actions, including endorsement, to cause any such insurance proceeds to be promptly remitted to the Borrower to be used by the Borrower or such Loan Party in any manner not prohibited by this Agreement.</w:t>
      </w:r>
    </w:p>
    <w:p>
      <w:pPr>
        <w:spacing w:after="0" w:line="142"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6.07</w:t>
      </w:r>
      <w:r>
        <w:rPr>
          <w:sz w:val="20"/>
          <w:szCs w:val="20"/>
          <w:color w:val="auto"/>
        </w:rPr>
        <w:tab/>
      </w:r>
      <w:r>
        <w:rPr>
          <w:rFonts w:ascii="Times New Roman" w:cs="Times New Roman" w:eastAsia="Times New Roman" w:hAnsi="Times New Roman"/>
          <w:sz w:val="21"/>
          <w:szCs w:val="21"/>
          <w:i w:val="1"/>
          <w:iCs w:val="1"/>
          <w:color w:val="auto"/>
        </w:rPr>
        <w:t>Compliance with Laws</w:t>
      </w:r>
    </w:p>
    <w:p>
      <w:pPr>
        <w:spacing w:after="0" w:line="211" w:lineRule="exact"/>
        <w:rPr>
          <w:sz w:val="20"/>
          <w:szCs w:val="20"/>
          <w:color w:val="auto"/>
        </w:rPr>
      </w:pPr>
    </w:p>
    <w:p>
      <w:pPr>
        <w:jc w:val="both"/>
        <w:ind w:firstLine="642"/>
        <w:spacing w:after="0" w:line="262" w:lineRule="auto"/>
        <w:tabs>
          <w:tab w:leader="none" w:pos="742" w:val="left"/>
        </w:tabs>
        <w:numPr>
          <w:ilvl w:val="0"/>
          <w:numId w:val="2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Comply with the requirements of all Laws and all orders, writs, injunctions and decrees applicable to it or to its business or property, except in such instances in which (a) such requirement of Law or order, writ, injunction or decree is being contested in good faith by appropriate proceedings diligently conducted or (b) the failure to comply therewith could not reasonably be expected to have a Material Adverse Effect. Maintain in effect and enforce policies and procedures designed to ensure compliance in all material respects by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127</w:t>
      </w:r>
    </w:p>
    <w:p>
      <w:pPr>
        <w:sectPr>
          <w:pgSz w:w="11900" w:h="16838" w:orient="portrait"/>
          <w:cols w:equalWidth="0" w:num="1">
            <w:col w:w="11240"/>
          </w:cols>
          <w:pgMar w:left="320" w:top="1398" w:right="339" w:bottom="1440" w:gutter="0" w:footer="0" w:header="0"/>
        </w:sectPr>
      </w:pPr>
    </w:p>
    <w:bookmarkStart w:id="233" w:name="page234"/>
    <w:bookmarkEnd w:id="233"/>
    <w:p>
      <w:pPr>
        <w:spacing w:after="0" w:line="285" w:lineRule="auto"/>
        <w:rPr>
          <w:sz w:val="20"/>
          <w:szCs w:val="20"/>
          <w:color w:val="auto"/>
        </w:rPr>
      </w:pPr>
      <w:r>
        <w:rPr>
          <w:rFonts w:ascii="Times New Roman" w:cs="Times New Roman" w:eastAsia="Times New Roman" w:hAnsi="Times New Roman"/>
          <w:sz w:val="21"/>
          <w:szCs w:val="21"/>
          <w:color w:val="auto"/>
        </w:rPr>
        <w:t>and its Restricted Subsidiaries and their respective directors, officers, and employees with Anti-Corruption Laws and applicable Sanctions.</w:t>
      </w:r>
    </w:p>
    <w:p>
      <w:pPr>
        <w:spacing w:after="0" w:line="113"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6.08</w:t>
      </w:r>
      <w:r>
        <w:rPr>
          <w:sz w:val="20"/>
          <w:szCs w:val="20"/>
          <w:color w:val="auto"/>
        </w:rPr>
        <w:tab/>
      </w:r>
      <w:r>
        <w:rPr>
          <w:rFonts w:ascii="Times New Roman" w:cs="Times New Roman" w:eastAsia="Times New Roman" w:hAnsi="Times New Roman"/>
          <w:sz w:val="20"/>
          <w:szCs w:val="20"/>
          <w:i w:val="1"/>
          <w:iCs w:val="1"/>
          <w:color w:val="auto"/>
        </w:rPr>
        <w:t>Books and Records</w:t>
      </w:r>
    </w:p>
    <w:p>
      <w:pPr>
        <w:spacing w:after="0" w:line="211" w:lineRule="exact"/>
        <w:rPr>
          <w:sz w:val="20"/>
          <w:szCs w:val="20"/>
          <w:color w:val="auto"/>
        </w:rPr>
      </w:pPr>
    </w:p>
    <w:p>
      <w:pPr>
        <w:jc w:val="both"/>
        <w:ind w:firstLine="642"/>
        <w:spacing w:after="0" w:line="274" w:lineRule="auto"/>
        <w:tabs>
          <w:tab w:leader="none" w:pos="746" w:val="left"/>
        </w:tabs>
        <w:numPr>
          <w:ilvl w:val="0"/>
          <w:numId w:val="2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Maintain proper books of record and account, in which full, true and correct entries in conformity with GAAP consistently applied shall be made of all financial transactions, and, if and to the extent required by GAAP, matters involving the assets and business of the Borrower or such Restricted Subsidiary, as the case may be.</w:t>
      </w:r>
    </w:p>
    <w:p>
      <w:pPr>
        <w:spacing w:after="0" w:line="125"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6.09</w:t>
      </w:r>
      <w:r>
        <w:rPr>
          <w:sz w:val="20"/>
          <w:szCs w:val="20"/>
          <w:color w:val="auto"/>
        </w:rPr>
        <w:tab/>
      </w:r>
      <w:r>
        <w:rPr>
          <w:rFonts w:ascii="Times New Roman" w:cs="Times New Roman" w:eastAsia="Times New Roman" w:hAnsi="Times New Roman"/>
          <w:sz w:val="21"/>
          <w:szCs w:val="21"/>
          <w:i w:val="1"/>
          <w:iCs w:val="1"/>
          <w:color w:val="auto"/>
        </w:rPr>
        <w:t>Inspection Rights</w:t>
      </w:r>
    </w:p>
    <w:p>
      <w:pPr>
        <w:spacing w:after="0" w:line="211" w:lineRule="exact"/>
        <w:rPr>
          <w:sz w:val="20"/>
          <w:szCs w:val="20"/>
          <w:color w:val="auto"/>
        </w:rPr>
      </w:pPr>
    </w:p>
    <w:p>
      <w:pPr>
        <w:jc w:val="both"/>
        <w:ind w:firstLine="642"/>
        <w:spacing w:after="0" w:line="257" w:lineRule="auto"/>
        <w:tabs>
          <w:tab w:leader="none" w:pos="742" w:val="left"/>
        </w:tabs>
        <w:numPr>
          <w:ilvl w:val="0"/>
          <w:numId w:val="2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Permit representatives and independent contractors of the Administrative Agent to visit and inspect any of its properties, to examine its corporate, financial and operating records, and to make copies thereof or abstracts therefrom, and to discuss its affairs, finances and accounts with its directors, officers, and independent public accountants, at such reasonable times during normal business hours and as often as may be reasonably desired (but in no event more than one time per Fiscal Year of the Borrower and with the Borrower being required to pay all reasonable out-of-pocket expenses for one visit each Fiscal Year) by the Administrative Agent, upon reasonable advance notice to the Borrower;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when an Event of Default exists the Administrative Agent (or any of its respective representatives or independent contractors) may do any of the foregoing at the expense of the Borrower at any time during normal business hours and without advance notice, and without limitation as to frequency.</w:t>
      </w:r>
    </w:p>
    <w:p>
      <w:pPr>
        <w:spacing w:after="0" w:line="142"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6.10</w:t>
      </w:r>
      <w:r>
        <w:rPr>
          <w:sz w:val="20"/>
          <w:szCs w:val="20"/>
          <w:color w:val="auto"/>
        </w:rPr>
        <w:tab/>
      </w:r>
      <w:r>
        <w:rPr>
          <w:rFonts w:ascii="Times New Roman" w:cs="Times New Roman" w:eastAsia="Times New Roman" w:hAnsi="Times New Roman"/>
          <w:sz w:val="21"/>
          <w:szCs w:val="21"/>
          <w:i w:val="1"/>
          <w:iCs w:val="1"/>
          <w:color w:val="auto"/>
        </w:rPr>
        <w:t>Use of Proceeds</w:t>
      </w:r>
    </w:p>
    <w:p>
      <w:pPr>
        <w:spacing w:after="0" w:line="207" w:lineRule="exact"/>
        <w:rPr>
          <w:sz w:val="20"/>
          <w:szCs w:val="20"/>
          <w:color w:val="auto"/>
        </w:rPr>
      </w:pPr>
    </w:p>
    <w:p>
      <w:pPr>
        <w:jc w:val="both"/>
        <w:ind w:firstLine="642"/>
        <w:spacing w:after="0" w:line="260" w:lineRule="auto"/>
        <w:tabs>
          <w:tab w:leader="none" w:pos="742" w:val="left"/>
        </w:tabs>
        <w:numPr>
          <w:ilvl w:val="0"/>
          <w:numId w:val="2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Use the proceeds of the Credit Extensions (a) to pay any fees, costs and expenses related to the Transactions </w:t>
      </w:r>
      <w:r>
        <w:rPr>
          <w:rFonts w:ascii="Times New Roman" w:cs="Times New Roman" w:eastAsia="Times New Roman" w:hAnsi="Times New Roman"/>
          <w:sz w:val="21"/>
          <w:szCs w:val="21"/>
          <w:b w:val="1"/>
          <w:bCs w:val="1"/>
          <w:color w:val="0000FF"/>
        </w:rPr>
        <w:t>or the First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0000FF"/>
        </w:rPr>
        <w:t>Amendment and the transactions contemplated thereby</w:t>
      </w:r>
      <w:r>
        <w:rPr>
          <w:rFonts w:ascii="Times New Roman" w:cs="Times New Roman" w:eastAsia="Times New Roman" w:hAnsi="Times New Roman"/>
          <w:sz w:val="21"/>
          <w:szCs w:val="21"/>
          <w:color w:val="000000"/>
        </w:rPr>
        <w:t>, (b) for the Refinancing</w:t>
      </w:r>
      <w:r>
        <w:rPr>
          <w:rFonts w:ascii="Times New Roman" w:cs="Times New Roman" w:eastAsia="Times New Roman" w:hAnsi="Times New Roman"/>
          <w:sz w:val="21"/>
          <w:szCs w:val="21"/>
          <w:b w:val="1"/>
          <w:bCs w:val="1"/>
          <w:color w:val="0000FF"/>
        </w:rPr>
        <w:t xml:space="preserve"> and the refinancing of the Original </w:t>
      </w:r>
      <w:r>
        <w:rPr>
          <w:rFonts w:ascii="Times New Roman" w:cs="Times New Roman" w:eastAsia="Times New Roman" w:hAnsi="Times New Roman"/>
          <w:sz w:val="21"/>
          <w:szCs w:val="21"/>
          <w:b w:val="1"/>
          <w:bCs w:val="1"/>
          <w:u w:val="single" w:color="auto"/>
          <w:color w:val="0000FF"/>
        </w:rPr>
        <w:t>Revolving Credit Commitments,</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and (c) for working capital, acquisitions, Investments, inter-company transactions and for other</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general corporate purposes (including the payment of merger consideration as contemplated by the Transaction Agreement (the “</w:t>
      </w:r>
      <w:r>
        <w:rPr>
          <w:rFonts w:ascii="Times New Roman" w:cs="Times New Roman" w:eastAsia="Times New Roman" w:hAnsi="Times New Roman"/>
          <w:sz w:val="21"/>
          <w:szCs w:val="21"/>
          <w:b w:val="1"/>
          <w:bCs w:val="1"/>
          <w:color w:val="000000"/>
        </w:rPr>
        <w:t>Transaction Merger Consideration</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b w:val="1"/>
          <w:bCs w:val="1"/>
          <w:color w:val="0000FF"/>
        </w:rPr>
        <w:t>and repurchases of shares and repurchases and redemptions of debt</w:t>
      </w:r>
      <w:r>
        <w:rPr>
          <w:rFonts w:ascii="Times New Roman" w:cs="Times New Roman" w:eastAsia="Times New Roman" w:hAnsi="Times New Roman"/>
          <w:sz w:val="21"/>
          <w:szCs w:val="21"/>
          <w:color w:val="000000"/>
        </w:rPr>
        <w:t>) not in contravention of any Law or of any Loan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6424295</wp:posOffset>
            </wp:positionH>
            <wp:positionV relativeFrom="paragraph">
              <wp:posOffset>-849630</wp:posOffset>
            </wp:positionV>
            <wp:extent cx="70929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8">
                      <a:extLst>
                        <a:ext uri="{28A0092B-C50C-407E-A947-70E740481C1C}"/>
                      </a:extLst>
                    </a:blip>
                    <a:srcRect/>
                    <a:stretch>
                      <a:fillRect/>
                    </a:stretch>
                  </pic:blipFill>
                  <pic:spPr bwMode="auto">
                    <a:xfrm>
                      <a:off x="0" y="0"/>
                      <a:ext cx="709295" cy="8255"/>
                    </a:xfrm>
                    <a:prstGeom prst="rect">
                      <a:avLst/>
                    </a:prstGeom>
                    <a:noFill/>
                  </pic:spPr>
                </pic:pic>
              </a:graphicData>
            </a:graphic>
          </wp:anchor>
        </w:drawing>
        <w:drawing>
          <wp:anchor simplePos="0" relativeHeight="251657728" behindDoc="1" locked="0" layoutInCell="0" allowOverlap="1">
            <wp:simplePos x="0" y="0"/>
            <wp:positionH relativeFrom="column">
              <wp:posOffset>4856480</wp:posOffset>
            </wp:positionH>
            <wp:positionV relativeFrom="paragraph">
              <wp:posOffset>-681355</wp:posOffset>
            </wp:positionV>
            <wp:extent cx="227584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9">
                      <a:extLst>
                        <a:ext uri="{28A0092B-C50C-407E-A947-70E740481C1C}"/>
                      </a:extLst>
                    </a:blip>
                    <a:srcRect/>
                    <a:stretch>
                      <a:fillRect/>
                    </a:stretch>
                  </pic:blipFill>
                  <pic:spPr bwMode="auto">
                    <a:xfrm>
                      <a:off x="0" y="0"/>
                      <a:ext cx="2275840" cy="8255"/>
                    </a:xfrm>
                    <a:prstGeom prst="rect">
                      <a:avLst/>
                    </a:prstGeom>
                    <a:noFill/>
                  </pic:spPr>
                </pic:pic>
              </a:graphicData>
            </a:graphic>
          </wp:anchor>
        </w:drawing>
        <w:drawing>
          <wp:anchor simplePos="0" relativeHeight="251657728" behindDoc="1" locked="0" layoutInCell="0" allowOverlap="1">
            <wp:simplePos x="0" y="0"/>
            <wp:positionH relativeFrom="column">
              <wp:posOffset>2261870</wp:posOffset>
            </wp:positionH>
            <wp:positionV relativeFrom="paragraph">
              <wp:posOffset>-201930</wp:posOffset>
            </wp:positionV>
            <wp:extent cx="438975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0">
                      <a:extLst>
                        <a:ext uri="{28A0092B-C50C-407E-A947-70E740481C1C}"/>
                      </a:extLst>
                    </a:blip>
                    <a:srcRect/>
                    <a:stretch>
                      <a:fillRect/>
                    </a:stretch>
                  </pic:blipFill>
                  <pic:spPr bwMode="auto">
                    <a:xfrm>
                      <a:off x="0" y="0"/>
                      <a:ext cx="4389755" cy="8255"/>
                    </a:xfrm>
                    <a:prstGeom prst="rect">
                      <a:avLst/>
                    </a:prstGeom>
                    <a:noFill/>
                  </pic:spPr>
                </pic:pic>
              </a:graphicData>
            </a:graphic>
          </wp:anchor>
        </w:drawing>
      </w:r>
    </w:p>
    <w:p>
      <w:pPr>
        <w:spacing w:after="0" w:line="135" w:lineRule="exact"/>
        <w:rPr>
          <w:sz w:val="20"/>
          <w:szCs w:val="20"/>
          <w:color w:val="auto"/>
        </w:rPr>
      </w:pPr>
    </w:p>
    <w:p>
      <w:pPr>
        <w:ind w:left="640"/>
        <w:spacing w:after="0"/>
        <w:tabs>
          <w:tab w:leader="none" w:pos="1880" w:val="left"/>
        </w:tabs>
        <w:rPr>
          <w:sz w:val="20"/>
          <w:szCs w:val="20"/>
          <w:color w:val="auto"/>
        </w:rPr>
      </w:pPr>
      <w:r>
        <w:rPr>
          <w:rFonts w:ascii="Times New Roman" w:cs="Times New Roman" w:eastAsia="Times New Roman" w:hAnsi="Times New Roman"/>
          <w:sz w:val="21"/>
          <w:szCs w:val="21"/>
          <w:color w:val="auto"/>
        </w:rPr>
        <w:t>Section 6.11</w:t>
      </w:r>
      <w:r>
        <w:rPr>
          <w:sz w:val="20"/>
          <w:szCs w:val="20"/>
          <w:color w:val="auto"/>
        </w:rPr>
        <w:tab/>
      </w:r>
      <w:r>
        <w:rPr>
          <w:rFonts w:ascii="Times New Roman" w:cs="Times New Roman" w:eastAsia="Times New Roman" w:hAnsi="Times New Roman"/>
          <w:sz w:val="21"/>
          <w:szCs w:val="21"/>
          <w:i w:val="1"/>
          <w:iCs w:val="1"/>
          <w:color w:val="auto"/>
        </w:rPr>
        <w:t>Covenant to Guarantee Obligations and Give Security</w:t>
      </w:r>
    </w:p>
    <w:p>
      <w:pPr>
        <w:spacing w:after="0" w:line="211" w:lineRule="exact"/>
        <w:rPr>
          <w:sz w:val="20"/>
          <w:szCs w:val="20"/>
          <w:color w:val="auto"/>
        </w:rPr>
      </w:pPr>
    </w:p>
    <w:p>
      <w:pPr>
        <w:jc w:val="both"/>
        <w:ind w:firstLine="642"/>
        <w:spacing w:after="0" w:line="267" w:lineRule="auto"/>
        <w:tabs>
          <w:tab w:leader="none" w:pos="755" w:val="left"/>
        </w:tabs>
        <w:numPr>
          <w:ilvl w:val="0"/>
          <w:numId w:val="2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the formation or acquisition by any Loan Party of any new direct or indirect Subsidiary (other than any Excluded Subsidiary or any Immaterial Subsidiary), or upon a Subsidiary of any Loan Party ceasing to be an Excluded Subsidiary or ceasing to be an Immaterial Subsidiary, as applicable, the Borrower shall, at the Borrower’s expense:</w:t>
      </w:r>
    </w:p>
    <w:p>
      <w:pPr>
        <w:spacing w:after="0" w:line="134" w:lineRule="exact"/>
        <w:rPr>
          <w:rFonts w:ascii="Times New Roman" w:cs="Times New Roman" w:eastAsia="Times New Roman" w:hAnsi="Times New Roman"/>
          <w:sz w:val="21"/>
          <w:szCs w:val="21"/>
          <w:color w:val="auto"/>
        </w:rPr>
      </w:pPr>
    </w:p>
    <w:p>
      <w:pPr>
        <w:jc w:val="both"/>
        <w:ind w:left="640" w:firstLine="1274"/>
        <w:spacing w:after="0" w:line="223" w:lineRule="auto"/>
        <w:tabs>
          <w:tab w:leader="none" w:pos="2536" w:val="left"/>
        </w:tabs>
        <w:numPr>
          <w:ilvl w:val="1"/>
          <w:numId w:val="2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within 30 days (as such time may be extended by the Administrative Agent in its reasonable discretion) following the creation or acquisition of such Subsidiary or following such Subsidiary ceasing to be an Excluded Subsidiary or ceasing to be an Immaterial Subsidiary, as applicable, cause such Subsidiary to (a) become a Guarantor and provide the Administrative Agent, for the benefit of the Secured Parties, a Lien on its assets (other than Excluded Assets) to secure the Obligations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128</w:t>
      </w:r>
    </w:p>
    <w:p>
      <w:pPr>
        <w:sectPr>
          <w:pgSz w:w="11900" w:h="16838" w:orient="portrait"/>
          <w:cols w:equalWidth="0" w:num="1">
            <w:col w:w="11240"/>
          </w:cols>
          <w:pgMar w:left="320" w:top="1397" w:right="339" w:bottom="1440" w:gutter="0" w:footer="0" w:header="0"/>
        </w:sectPr>
      </w:pPr>
    </w:p>
    <w:bookmarkStart w:id="234" w:name="page235"/>
    <w:bookmarkEnd w:id="234"/>
    <w:p>
      <w:pPr>
        <w:jc w:val="both"/>
        <w:ind w:left="640"/>
        <w:spacing w:after="0" w:line="221" w:lineRule="auto"/>
        <w:rPr>
          <w:sz w:val="20"/>
          <w:szCs w:val="20"/>
          <w:color w:val="auto"/>
        </w:rPr>
      </w:pPr>
      <w:r>
        <w:rPr>
          <w:rFonts w:ascii="Times New Roman" w:cs="Times New Roman" w:eastAsia="Times New Roman" w:hAnsi="Times New Roman"/>
          <w:sz w:val="21"/>
          <w:szCs w:val="21"/>
          <w:color w:val="auto"/>
        </w:rPr>
        <w:t xml:space="preserve">executing and delivering to the Administrative Agent a joinder to the Collateral Agreement or such other document as the Administrative Agent shall deem appropriate for such purpose and (b) deliver to the Administrative Agent such other customary documentation reasonably requested by the Administrative Agent including, without limitation, favorable opinions of counsel to such Person (which shall cover, among other things, the legality, validity, binding effect and enforceability of the documentation referred to in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all in form, content and scope reasonably satisfactory to the Administrative Agent;</w:t>
      </w:r>
    </w:p>
    <w:p>
      <w:pPr>
        <w:spacing w:after="0" w:line="150" w:lineRule="exact"/>
        <w:rPr>
          <w:sz w:val="20"/>
          <w:szCs w:val="20"/>
          <w:color w:val="auto"/>
        </w:rPr>
      </w:pPr>
    </w:p>
    <w:p>
      <w:pPr>
        <w:jc w:val="both"/>
        <w:ind w:left="640" w:firstLine="1274"/>
        <w:spacing w:after="0" w:line="221" w:lineRule="auto"/>
        <w:tabs>
          <w:tab w:leader="none" w:pos="2542" w:val="left"/>
        </w:tabs>
        <w:numPr>
          <w:ilvl w:val="1"/>
          <w:numId w:val="2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within 30 days after such formation or acquisition or after such Subsidiary ceases to be an Excluded Subsidiary or ceases to be an Immaterial Subsidiary, as applicable, cause each direct and indirect parent (to the extent such parent is a Loan Party) of such Subsidiary to pledge its interests in such Subsidiary to the Administrative Agent, for the benefit of the Secured Parties, to secure such parent’s Obligations (if it has not already done so) and deliver to the Administrative Agent all certificated Equity Interests of such Subsidiary (if any) together with transfer powers in respect thereof endorsed in blank, and cause such Subsidiary:</w:t>
      </w:r>
    </w:p>
    <w:p>
      <w:pPr>
        <w:spacing w:after="0" w:line="149" w:lineRule="exact"/>
        <w:rPr>
          <w:rFonts w:ascii="Times New Roman" w:cs="Times New Roman" w:eastAsia="Times New Roman" w:hAnsi="Times New Roman"/>
          <w:sz w:val="21"/>
          <w:szCs w:val="21"/>
          <w:color w:val="auto"/>
        </w:rPr>
      </w:pPr>
    </w:p>
    <w:p>
      <w:pPr>
        <w:jc w:val="both"/>
        <w:ind w:left="1280" w:firstLine="1143"/>
        <w:spacing w:after="0" w:line="226" w:lineRule="auto"/>
        <w:tabs>
          <w:tab w:leader="none" w:pos="3184" w:val="left"/>
        </w:tabs>
        <w:numPr>
          <w:ilvl w:val="2"/>
          <w:numId w:val="227"/>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to duly execute and deliver to the Administrative Agent, for the benefit of the Secured Parties, any additional collateral and security agreements or supplements thereto, as reasonably specified by and in form and substance reasonably satisfactory to the Administrative Agent to secure payment of all the Obligations of such Subsidiary and constituting Liens on the personal property (other than Excluded Assets) of such Subsidiary; and</w:t>
      </w:r>
    </w:p>
    <w:p>
      <w:pPr>
        <w:spacing w:after="0" w:line="150" w:lineRule="exact"/>
        <w:rPr>
          <w:rFonts w:ascii="Times New Roman" w:cs="Times New Roman" w:eastAsia="Times New Roman" w:hAnsi="Times New Roman"/>
          <w:sz w:val="19"/>
          <w:szCs w:val="19"/>
          <w:color w:val="auto"/>
        </w:rPr>
      </w:pPr>
    </w:p>
    <w:p>
      <w:pPr>
        <w:jc w:val="both"/>
        <w:ind w:left="1280" w:firstLine="1143"/>
        <w:spacing w:after="0" w:line="223" w:lineRule="auto"/>
        <w:tabs>
          <w:tab w:leader="none" w:pos="3187" w:val="left"/>
        </w:tabs>
        <w:numPr>
          <w:ilvl w:val="2"/>
          <w:numId w:val="227"/>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 xml:space="preserve">to take whatever action (including the filing of UCC financing statements) may be necessary or advisable in the reasonable opinion of the Administrative Agent to vest in the Administrative Agent (or in any representative of the Administrative Agent designated by it) valid and subsisting first priority perfected Liens on Collateral purported to be subject to the Collateral Agreement and other agreements delivered pursuant to this </w:t>
      </w:r>
      <w:r>
        <w:rPr>
          <w:rFonts w:ascii="Times New Roman" w:cs="Times New Roman" w:eastAsia="Times New Roman" w:hAnsi="Times New Roman"/>
          <w:sz w:val="21"/>
          <w:szCs w:val="21"/>
          <w:u w:val="single" w:color="auto"/>
          <w:color w:val="auto"/>
        </w:rPr>
        <w:t>Section 6.11</w:t>
      </w:r>
      <w:r>
        <w:rPr>
          <w:rFonts w:ascii="Times New Roman" w:cs="Times New Roman" w:eastAsia="Times New Roman" w:hAnsi="Times New Roman"/>
          <w:sz w:val="21"/>
          <w:szCs w:val="21"/>
          <w:color w:val="auto"/>
        </w:rPr>
        <w:t>, subject to Permitted Prior Liens; and</w:t>
      </w:r>
    </w:p>
    <w:p>
      <w:pPr>
        <w:spacing w:after="0" w:line="150" w:lineRule="exact"/>
        <w:rPr>
          <w:rFonts w:ascii="Times New Roman" w:cs="Times New Roman" w:eastAsia="Times New Roman" w:hAnsi="Times New Roman"/>
          <w:sz w:val="19"/>
          <w:szCs w:val="19"/>
          <w:color w:val="auto"/>
        </w:rPr>
      </w:pPr>
    </w:p>
    <w:p>
      <w:pPr>
        <w:jc w:val="both"/>
        <w:ind w:left="640" w:firstLine="1274"/>
        <w:spacing w:after="0" w:line="223" w:lineRule="auto"/>
        <w:tabs>
          <w:tab w:leader="none" w:pos="2548" w:val="left"/>
        </w:tabs>
        <w:numPr>
          <w:ilvl w:val="1"/>
          <w:numId w:val="2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within 30 days after such formation or acquisition or after such Subsidiary ceases to be an Excluded Subsidiary or ceases to be an Immaterial Subsidiary, as applicable, deliver to the Administrative Agent, upon the request of the Administrative Agent, a signed copy of a favorable opinion, addressed to the Administrative Agent and the other Secured Parties, of counsel for the Loan Parties reasonably acceptable to the Administrative Agent as to the matters contained in </w:t>
      </w:r>
      <w:r>
        <w:rPr>
          <w:rFonts w:ascii="Times New Roman" w:cs="Times New Roman" w:eastAsia="Times New Roman" w:hAnsi="Times New Roman"/>
          <w:sz w:val="21"/>
          <w:szCs w:val="21"/>
          <w:u w:val="single" w:color="auto"/>
          <w:color w:val="auto"/>
        </w:rPr>
        <w:t>clauses (i)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(ii)</w:t>
      </w:r>
      <w:r>
        <w:rPr>
          <w:rFonts w:ascii="Times New Roman" w:cs="Times New Roman" w:eastAsia="Times New Roman" w:hAnsi="Times New Roman"/>
          <w:sz w:val="21"/>
          <w:szCs w:val="21"/>
          <w:color w:val="auto"/>
        </w:rPr>
        <w:t xml:space="preserve"> above, and as to such other matters as the Administrative Agent may reasonably request.</w:t>
      </w:r>
    </w:p>
    <w:p>
      <w:pPr>
        <w:spacing w:after="0" w:line="176" w:lineRule="exact"/>
        <w:rPr>
          <w:rFonts w:ascii="Times New Roman" w:cs="Times New Roman" w:eastAsia="Times New Roman" w:hAnsi="Times New Roman"/>
          <w:sz w:val="21"/>
          <w:szCs w:val="21"/>
          <w:color w:val="auto"/>
        </w:rPr>
      </w:pPr>
    </w:p>
    <w:p>
      <w:pPr>
        <w:jc w:val="both"/>
        <w:ind w:firstLine="6"/>
        <w:spacing w:after="0" w:line="262" w:lineRule="auto"/>
        <w:tabs>
          <w:tab w:leader="none" w:pos="624" w:val="left"/>
        </w:tabs>
        <w:numPr>
          <w:ilvl w:val="0"/>
          <w:numId w:val="2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 of the foregoing to the contrary or </w:t>
      </w:r>
      <w:r>
        <w:rPr>
          <w:rFonts w:ascii="Times New Roman" w:cs="Times New Roman" w:eastAsia="Times New Roman" w:hAnsi="Times New Roman"/>
          <w:sz w:val="21"/>
          <w:szCs w:val="21"/>
          <w:u w:val="single" w:color="auto"/>
          <w:color w:val="auto"/>
        </w:rPr>
        <w:t>Section 6.15</w:t>
      </w:r>
      <w:r>
        <w:rPr>
          <w:rFonts w:ascii="Times New Roman" w:cs="Times New Roman" w:eastAsia="Times New Roman" w:hAnsi="Times New Roman"/>
          <w:sz w:val="21"/>
          <w:szCs w:val="21"/>
          <w:color w:val="auto"/>
        </w:rPr>
        <w:t xml:space="preserve"> below, (i) the Collateral shall exclude Excluded Assets, and shall be subject to the limitations and exclusions set forth in the applicable Collateral Documents, and (ii) no Foreign Subsidiary shall be required to become a Guarantor or grant a Lien on any of its assets (other than a pledge of Equity Interests in any of its Subsidiaries pursuant to clause (ii) above to the extent otherwise required hereunder (provided, however, no legal opinions of foreign counsel shall be required)) to secure any of the Obligations.</w:t>
      </w:r>
    </w:p>
    <w:p>
      <w:pPr>
        <w:spacing w:after="0" w:line="137"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6.12</w:t>
      </w:r>
      <w:r>
        <w:rPr>
          <w:sz w:val="20"/>
          <w:szCs w:val="20"/>
          <w:color w:val="auto"/>
        </w:rPr>
        <w:tab/>
      </w:r>
      <w:r>
        <w:rPr>
          <w:rFonts w:ascii="Times New Roman" w:cs="Times New Roman" w:eastAsia="Times New Roman" w:hAnsi="Times New Roman"/>
          <w:sz w:val="21"/>
          <w:szCs w:val="21"/>
          <w:i w:val="1"/>
          <w:iCs w:val="1"/>
          <w:color w:val="auto"/>
        </w:rPr>
        <w:t>Compliance with Environmental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129</w:t>
      </w:r>
    </w:p>
    <w:p>
      <w:pPr>
        <w:sectPr>
          <w:pgSz w:w="11900" w:h="16838" w:orient="portrait"/>
          <w:cols w:equalWidth="0" w:num="1">
            <w:col w:w="11240"/>
          </w:cols>
          <w:pgMar w:left="320" w:top="1371" w:right="339" w:bottom="1440" w:gutter="0" w:footer="0" w:header="0"/>
        </w:sectPr>
      </w:pPr>
    </w:p>
    <w:bookmarkStart w:id="235" w:name="page236"/>
    <w:bookmarkEnd w:id="235"/>
    <w:p>
      <w:pPr>
        <w:jc w:val="both"/>
        <w:ind w:firstLine="642"/>
        <w:spacing w:after="0" w:line="257" w:lineRule="auto"/>
        <w:tabs>
          <w:tab w:leader="none" w:pos="742" w:val="left"/>
        </w:tabs>
        <w:numPr>
          <w:ilvl w:val="0"/>
          <w:numId w:val="2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Comply, and cause all lessees and other Persons operating or occupying its owned properties to comply, with all applicable Environmental Laws and Environmental Permits, except where the failure to so comply would not reasonably be likely to have a Material Adverse Effect; and, if ordered by a final decree to do so by a Governmental Authority or otherwise required in the reasonable opinion of the Borrower pursuant to any Environmental Law, conduct any investigation, study, sampling and testing, and undertake any cleanup, removal, remedial or other action reasonably necessary to address, and to be in material compliance with, such final decree or the material requirements of Environmental Laws;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neither the Borrower nor any of its Restricted Subsidiaries shall be required to undertake any such ordered or required cleanup, removal, remedial or other action to the extent that its obligation to do so is being contested in good faith and by proper proceedings and appropriate reserves are being maintained with respect to such circumstances in accordance with GAAP.</w:t>
      </w:r>
    </w:p>
    <w:p>
      <w:pPr>
        <w:spacing w:after="0" w:line="148"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6.13</w:t>
      </w:r>
      <w:r>
        <w:rPr>
          <w:sz w:val="20"/>
          <w:szCs w:val="20"/>
          <w:color w:val="auto"/>
        </w:rPr>
        <w:tab/>
      </w:r>
      <w:r>
        <w:rPr>
          <w:rFonts w:ascii="Times New Roman" w:cs="Times New Roman" w:eastAsia="Times New Roman" w:hAnsi="Times New Roman"/>
          <w:sz w:val="20"/>
          <w:szCs w:val="20"/>
          <w:i w:val="1"/>
          <w:iCs w:val="1"/>
          <w:color w:val="auto"/>
        </w:rPr>
        <w:t>Environmental Disclosure</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The Borrower will deliver to the Administrative Agent:</w:t>
      </w:r>
    </w:p>
    <w:p>
      <w:pPr>
        <w:spacing w:after="0" w:line="222" w:lineRule="exact"/>
        <w:rPr>
          <w:sz w:val="20"/>
          <w:szCs w:val="20"/>
          <w:color w:val="auto"/>
        </w:rPr>
      </w:pPr>
    </w:p>
    <w:p>
      <w:pPr>
        <w:jc w:val="both"/>
        <w:ind w:left="900" w:firstLine="801"/>
        <w:spacing w:after="0" w:line="262" w:lineRule="auto"/>
        <w:rPr>
          <w:sz w:val="20"/>
          <w:szCs w:val="20"/>
          <w:color w:val="auto"/>
        </w:rPr>
      </w:pPr>
      <w:r>
        <w:rPr>
          <w:rFonts w:ascii="Times New Roman" w:cs="Times New Roman" w:eastAsia="Times New Roman" w:hAnsi="Times New Roman"/>
          <w:sz w:val="19"/>
          <w:szCs w:val="19"/>
          <w:color w:val="auto"/>
        </w:rPr>
        <w:t>(a)</w:t>
      </w:r>
      <w:r>
        <w:rPr>
          <w:rFonts w:ascii="Times New Roman" w:cs="Times New Roman" w:eastAsia="Times New Roman" w:hAnsi="Times New Roman"/>
          <w:sz w:val="21"/>
          <w:szCs w:val="21"/>
          <w:color w:val="auto"/>
        </w:rPr>
        <w:t>as soon as practicable following receipt thereof, copies of all environmental audits, investigations, analyses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1"/>
          <w:szCs w:val="21"/>
          <w:color w:val="auto"/>
        </w:rPr>
        <w:t>and reports of any kind or character, whether prepared by personnel of the Borrower or any of its Restricted Subsidiaries or by independent consultants, Governmental Authorities or any other Persons, with respect to significant environmental matters at the Borrower’s or any other Loan Party’s real property or with respect to any Environmental Claims, in each case, that would reasonably be expected to have a Material Adverse Effect;</w:t>
      </w:r>
    </w:p>
    <w:p>
      <w:pPr>
        <w:spacing w:after="0" w:line="166" w:lineRule="exact"/>
        <w:rPr>
          <w:sz w:val="20"/>
          <w:szCs w:val="20"/>
          <w:color w:val="auto"/>
        </w:rPr>
      </w:pPr>
    </w:p>
    <w:p>
      <w:pPr>
        <w:jc w:val="both"/>
        <w:ind w:left="900" w:firstLine="797"/>
        <w:spacing w:after="0" w:line="257" w:lineRule="auto"/>
        <w:tabs>
          <w:tab w:leader="none" w:pos="2550" w:val="left"/>
        </w:tabs>
        <w:numPr>
          <w:ilvl w:val="0"/>
          <w:numId w:val="230"/>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promptly following the occurrence thereof, written notice describing in reasonable detail (A) any Release required to be reported by the Borrower or any of its Restricted Subsidiaries to any federal, state or local governmental or regulatory agency under any Environmental Laws that would reasonably be expected to have a Material Adverse Effect, (B) any remedial action taken by the Borrower or any of its Restricted Subsidiaries or any other Persons of which the Borrower or any of its Restricted Subsidiaries has knowledge in response to (1) any Hazardous Materials Activities, the existence of which has a reasonable possibility of resulting in one or more Environmental Claims that would reasonably be expected to have, individually or in the aggregate, a Material Adverse Effect or (2) any Environmental Claims that, individually or in the aggregate, would reasonably be expected to result in a Material Adverse Effect and (C) the Borrower’s discovery of any occurrence or condition arising under Environmental Law or relating to Hazardous Materials on any real property adjoining or in the vicinity of any facility that reasonably would be expected to have a Material Adverse Effect;</w:t>
      </w:r>
    </w:p>
    <w:p>
      <w:pPr>
        <w:spacing w:after="0" w:line="177" w:lineRule="exact"/>
        <w:rPr>
          <w:sz w:val="20"/>
          <w:szCs w:val="20"/>
          <w:color w:val="auto"/>
        </w:rPr>
      </w:pPr>
    </w:p>
    <w:p>
      <w:pPr>
        <w:jc w:val="both"/>
        <w:ind w:left="900" w:firstLine="801"/>
        <w:spacing w:after="0" w:line="266" w:lineRule="auto"/>
        <w:rPr>
          <w:sz w:val="20"/>
          <w:szCs w:val="20"/>
          <w:color w:val="auto"/>
        </w:rPr>
      </w:pPr>
      <w:r>
        <w:rPr>
          <w:rFonts w:ascii="Times New Roman" w:cs="Times New Roman" w:eastAsia="Times New Roman" w:hAnsi="Times New Roman"/>
          <w:sz w:val="19"/>
          <w:szCs w:val="19"/>
          <w:color w:val="auto"/>
        </w:rPr>
        <w:t>(c)</w:t>
      </w:r>
      <w:r>
        <w:rPr>
          <w:rFonts w:ascii="Times New Roman" w:cs="Times New Roman" w:eastAsia="Times New Roman" w:hAnsi="Times New Roman"/>
          <w:sz w:val="21"/>
          <w:szCs w:val="21"/>
          <w:color w:val="auto"/>
        </w:rPr>
        <w:t>as soon as practicable following the sending or receipt thereof by the Borrower or any of its Restricted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1"/>
          <w:szCs w:val="21"/>
          <w:color w:val="auto"/>
        </w:rPr>
        <w:t>Subsidiaries, a copy of any and all non-privileged written communications with respect to (A) any Environmental Claims that, individually or in the aggregate, would reasonably be expected to give rise to a Material Adverse Effect, (B) any Release required to be reported by the Borrower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130</w:t>
      </w:r>
    </w:p>
    <w:p>
      <w:pPr>
        <w:sectPr>
          <w:pgSz w:w="11900" w:h="16838" w:orient="portrait"/>
          <w:cols w:equalWidth="0" w:num="1">
            <w:col w:w="11240"/>
          </w:cols>
          <w:pgMar w:left="320" w:top="1397" w:right="339" w:bottom="1440" w:gutter="0" w:footer="0" w:header="0"/>
        </w:sectPr>
      </w:pPr>
    </w:p>
    <w:bookmarkStart w:id="236" w:name="page237"/>
    <w:bookmarkEnd w:id="236"/>
    <w:p>
      <w:pPr>
        <w:jc w:val="both"/>
        <w:ind w:left="900"/>
        <w:spacing w:after="0" w:line="262" w:lineRule="auto"/>
        <w:rPr>
          <w:sz w:val="20"/>
          <w:szCs w:val="20"/>
          <w:color w:val="auto"/>
        </w:rPr>
      </w:pPr>
      <w:r>
        <w:rPr>
          <w:rFonts w:ascii="Times New Roman" w:cs="Times New Roman" w:eastAsia="Times New Roman" w:hAnsi="Times New Roman"/>
          <w:sz w:val="21"/>
          <w:szCs w:val="21"/>
          <w:color w:val="auto"/>
        </w:rPr>
        <w:t>any of its Restricted Subsidiaries to any federal, state or local governmental or regulatory agency that would reasonably be expected to have a Material Adverse Effect, and (C) any request made to the Borrower or any of its Restricted Subsidiaries for information from any governmental agency that suggests such agency is investigating whether the Borrower or any of its Restricted Subsidiaries may be potentially responsible for any Hazardous Materials Activity which would reasonably be expected to have a Material Adverse Effect;</w:t>
      </w:r>
    </w:p>
    <w:p>
      <w:pPr>
        <w:spacing w:after="0" w:line="166" w:lineRule="exact"/>
        <w:rPr>
          <w:sz w:val="20"/>
          <w:szCs w:val="20"/>
          <w:color w:val="auto"/>
        </w:rPr>
      </w:pPr>
    </w:p>
    <w:p>
      <w:pPr>
        <w:jc w:val="both"/>
        <w:ind w:left="900" w:firstLine="797"/>
        <w:spacing w:after="0" w:line="258" w:lineRule="auto"/>
        <w:tabs>
          <w:tab w:leader="none" w:pos="2550" w:val="left"/>
        </w:tabs>
        <w:numPr>
          <w:ilvl w:val="0"/>
          <w:numId w:val="231"/>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prompt written notice describing in reasonable detail (A) any proposed acquisition of stock, assets, or property by the Borrower or any of its Restricted Subsidiaries that would reasonably be expected to expose the Borrower or any of its Restricted Subsidiaries to, or result in, Environmental Claims that would reasonably be expected to have, individually or in the aggregate, a Material Adverse Effect and (B) any proposed action to be taken by the Borrower or any of its Restricted Subsidiaries to modify current operations in a manner that could subject the Borrower or any of its Restricted Subsidiaries to any additional obligations or requirements under any Environmental Law that would reasonably be expected to have a Material Adverse Effect; and</w:t>
      </w:r>
    </w:p>
    <w:p>
      <w:pPr>
        <w:spacing w:after="0" w:line="184" w:lineRule="exact"/>
        <w:rPr>
          <w:sz w:val="20"/>
          <w:szCs w:val="20"/>
          <w:color w:val="auto"/>
        </w:rPr>
      </w:pPr>
    </w:p>
    <w:p>
      <w:pPr>
        <w:ind w:left="900" w:firstLine="801"/>
        <w:spacing w:after="0" w:line="285" w:lineRule="auto"/>
        <w:rPr>
          <w:sz w:val="20"/>
          <w:szCs w:val="20"/>
          <w:color w:val="auto"/>
        </w:rPr>
      </w:pPr>
      <w:r>
        <w:rPr>
          <w:rFonts w:ascii="Times New Roman" w:cs="Times New Roman" w:eastAsia="Times New Roman" w:hAnsi="Times New Roman"/>
          <w:sz w:val="19"/>
          <w:szCs w:val="19"/>
          <w:color w:val="auto"/>
        </w:rPr>
        <w:t>(e)</w:t>
      </w:r>
      <w:r>
        <w:rPr>
          <w:rFonts w:ascii="Times New Roman" w:cs="Times New Roman" w:eastAsia="Times New Roman" w:hAnsi="Times New Roman"/>
          <w:sz w:val="21"/>
          <w:szCs w:val="21"/>
          <w:color w:val="auto"/>
        </w:rPr>
        <w:t>with reasonable promptness, such other documents and information as from time to time may be reasonably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1"/>
          <w:szCs w:val="21"/>
          <w:color w:val="auto"/>
        </w:rPr>
        <w:t xml:space="preserve">requested by the Administrative Agent in relation to any matters disclosed pursuant to this </w:t>
      </w:r>
      <w:r>
        <w:rPr>
          <w:rFonts w:ascii="Times New Roman" w:cs="Times New Roman" w:eastAsia="Times New Roman" w:hAnsi="Times New Roman"/>
          <w:sz w:val="21"/>
          <w:szCs w:val="21"/>
          <w:u w:val="single" w:color="auto"/>
          <w:color w:val="auto"/>
        </w:rPr>
        <w:t>Section 6.13</w:t>
      </w:r>
      <w:r>
        <w:rPr>
          <w:rFonts w:ascii="Times New Roman" w:cs="Times New Roman" w:eastAsia="Times New Roman" w:hAnsi="Times New Roman"/>
          <w:sz w:val="21"/>
          <w:szCs w:val="21"/>
          <w:color w:val="auto"/>
        </w:rPr>
        <w:t>.</w:t>
      </w:r>
    </w:p>
    <w:p>
      <w:pPr>
        <w:spacing w:after="0" w:line="113"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6.14</w:t>
      </w:r>
      <w:r>
        <w:rPr>
          <w:sz w:val="20"/>
          <w:szCs w:val="20"/>
          <w:color w:val="auto"/>
        </w:rPr>
        <w:tab/>
      </w:r>
      <w:r>
        <w:rPr>
          <w:rFonts w:ascii="Times New Roman" w:cs="Times New Roman" w:eastAsia="Times New Roman" w:hAnsi="Times New Roman"/>
          <w:sz w:val="21"/>
          <w:szCs w:val="21"/>
          <w:i w:val="1"/>
          <w:iCs w:val="1"/>
          <w:color w:val="auto"/>
        </w:rPr>
        <w:t>Lender Calls</w:t>
      </w:r>
    </w:p>
    <w:p>
      <w:pPr>
        <w:spacing w:after="0" w:line="211" w:lineRule="exact"/>
        <w:rPr>
          <w:sz w:val="20"/>
          <w:szCs w:val="20"/>
          <w:color w:val="auto"/>
        </w:rPr>
      </w:pPr>
    </w:p>
    <w:p>
      <w:pPr>
        <w:jc w:val="both"/>
        <w:ind w:firstLine="642"/>
        <w:spacing w:after="0" w:line="259" w:lineRule="auto"/>
        <w:tabs>
          <w:tab w:leader="none" w:pos="742" w:val="left"/>
        </w:tabs>
        <w:numPr>
          <w:ilvl w:val="0"/>
          <w:numId w:val="2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requested in writing by the Administrative Agent, participate in an annual meeting of the Administrative Agent and the Lenders to be held at the Borrower’s corporate offices (or at such other location as may be agreed to by the Borrower and the Administrative Agent, including by telephonic conference calls) at such time as may be agreed to by the Borrower and the Administrative Agent;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at any point, the Borrower is no longer required to file periodic reports under the Exchange Act, the Borrower shall be required to invite the Lenders to participate in any quarterly conference calls made available to the holders of any of the Senior Notes (although the Borrower shall have no obligation to hold any such quarterly conference calls).</w:t>
      </w:r>
    </w:p>
    <w:p>
      <w:pPr>
        <w:spacing w:after="0" w:line="157"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6.15</w:t>
      </w:r>
      <w:r>
        <w:rPr>
          <w:sz w:val="20"/>
          <w:szCs w:val="20"/>
          <w:color w:val="auto"/>
        </w:rPr>
        <w:tab/>
      </w:r>
      <w:r>
        <w:rPr>
          <w:rFonts w:ascii="Times New Roman" w:cs="Times New Roman" w:eastAsia="Times New Roman" w:hAnsi="Times New Roman"/>
          <w:sz w:val="21"/>
          <w:szCs w:val="21"/>
          <w:i w:val="1"/>
          <w:iCs w:val="1"/>
          <w:color w:val="auto"/>
        </w:rPr>
        <w:t>Further Assurances</w:t>
      </w:r>
    </w:p>
    <w:p>
      <w:pPr>
        <w:spacing w:after="0" w:line="211" w:lineRule="exact"/>
        <w:rPr>
          <w:sz w:val="20"/>
          <w:szCs w:val="20"/>
          <w:color w:val="auto"/>
        </w:rPr>
      </w:pPr>
    </w:p>
    <w:p>
      <w:pPr>
        <w:jc w:val="both"/>
        <w:ind w:firstLine="642"/>
        <w:spacing w:after="0" w:line="258" w:lineRule="auto"/>
        <w:tabs>
          <w:tab w:leader="none" w:pos="742" w:val="left"/>
        </w:tabs>
        <w:numPr>
          <w:ilvl w:val="0"/>
          <w:numId w:val="2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Promptly following a request by the Administrative Agent or the Required Lenders through the Administrative Agent, (a) correct any material defect or error that may be discovered in any Loan Document or in the execution, acknowledgment, filing or recordation thereof, and (b) do, execute, acknowledge, deliver, record, re-record, file, re-file, register and re-register any and all such further acts, deeds, certificates, assurances and other instruments as the Administrative Agent, or any Lender through the Administrative Agent, may reasonably require from time to time in order to (i) carry out more effectively the purposes of the Loan Documents, (ii) to the fullest extent permitted by applicable law, subject any Loan Party’s properties, assets, rights or interests to the Liens now or hereafter intended to be covered by any of the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131</w:t>
      </w:r>
    </w:p>
    <w:p>
      <w:pPr>
        <w:sectPr>
          <w:pgSz w:w="11900" w:h="16838" w:orient="portrait"/>
          <w:cols w:equalWidth="0" w:num="1">
            <w:col w:w="11240"/>
          </w:cols>
          <w:pgMar w:left="320" w:top="1397" w:right="339" w:bottom="1440" w:gutter="0" w:footer="0" w:header="0"/>
        </w:sectPr>
      </w:pPr>
    </w:p>
    <w:bookmarkStart w:id="237" w:name="page238"/>
    <w:bookmarkEnd w:id="237"/>
    <w:p>
      <w:pPr>
        <w:jc w:val="both"/>
        <w:spacing w:after="0" w:line="257" w:lineRule="auto"/>
        <w:rPr>
          <w:sz w:val="20"/>
          <w:szCs w:val="20"/>
          <w:color w:val="auto"/>
        </w:rPr>
      </w:pPr>
      <w:r>
        <w:rPr>
          <w:rFonts w:ascii="Times New Roman" w:cs="Times New Roman" w:eastAsia="Times New Roman" w:hAnsi="Times New Roman"/>
          <w:sz w:val="21"/>
          <w:szCs w:val="21"/>
          <w:color w:val="auto"/>
        </w:rPr>
        <w:t xml:space="preserve">Documents or </w:t>
      </w:r>
      <w:r>
        <w:rPr>
          <w:rFonts w:ascii="Times New Roman" w:cs="Times New Roman" w:eastAsia="Times New Roman" w:hAnsi="Times New Roman"/>
          <w:sz w:val="21"/>
          <w:szCs w:val="21"/>
          <w:u w:val="single" w:color="auto"/>
          <w:color w:val="auto"/>
        </w:rPr>
        <w:t>Section 6.11,</w:t>
      </w:r>
      <w:r>
        <w:rPr>
          <w:rFonts w:ascii="Times New Roman" w:cs="Times New Roman" w:eastAsia="Times New Roman" w:hAnsi="Times New Roman"/>
          <w:sz w:val="21"/>
          <w:szCs w:val="21"/>
          <w:color w:val="auto"/>
        </w:rPr>
        <w:t xml:space="preserve"> (iii) perfect and maintain the validity, effectiveness and priority of any of the Collateral Documents and any of the Liens intended to be created thereunder and (iv) assure, convey, grant, assign, transfer, preserve, protect and confirm more effectively unto the Secured Parties the rights granted or now or hereafter intended to be granted to the Secured Parties under any Loan Document or under any other instrument executed in connection with any Loan Document to which any Loan Party or any of its Restricted Subsidiaries is or is to be a party, and cause each of its Restricted Subsidiaries to do so;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notwithstanding the foregoing, the Loan Parties shall not be required to take actions to create or perfect the security interest of the Administrative Agent (x) on any property that is covered by a certificate of title statute of any jurisdiction under the law of which the indication of a security interest on such certificate is required as a condition of perfection thereof, or (y) if recordation of a security interest with the Federal Aviation Administration or the International Registry of Mobile Assets is required as a condition of perfection thereof.</w:t>
      </w:r>
    </w:p>
    <w:p>
      <w:pPr>
        <w:spacing w:after="0" w:line="400"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6.16</w:t>
      </w:r>
      <w:r>
        <w:rPr>
          <w:sz w:val="20"/>
          <w:szCs w:val="20"/>
          <w:color w:val="auto"/>
        </w:rPr>
        <w:tab/>
      </w:r>
      <w:r>
        <w:rPr>
          <w:rFonts w:ascii="Times New Roman" w:cs="Times New Roman" w:eastAsia="Times New Roman" w:hAnsi="Times New Roman"/>
          <w:sz w:val="21"/>
          <w:szCs w:val="21"/>
          <w:i w:val="1"/>
          <w:iCs w:val="1"/>
          <w:color w:val="auto"/>
        </w:rPr>
        <w:t>[Reserved]</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p>
    <w:p>
      <w:pPr>
        <w:spacing w:after="0" w:line="194"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6.17</w:t>
      </w:r>
      <w:r>
        <w:rPr>
          <w:sz w:val="20"/>
          <w:szCs w:val="20"/>
          <w:color w:val="auto"/>
        </w:rPr>
        <w:tab/>
      </w:r>
      <w:r>
        <w:rPr>
          <w:rFonts w:ascii="Times New Roman" w:cs="Times New Roman" w:eastAsia="Times New Roman" w:hAnsi="Times New Roman"/>
          <w:sz w:val="21"/>
          <w:szCs w:val="21"/>
          <w:i w:val="1"/>
          <w:iCs w:val="1"/>
          <w:color w:val="auto"/>
        </w:rPr>
        <w:t>Designation of Restricted and Unrestricted Subsidiaries.</w:t>
      </w:r>
    </w:p>
    <w:p>
      <w:pPr>
        <w:spacing w:after="0" w:line="211" w:lineRule="exact"/>
        <w:rPr>
          <w:sz w:val="20"/>
          <w:szCs w:val="20"/>
          <w:color w:val="auto"/>
        </w:rPr>
      </w:pPr>
    </w:p>
    <w:p>
      <w:pPr>
        <w:jc w:val="both"/>
        <w:ind w:firstLine="636"/>
        <w:spacing w:after="0" w:line="262" w:lineRule="auto"/>
        <w:rPr>
          <w:sz w:val="20"/>
          <w:szCs w:val="20"/>
          <w:color w:val="auto"/>
        </w:rPr>
      </w:pPr>
      <w:r>
        <w:rPr>
          <w:rFonts w:ascii="Times New Roman" w:cs="Times New Roman" w:eastAsia="Times New Roman" w:hAnsi="Times New Roman"/>
          <w:sz w:val="21"/>
          <w:szCs w:val="21"/>
          <w:color w:val="auto"/>
        </w:rPr>
        <w:t xml:space="preserve">The Borrower may designate any Restricted Subsidiary to be an Unrestricted Subsidiary in accordance with the definition of “Unrestricted Subsidiary”;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 immediately before and after giving effect to such designation, no Event of Default shall have occurred and be continuing, (ii) the Borrower shall be in pro forma compliance with the financial covenant set forth in </w:t>
      </w:r>
      <w:r>
        <w:rPr>
          <w:rFonts w:ascii="Times New Roman" w:cs="Times New Roman" w:eastAsia="Times New Roman" w:hAnsi="Times New Roman"/>
          <w:sz w:val="21"/>
          <w:szCs w:val="21"/>
          <w:u w:val="single" w:color="auto"/>
          <w:color w:val="auto"/>
        </w:rPr>
        <w:t>Section 7.11</w:t>
      </w:r>
      <w:r>
        <w:rPr>
          <w:rFonts w:ascii="Times New Roman" w:cs="Times New Roman" w:eastAsia="Times New Roman" w:hAnsi="Times New Roman"/>
          <w:sz w:val="21"/>
          <w:szCs w:val="21"/>
          <w:color w:val="auto"/>
        </w:rPr>
        <w:t>, and (iii) no Subsidiary may be designated as an Unrestricted Subsidiary if it is a “Restricted Subsidiary” as defined in any of the Senior Notes.</w:t>
      </w:r>
    </w:p>
    <w:p>
      <w:pPr>
        <w:spacing w:after="0" w:line="166"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21"/>
          <w:szCs w:val="21"/>
          <w:color w:val="auto"/>
        </w:rPr>
        <w:t xml:space="preserve">All outstanding Investments owned by the Borrower and its Restricted Subsidiaries in the designated Unrestricted Subsidiary will be treated as an Investment by the Borrower or such Restricted Subsidiary, as applicable, made at the time of the designation. The amount of all such outstanding Investments will be the aggregate fair market value of such Investments at the time of the designation. The designation will not be permitted if such Investment would not be permitted under </w:t>
      </w:r>
      <w:r>
        <w:rPr>
          <w:rFonts w:ascii="Times New Roman" w:cs="Times New Roman" w:eastAsia="Times New Roman" w:hAnsi="Times New Roman"/>
          <w:sz w:val="21"/>
          <w:szCs w:val="21"/>
          <w:u w:val="single" w:color="auto"/>
          <w:color w:val="auto"/>
        </w:rPr>
        <w:t>Section 7.02</w:t>
      </w:r>
      <w:r>
        <w:rPr>
          <w:rFonts w:ascii="Times New Roman" w:cs="Times New Roman" w:eastAsia="Times New Roman" w:hAnsi="Times New Roman"/>
          <w:sz w:val="21"/>
          <w:szCs w:val="21"/>
          <w:color w:val="auto"/>
        </w:rPr>
        <w:t xml:space="preserve"> at that time and if such Restricted Subsidiary does not otherwise meet the definition of an Unrestricted Subsidiary. Any designation of a Subsidiary of the Borrower as an Unrestricted Subsidiary shall be evidenced to the Administrative Agent by delivering to the Administrative Agent a certificate signed by a Responsible Officer of the Borrower certifying that such designation complied with the foregoing conditions and the conditions set forth in the definition of “Unrestricted Subsidiary” and was permitted by this </w:t>
      </w:r>
      <w:r>
        <w:rPr>
          <w:rFonts w:ascii="Times New Roman" w:cs="Times New Roman" w:eastAsia="Times New Roman" w:hAnsi="Times New Roman"/>
          <w:sz w:val="21"/>
          <w:szCs w:val="21"/>
          <w:u w:val="single" w:color="auto"/>
          <w:color w:val="auto"/>
        </w:rPr>
        <w:t>Section 6.17</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(i) no Subsidiary may be designated as an Unrestricted Subsidiary if such designated Unrestricted Subsidiary will own any IP Rights and the failure of the Borrower or any of its Restricted Subsidiaries to own such IP Rights could reasonably be expected to have a Material Adverse Effect and (ii) neither the Borrower nor any of its Restricted Subsidiaries shall be permitted to contribute or dispose of any IP Rights to an Unrestricted Subsidiary if (x) the failure by the Borrower or any of its Restricted Subsidiaries to own such IP Rights could reasonably be expected to have a Material Adverse Effect or (y) after giving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132</w:t>
      </w:r>
    </w:p>
    <w:p>
      <w:pPr>
        <w:sectPr>
          <w:pgSz w:w="11900" w:h="16838" w:orient="portrait"/>
          <w:cols w:equalWidth="0" w:num="1">
            <w:col w:w="11240"/>
          </w:cols>
          <w:pgMar w:left="320" w:top="1397" w:right="33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21"/>
          <w:szCs w:val="21"/>
          <w:color w:val="auto"/>
        </w:rPr>
        <w:t xml:space="preserve">to such contribution or disposition the Borrower would not be in pro forma compliance with the covenant set forth in </w:t>
      </w:r>
      <w:r>
        <w:rPr>
          <w:rFonts w:ascii="Times New Roman" w:cs="Times New Roman" w:eastAsia="Times New Roman" w:hAnsi="Times New Roman"/>
          <w:sz w:val="21"/>
          <w:szCs w:val="21"/>
          <w:u w:val="single" w:color="auto"/>
          <w:color w:val="auto"/>
        </w:rPr>
        <w:t>Section 7.11</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21"/>
          <w:szCs w:val="21"/>
          <w:color w:val="auto"/>
        </w:rPr>
        <w:t xml:space="preserve">If, at any time, any Unrestricted Subsidiary would fail to meet any of the requirements of an Unrestricted Subsidiary, it shall thereafter cease to be an Unrestricted Subsidiary for purposes of this Agreement and (1) any Indebtedness of such Subsidiary, (2) any Liens of such Subsidiary and (3) any Investments of such Subsidiary, in each case shall be deemed to be incurred by a Restricted Subsidiary of the Borrower as of such date and, if such Liens, Investments, or Indebtedness are not permitted to be incurred as of such date under </w:t>
      </w:r>
      <w:r>
        <w:rPr>
          <w:rFonts w:ascii="Times New Roman" w:cs="Times New Roman" w:eastAsia="Times New Roman" w:hAnsi="Times New Roman"/>
          <w:sz w:val="21"/>
          <w:szCs w:val="21"/>
          <w:u w:val="single" w:color="auto"/>
          <w:color w:val="auto"/>
        </w:rPr>
        <w:t>Section 7.01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7.02</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7.03</w:t>
      </w:r>
      <w:r>
        <w:rPr>
          <w:rFonts w:ascii="Times New Roman" w:cs="Times New Roman" w:eastAsia="Times New Roman" w:hAnsi="Times New Roman"/>
          <w:sz w:val="21"/>
          <w:szCs w:val="21"/>
          <w:color w:val="auto"/>
        </w:rPr>
        <w:t xml:space="preserve">, as applicable, the Borrower shall be in default of such </w:t>
      </w:r>
      <w:r>
        <w:rPr>
          <w:rFonts w:ascii="Times New Roman" w:cs="Times New Roman" w:eastAsia="Times New Roman" w:hAnsi="Times New Roman"/>
          <w:sz w:val="21"/>
          <w:szCs w:val="21"/>
          <w:u w:val="single" w:color="auto"/>
          <w:color w:val="auto"/>
        </w:rPr>
        <w:t>Section 7.01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7.02</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7.03</w:t>
      </w:r>
      <w:r>
        <w:rPr>
          <w:rFonts w:ascii="Times New Roman" w:cs="Times New Roman" w:eastAsia="Times New Roman" w:hAnsi="Times New Roman"/>
          <w:sz w:val="21"/>
          <w:szCs w:val="21"/>
          <w:color w:val="auto"/>
        </w:rPr>
        <w:t>, as applicable.</w:t>
      </w:r>
    </w:p>
    <w:p>
      <w:pPr>
        <w:spacing w:after="0" w:line="170" w:lineRule="exact"/>
        <w:rPr>
          <w:sz w:val="20"/>
          <w:szCs w:val="20"/>
          <w:color w:val="auto"/>
        </w:rPr>
      </w:pPr>
    </w:p>
    <w:p>
      <w:pPr>
        <w:jc w:val="both"/>
        <w:ind w:firstLine="636"/>
        <w:spacing w:after="0" w:line="260" w:lineRule="auto"/>
        <w:rPr>
          <w:sz w:val="20"/>
          <w:szCs w:val="20"/>
          <w:color w:val="auto"/>
        </w:rPr>
      </w:pPr>
      <w:r>
        <w:rPr>
          <w:rFonts w:ascii="Times New Roman" w:cs="Times New Roman" w:eastAsia="Times New Roman" w:hAnsi="Times New Roman"/>
          <w:sz w:val="21"/>
          <w:szCs w:val="21"/>
          <w:color w:val="auto"/>
        </w:rPr>
        <w:t xml:space="preserve">The Borrower may at any time designate any Unrestricted Subsidiary to be a Restricted Subsidiary;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designation shall be deemed to be an incurrence, on the date of designation, of Indebtedness, Liens and Investments by a Restricted Subsidiary of the Borrower of any outstanding Indebtedness, Liens and Investments of such Unrestricted Subsidiary and such designation shall only be permitted if (1) such Liens are permitted under </w:t>
      </w:r>
      <w:r>
        <w:rPr>
          <w:rFonts w:ascii="Times New Roman" w:cs="Times New Roman" w:eastAsia="Times New Roman" w:hAnsi="Times New Roman"/>
          <w:sz w:val="21"/>
          <w:szCs w:val="21"/>
          <w:u w:val="single" w:color="auto"/>
          <w:color w:val="auto"/>
        </w:rPr>
        <w:t>Section 7.01</w:t>
      </w:r>
      <w:r>
        <w:rPr>
          <w:rFonts w:ascii="Times New Roman" w:cs="Times New Roman" w:eastAsia="Times New Roman" w:hAnsi="Times New Roman"/>
          <w:sz w:val="21"/>
          <w:szCs w:val="21"/>
          <w:color w:val="auto"/>
        </w:rPr>
        <w:t xml:space="preserve">, such Investments are permitted under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7.02</w:t>
      </w:r>
      <w:r>
        <w:rPr>
          <w:rFonts w:ascii="Times New Roman" w:cs="Times New Roman" w:eastAsia="Times New Roman" w:hAnsi="Times New Roman"/>
          <w:sz w:val="21"/>
          <w:szCs w:val="21"/>
          <w:color w:val="auto"/>
        </w:rPr>
        <w:t xml:space="preserve">, and such Indebtedness is permitted under </w:t>
      </w:r>
      <w:r>
        <w:rPr>
          <w:rFonts w:ascii="Times New Roman" w:cs="Times New Roman" w:eastAsia="Times New Roman" w:hAnsi="Times New Roman"/>
          <w:sz w:val="21"/>
          <w:szCs w:val="21"/>
          <w:u w:val="single" w:color="auto"/>
          <w:color w:val="auto"/>
        </w:rPr>
        <w:t>Section 7.03</w:t>
      </w:r>
      <w:r>
        <w:rPr>
          <w:rFonts w:ascii="Times New Roman" w:cs="Times New Roman" w:eastAsia="Times New Roman" w:hAnsi="Times New Roman"/>
          <w:sz w:val="21"/>
          <w:szCs w:val="21"/>
          <w:color w:val="auto"/>
        </w:rPr>
        <w:t xml:space="preserve">; and (2) no Event of Default under </w:t>
      </w:r>
      <w:r>
        <w:rPr>
          <w:rFonts w:ascii="Times New Roman" w:cs="Times New Roman" w:eastAsia="Times New Roman" w:hAnsi="Times New Roman"/>
          <w:sz w:val="21"/>
          <w:szCs w:val="21"/>
          <w:u w:val="single" w:color="auto"/>
          <w:color w:val="auto"/>
        </w:rPr>
        <w:t>Sections 8.01(a), (f) and (g)</w:t>
      </w:r>
      <w:r>
        <w:rPr>
          <w:rFonts w:ascii="Times New Roman" w:cs="Times New Roman" w:eastAsia="Times New Roman" w:hAnsi="Times New Roman"/>
          <w:sz w:val="21"/>
          <w:szCs w:val="21"/>
          <w:color w:val="auto"/>
        </w:rPr>
        <w:t xml:space="preserve"> shall have occurred and be continuing.</w:t>
      </w:r>
    </w:p>
    <w:p>
      <w:pPr>
        <w:spacing w:after="0" w:line="13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1"/>
          <w:szCs w:val="21"/>
          <w:b w:val="1"/>
          <w:bCs w:val="1"/>
          <w:color w:val="auto"/>
        </w:rPr>
        <w:t>Article 7.</w:t>
      </w:r>
    </w:p>
    <w:p>
      <w:pPr>
        <w:ind w:left="4380"/>
        <w:spacing w:after="0"/>
        <w:rPr>
          <w:sz w:val="20"/>
          <w:szCs w:val="20"/>
          <w:color w:val="auto"/>
        </w:rPr>
      </w:pPr>
      <w:r>
        <w:rPr>
          <w:rFonts w:ascii="Times New Roman" w:cs="Times New Roman" w:eastAsia="Times New Roman" w:hAnsi="Times New Roman"/>
          <w:sz w:val="21"/>
          <w:szCs w:val="21"/>
          <w:b w:val="1"/>
          <w:bCs w:val="1"/>
          <w:color w:val="auto"/>
        </w:rPr>
        <w:t>NEGATIVE COVENANTS</w:t>
      </w:r>
    </w:p>
    <w:p>
      <w:pPr>
        <w:spacing w:after="0" w:line="185"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21"/>
          <w:szCs w:val="21"/>
          <w:color w:val="auto"/>
        </w:rPr>
        <w:t>From and after the Closing Date, so long as any Lender shall have any Commitment hereunder, any Loan or other Obligation (other than contingent indemnification obligations as to which no claim has been asserted and obligations and liabilities under Secured Cash Management Agreements and Secured Hedge Agreements) hereunder shall remain unpaid or unsatisfied, or any Letter of Credit (other than Letters of Credit which have been Cash Collateralized or as to which other arrangements satisfactory to the L/C Issuer have been made) shall remain outstanding, the Borrower shall not, nor shall it permit any Restricted Subsidiary to, directly or indirectly:</w:t>
      </w:r>
    </w:p>
    <w:p>
      <w:pPr>
        <w:spacing w:after="0" w:line="157"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7.01</w:t>
      </w:r>
      <w:r>
        <w:rPr>
          <w:sz w:val="20"/>
          <w:szCs w:val="20"/>
          <w:color w:val="auto"/>
        </w:rPr>
        <w:tab/>
      </w:r>
      <w:r>
        <w:rPr>
          <w:rFonts w:ascii="Times New Roman" w:cs="Times New Roman" w:eastAsia="Times New Roman" w:hAnsi="Times New Roman"/>
          <w:sz w:val="21"/>
          <w:szCs w:val="21"/>
          <w:i w:val="1"/>
          <w:iCs w:val="1"/>
          <w:color w:val="auto"/>
        </w:rPr>
        <w:t>Liens</w:t>
      </w:r>
    </w:p>
    <w:p>
      <w:pPr>
        <w:spacing w:after="0" w:line="211" w:lineRule="exact"/>
        <w:rPr>
          <w:sz w:val="20"/>
          <w:szCs w:val="20"/>
          <w:color w:val="auto"/>
        </w:rPr>
      </w:pPr>
    </w:p>
    <w:p>
      <w:pPr>
        <w:ind w:firstLine="642"/>
        <w:spacing w:after="0" w:line="285" w:lineRule="auto"/>
        <w:tabs>
          <w:tab w:leader="none" w:pos="768" w:val="left"/>
        </w:tabs>
        <w:numPr>
          <w:ilvl w:val="0"/>
          <w:numId w:val="2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Create, incur, assume or suffer to exist any Lien upon any of its property, assets or revenues, whether now owned or hereafter acquired, other than the following:</w:t>
      </w:r>
    </w:p>
    <w:p>
      <w:pPr>
        <w:spacing w:after="0" w:line="115" w:lineRule="exact"/>
        <w:rPr>
          <w:rFonts w:ascii="Times New Roman" w:cs="Times New Roman" w:eastAsia="Times New Roman" w:hAnsi="Times New Roman"/>
          <w:sz w:val="21"/>
          <w:szCs w:val="21"/>
          <w:color w:val="auto"/>
        </w:rPr>
      </w:pPr>
    </w:p>
    <w:p>
      <w:pPr>
        <w:ind w:left="1920" w:hanging="642"/>
        <w:spacing w:after="0"/>
        <w:tabs>
          <w:tab w:leader="none" w:pos="1920" w:val="left"/>
        </w:tabs>
        <w:numPr>
          <w:ilvl w:val="1"/>
          <w:numId w:val="2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pursuant to any Loan Document securing the Obligations;</w:t>
      </w:r>
    </w:p>
    <w:p>
      <w:pPr>
        <w:spacing w:after="0" w:line="182" w:lineRule="exact"/>
        <w:rPr>
          <w:rFonts w:ascii="Times New Roman" w:cs="Times New Roman" w:eastAsia="Times New Roman" w:hAnsi="Times New Roman"/>
          <w:sz w:val="21"/>
          <w:szCs w:val="21"/>
          <w:color w:val="auto"/>
        </w:rPr>
      </w:pPr>
    </w:p>
    <w:p>
      <w:pPr>
        <w:jc w:val="both"/>
        <w:ind w:firstLine="1278"/>
        <w:spacing w:after="0" w:line="223" w:lineRule="auto"/>
        <w:tabs>
          <w:tab w:leader="none" w:pos="1903" w:val="left"/>
        </w:tabs>
        <w:numPr>
          <w:ilvl w:val="1"/>
          <w:numId w:val="2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Liens existing on the Closing Date and listed on </w:t>
      </w:r>
      <w:r>
        <w:rPr>
          <w:rFonts w:ascii="Times New Roman" w:cs="Times New Roman" w:eastAsia="Times New Roman" w:hAnsi="Times New Roman"/>
          <w:sz w:val="21"/>
          <w:szCs w:val="21"/>
          <w:u w:val="single" w:color="auto"/>
          <w:color w:val="auto"/>
        </w:rPr>
        <w:t>Schedule 7.01</w:t>
      </w:r>
      <w:r>
        <w:rPr>
          <w:rFonts w:ascii="Times New Roman" w:cs="Times New Roman" w:eastAsia="Times New Roman" w:hAnsi="Times New Roman"/>
          <w:sz w:val="21"/>
          <w:szCs w:val="21"/>
          <w:color w:val="auto"/>
        </w:rPr>
        <w:t xml:space="preserve"> and any modifications, replacements, renewals or extensions thereof;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 the Lien does not extend to any additional property other than (A) after-acquired property that is affixed or incorporated into the property covered by such Lien and (B) proceeds and products thereof, and (ii) the modification, replacement, renewal or extension of the obligations secured or benefited thereby, to the extent constituting Indebtedness, is permitted by </w:t>
      </w:r>
      <w:r>
        <w:rPr>
          <w:rFonts w:ascii="Times New Roman" w:cs="Times New Roman" w:eastAsia="Times New Roman" w:hAnsi="Times New Roman"/>
          <w:sz w:val="21"/>
          <w:szCs w:val="21"/>
          <w:u w:val="single" w:color="auto"/>
          <w:color w:val="auto"/>
        </w:rPr>
        <w:t>Section 7.03(b)</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133</w:t>
      </w:r>
    </w:p>
    <w:p>
      <w:pPr>
        <w:sectPr>
          <w:pgSz w:w="11900" w:h="16838" w:orient="portrait"/>
          <w:cols w:equalWidth="0" w:num="1">
            <w:col w:w="11240"/>
          </w:cols>
          <w:pgMar w:left="320" w:top="1398" w:right="339" w:bottom="1440" w:gutter="0" w:footer="0" w:header="0"/>
        </w:sectPr>
      </w:pPr>
    </w:p>
    <w:bookmarkStart w:id="239" w:name="page240"/>
    <w:bookmarkEnd w:id="239"/>
    <w:p>
      <w:pPr>
        <w:jc w:val="both"/>
        <w:ind w:firstLine="1278"/>
        <w:spacing w:after="0" w:line="226" w:lineRule="auto"/>
        <w:tabs>
          <w:tab w:leader="none" w:pos="1905" w:val="left"/>
        </w:tabs>
        <w:numPr>
          <w:ilvl w:val="0"/>
          <w:numId w:val="2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for taxes (i) which are (x) not then more than 30 days overdue or (y) being contested in good faith and by appropriate proceedings diligently conducted, if adequate reserves with respect thereto are maintained on the books of the applicable Person in accordance with GAAP or (ii) with respect to which the failure to make payment would not reasonably be expected to have a Material Adverse Effect;</w:t>
      </w:r>
    </w:p>
    <w:p>
      <w:pPr>
        <w:spacing w:after="0" w:line="150" w:lineRule="exact"/>
        <w:rPr>
          <w:rFonts w:ascii="Times New Roman" w:cs="Times New Roman" w:eastAsia="Times New Roman" w:hAnsi="Times New Roman"/>
          <w:sz w:val="21"/>
          <w:szCs w:val="21"/>
          <w:color w:val="auto"/>
        </w:rPr>
      </w:pPr>
    </w:p>
    <w:p>
      <w:pPr>
        <w:jc w:val="both"/>
        <w:ind w:firstLine="1278"/>
        <w:spacing w:after="0" w:line="221" w:lineRule="auto"/>
        <w:tabs>
          <w:tab w:leader="none" w:pos="1903" w:val="left"/>
        </w:tabs>
        <w:numPr>
          <w:ilvl w:val="0"/>
          <w:numId w:val="2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carriers’, warehousemen’s, landlords’, mechanics’, materialmen’s, repairmen’s or other like Liens granted or arising in the ordinary course of business (i) which secure amounts not overdue for a period of more than 60 days or if more than 60 days overdue, are unfiled and either no other action has been taken to enforce such Lien or such Liens are being contested in good faith and by appropriate proceedings diligently conducted, if adequate reserves with respect thereto are maintained on the books of the applicable Person in accordance with GAAP or (ii) with respect to which the failure to make payment could not reasonably be expected to have a Material Adverse Effect;</w:t>
      </w:r>
    </w:p>
    <w:p>
      <w:pPr>
        <w:spacing w:after="0" w:line="149" w:lineRule="exact"/>
        <w:rPr>
          <w:rFonts w:ascii="Times New Roman" w:cs="Times New Roman" w:eastAsia="Times New Roman" w:hAnsi="Times New Roman"/>
          <w:sz w:val="21"/>
          <w:szCs w:val="21"/>
          <w:color w:val="auto"/>
        </w:rPr>
      </w:pPr>
    </w:p>
    <w:p>
      <w:pPr>
        <w:ind w:firstLine="1278"/>
        <w:spacing w:after="0" w:line="245" w:lineRule="auto"/>
        <w:tabs>
          <w:tab w:leader="none" w:pos="1905" w:val="left"/>
        </w:tabs>
        <w:numPr>
          <w:ilvl w:val="0"/>
          <w:numId w:val="2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pledges or deposits in the ordinary course of business in connection with workers’ compensation, unemployment insurance and other social security legislation, other than any Lien imposed by ERISA;</w:t>
      </w:r>
    </w:p>
    <w:p>
      <w:pPr>
        <w:spacing w:after="0" w:line="142" w:lineRule="exact"/>
        <w:rPr>
          <w:rFonts w:ascii="Times New Roman" w:cs="Times New Roman" w:eastAsia="Times New Roman" w:hAnsi="Times New Roman"/>
          <w:sz w:val="21"/>
          <w:szCs w:val="21"/>
          <w:color w:val="auto"/>
        </w:rPr>
      </w:pPr>
    </w:p>
    <w:p>
      <w:pPr>
        <w:jc w:val="both"/>
        <w:ind w:firstLine="1278"/>
        <w:spacing w:after="0" w:line="232" w:lineRule="auto"/>
        <w:tabs>
          <w:tab w:leader="none" w:pos="1908" w:val="left"/>
        </w:tabs>
        <w:numPr>
          <w:ilvl w:val="0"/>
          <w:numId w:val="2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deposits to secure the performance of bids, trade contracts and leases (other than Indebtedness for borrowed money), statutory obligations, surety, stay, customs and appeal bonds, performance bonds and other obligations of a like nature incurred in the ordinary course of business;</w:t>
      </w:r>
    </w:p>
    <w:p>
      <w:pPr>
        <w:spacing w:after="0" w:line="147" w:lineRule="exact"/>
        <w:rPr>
          <w:rFonts w:ascii="Times New Roman" w:cs="Times New Roman" w:eastAsia="Times New Roman" w:hAnsi="Times New Roman"/>
          <w:sz w:val="21"/>
          <w:szCs w:val="21"/>
          <w:color w:val="auto"/>
        </w:rPr>
      </w:pPr>
    </w:p>
    <w:p>
      <w:pPr>
        <w:jc w:val="both"/>
        <w:ind w:firstLine="1278"/>
        <w:spacing w:after="0" w:line="223" w:lineRule="auto"/>
        <w:tabs>
          <w:tab w:leader="none" w:pos="1903" w:val="left"/>
        </w:tabs>
        <w:numPr>
          <w:ilvl w:val="0"/>
          <w:numId w:val="2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easements, rights-of-way, restrictions (including zoning restrictions), encroachments, protrusions and other similar encumbrances and minor title defects affecting real property which, in the aggregate, do not materially interfere with the ordinary conduct of the business of the applicable Person; and Liens securing obligations (other than obligations representing Indebtedness for borrowed money) under operating, reciprocal easement or similar agreements entered into in the ordinary course of business of the Borrower and its Subsidiaries;</w:t>
      </w:r>
    </w:p>
    <w:p>
      <w:pPr>
        <w:spacing w:after="0" w:line="150" w:lineRule="exact"/>
        <w:rPr>
          <w:rFonts w:ascii="Times New Roman" w:cs="Times New Roman" w:eastAsia="Times New Roman" w:hAnsi="Times New Roman"/>
          <w:sz w:val="21"/>
          <w:szCs w:val="21"/>
          <w:color w:val="auto"/>
        </w:rPr>
      </w:pPr>
    </w:p>
    <w:p>
      <w:pPr>
        <w:ind w:firstLine="1278"/>
        <w:spacing w:after="0" w:line="245" w:lineRule="auto"/>
        <w:tabs>
          <w:tab w:leader="none" w:pos="1903" w:val="left"/>
        </w:tabs>
        <w:numPr>
          <w:ilvl w:val="0"/>
          <w:numId w:val="2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Liens securing judgments, awards and decrees for the payment of money not constituting an Event of Default under </w:t>
      </w:r>
      <w:r>
        <w:rPr>
          <w:rFonts w:ascii="Times New Roman" w:cs="Times New Roman" w:eastAsia="Times New Roman" w:hAnsi="Times New Roman"/>
          <w:sz w:val="21"/>
          <w:szCs w:val="21"/>
          <w:u w:val="single" w:color="auto"/>
          <w:color w:val="auto"/>
        </w:rPr>
        <w:t>Section 8.01(h)</w:t>
      </w:r>
      <w:r>
        <w:rPr>
          <w:rFonts w:ascii="Times New Roman" w:cs="Times New Roman" w:eastAsia="Times New Roman" w:hAnsi="Times New Roman"/>
          <w:sz w:val="21"/>
          <w:szCs w:val="21"/>
          <w:color w:val="auto"/>
        </w:rPr>
        <w:t xml:space="preserve"> or securing appeal or other surety bonds related to such judgments;</w:t>
      </w:r>
    </w:p>
    <w:p>
      <w:pPr>
        <w:spacing w:after="0" w:line="140" w:lineRule="exact"/>
        <w:rPr>
          <w:rFonts w:ascii="Times New Roman" w:cs="Times New Roman" w:eastAsia="Times New Roman" w:hAnsi="Times New Roman"/>
          <w:sz w:val="21"/>
          <w:szCs w:val="21"/>
          <w:color w:val="auto"/>
        </w:rPr>
      </w:pPr>
    </w:p>
    <w:p>
      <w:pPr>
        <w:jc w:val="both"/>
        <w:ind w:firstLine="1278"/>
        <w:spacing w:after="0" w:line="215" w:lineRule="auto"/>
        <w:tabs>
          <w:tab w:leader="none" w:pos="1896" w:val="left"/>
        </w:tabs>
        <w:numPr>
          <w:ilvl w:val="0"/>
          <w:numId w:val="2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 Liens securing Indebtedness permitted under </w:t>
      </w:r>
      <w:r>
        <w:rPr>
          <w:rFonts w:ascii="Times New Roman" w:cs="Times New Roman" w:eastAsia="Times New Roman" w:hAnsi="Times New Roman"/>
          <w:sz w:val="21"/>
          <w:szCs w:val="21"/>
          <w:u w:val="single" w:color="auto"/>
          <w:color w:val="auto"/>
        </w:rPr>
        <w:t>Section 7.03(e)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 such Liens do not at any time encumber any property (except for replacements, additions and accessions to such property) other than the property financed by such Indebtedness and (B) the Indebtedness secured thereby does not exceed the cost or fair market value of the property, whichever is lower, being acquired on the date of acquisition, improvements thereto and related expenses;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individual financings of equipment provided by one lender may be cross collateralized to other financings of equipment provided by such lender on customary terms; and (ii) Liens securing Indebtedness permitted under </w:t>
      </w:r>
      <w:r>
        <w:rPr>
          <w:rFonts w:ascii="Times New Roman" w:cs="Times New Roman" w:eastAsia="Times New Roman" w:hAnsi="Times New Roman"/>
          <w:sz w:val="21"/>
          <w:szCs w:val="21"/>
          <w:u w:val="single" w:color="auto"/>
          <w:color w:val="auto"/>
        </w:rPr>
        <w:t>Section 7.03(t)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(w) such Liens existed on the property or asset prior to the acquisition thereof by the Borrower or any Restricted Subsidiary or existed on the property or asset of any Person that becomes a Restricted Subsidiary in connection with a Permitted Acquisition or other Investment in the nature of an acquisition; (x) such Lien is not created in connection with such acquisition or such Person becoming a Restricted Subsidiary as a result of such Investment, as the case may be and (y) such Lien shall not encumber any other property or assets of the Borrower or any Restricted Subsidiary (other than any Person acquired by the Borrower or any Restricted Subsidiary as a result of a Permitted Acquisition or other Investment in the nature of an acquisition and any Restricted Subsidiary of such acquired Person as of the date of such Permitted Acquisition or other Investment in the nature of an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134</w:t>
      </w:r>
    </w:p>
    <w:p>
      <w:pPr>
        <w:sectPr>
          <w:pgSz w:w="11900" w:h="16838" w:orient="portrait"/>
          <w:cols w:equalWidth="0" w:num="1">
            <w:col w:w="11240"/>
          </w:cols>
          <w:pgMar w:left="320" w:top="1371" w:right="339" w:bottom="1440" w:gutter="0" w:footer="0" w:header="0"/>
        </w:sectPr>
      </w:pPr>
    </w:p>
    <w:bookmarkStart w:id="240" w:name="page241"/>
    <w:bookmarkEnd w:id="240"/>
    <w:p>
      <w:pPr>
        <w:ind w:firstLine="1278"/>
        <w:spacing w:after="0" w:line="245" w:lineRule="auto"/>
        <w:tabs>
          <w:tab w:leader="none" w:pos="1896" w:val="left"/>
        </w:tabs>
        <w:numPr>
          <w:ilvl w:val="1"/>
          <w:numId w:val="2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leases, licenses, subleases or sublicenses granted to others in the ordinary course of business which do not (i) interfere in any material respect with the business of the Borrower or any Restricted Subsidiary or (ii) secure any Indebtedness;</w:t>
      </w:r>
    </w:p>
    <w:p>
      <w:pPr>
        <w:spacing w:after="0" w:line="142" w:lineRule="exact"/>
        <w:rPr>
          <w:rFonts w:ascii="Times New Roman" w:cs="Times New Roman" w:eastAsia="Times New Roman" w:hAnsi="Times New Roman"/>
          <w:sz w:val="21"/>
          <w:szCs w:val="21"/>
          <w:color w:val="auto"/>
        </w:rPr>
      </w:pPr>
    </w:p>
    <w:p>
      <w:pPr>
        <w:jc w:val="both"/>
        <w:ind w:firstLine="1278"/>
        <w:spacing w:after="0" w:line="232" w:lineRule="auto"/>
        <w:tabs>
          <w:tab w:leader="none" w:pos="1903" w:val="left"/>
        </w:tabs>
        <w:numPr>
          <w:ilvl w:val="1"/>
          <w:numId w:val="2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 Liens on property securing Indebtedness and other obligations in an aggregate principal amount outstanding at any time which does not exceed the greater of $</w:t>
      </w:r>
      <w:r>
        <w:rPr>
          <w:rFonts w:ascii="Times New Roman" w:cs="Times New Roman" w:eastAsia="Times New Roman" w:hAnsi="Times New Roman"/>
          <w:sz w:val="21"/>
          <w:szCs w:val="21"/>
          <w:b w:val="1"/>
          <w:bCs w:val="1"/>
          <w:color w:val="FF0000"/>
          <w:strike w:val="1"/>
        </w:rPr>
        <w:t>125,000,000</w:t>
      </w:r>
      <w:r>
        <w:rPr>
          <w:rFonts w:ascii="Times New Roman" w:cs="Times New Roman" w:eastAsia="Times New Roman" w:hAnsi="Times New Roman"/>
          <w:sz w:val="21"/>
          <w:szCs w:val="21"/>
          <w:b w:val="1"/>
          <w:bCs w:val="1"/>
          <w:u w:val="single" w:color="auto"/>
          <w:color w:val="0000FF"/>
        </w:rPr>
        <w:t>250,000,000</w:t>
      </w:r>
      <w:r>
        <w:rPr>
          <w:rFonts w:ascii="Times New Roman" w:cs="Times New Roman" w:eastAsia="Times New Roman" w:hAnsi="Times New Roman"/>
          <w:sz w:val="21"/>
          <w:szCs w:val="21"/>
          <w:color w:val="auto"/>
        </w:rPr>
        <w:t xml:space="preserve"> and 50% of Consolidated EBITDA based on the Most Recent Financial Statements, in the aggregate;</w:t>
      </w:r>
    </w:p>
    <w:p>
      <w:pPr>
        <w:spacing w:after="0" w:line="147" w:lineRule="exact"/>
        <w:rPr>
          <w:rFonts w:ascii="Times New Roman" w:cs="Times New Roman" w:eastAsia="Times New Roman" w:hAnsi="Times New Roman"/>
          <w:sz w:val="21"/>
          <w:szCs w:val="21"/>
          <w:color w:val="auto"/>
        </w:rPr>
      </w:pPr>
    </w:p>
    <w:p>
      <w:pPr>
        <w:ind w:right="20" w:firstLine="1278"/>
        <w:spacing w:after="0" w:line="245" w:lineRule="auto"/>
        <w:tabs>
          <w:tab w:leader="none" w:pos="1896" w:val="left"/>
        </w:tabs>
        <w:numPr>
          <w:ilvl w:val="1"/>
          <w:numId w:val="2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Liens on property of Restricted Subsidiaries that are not Loan Parties securing Indebtedness of such Restricted Subsidiaries that are not Loan Parties permitted by </w:t>
      </w:r>
      <w:r>
        <w:rPr>
          <w:rFonts w:ascii="Times New Roman" w:cs="Times New Roman" w:eastAsia="Times New Roman" w:hAnsi="Times New Roman"/>
          <w:sz w:val="21"/>
          <w:szCs w:val="21"/>
          <w:u w:val="single" w:color="auto"/>
          <w:color w:val="auto"/>
        </w:rPr>
        <w:t>Section 7.03</w:t>
      </w:r>
      <w:r>
        <w:rPr>
          <w:rFonts w:ascii="Times New Roman" w:cs="Times New Roman" w:eastAsia="Times New Roman" w:hAnsi="Times New Roman"/>
          <w:sz w:val="21"/>
          <w:szCs w:val="21"/>
          <w:color w:val="auto"/>
        </w:rPr>
        <w:t>;</w:t>
      </w:r>
    </w:p>
    <w:p>
      <w:pPr>
        <w:spacing w:after="0" w:line="142" w:lineRule="exact"/>
        <w:rPr>
          <w:rFonts w:ascii="Times New Roman" w:cs="Times New Roman" w:eastAsia="Times New Roman" w:hAnsi="Times New Roman"/>
          <w:sz w:val="21"/>
          <w:szCs w:val="21"/>
          <w:color w:val="auto"/>
        </w:rPr>
      </w:pPr>
    </w:p>
    <w:p>
      <w:pPr>
        <w:ind w:firstLine="1278"/>
        <w:spacing w:after="0" w:line="245" w:lineRule="auto"/>
        <w:tabs>
          <w:tab w:leader="none" w:pos="1896" w:val="left"/>
        </w:tabs>
        <w:numPr>
          <w:ilvl w:val="1"/>
          <w:numId w:val="2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Liens arising in connection with a Qualified Receivables Transaction on Receivables Program Assets permitted to be Disposed of pursuant to </w:t>
      </w:r>
      <w:r>
        <w:rPr>
          <w:rFonts w:ascii="Times New Roman" w:cs="Times New Roman" w:eastAsia="Times New Roman" w:hAnsi="Times New Roman"/>
          <w:sz w:val="21"/>
          <w:szCs w:val="21"/>
          <w:u w:val="single" w:color="auto"/>
          <w:color w:val="auto"/>
        </w:rPr>
        <w:t>Section 7.05(l)</w:t>
      </w:r>
      <w:r>
        <w:rPr>
          <w:rFonts w:ascii="Times New Roman" w:cs="Times New Roman" w:eastAsia="Times New Roman" w:hAnsi="Times New Roman"/>
          <w:sz w:val="21"/>
          <w:szCs w:val="21"/>
          <w:color w:val="auto"/>
        </w:rPr>
        <w:t xml:space="preserve"> securing Receivables Program Obligations permitted by </w:t>
      </w:r>
      <w:r>
        <w:rPr>
          <w:rFonts w:ascii="Times New Roman" w:cs="Times New Roman" w:eastAsia="Times New Roman" w:hAnsi="Times New Roman"/>
          <w:sz w:val="21"/>
          <w:szCs w:val="21"/>
          <w:u w:val="single" w:color="auto"/>
          <w:color w:val="auto"/>
        </w:rPr>
        <w:t>Section 7.03(j)</w:t>
      </w:r>
      <w:r>
        <w:rPr>
          <w:rFonts w:ascii="Times New Roman" w:cs="Times New Roman" w:eastAsia="Times New Roman" w:hAnsi="Times New Roman"/>
          <w:sz w:val="21"/>
          <w:szCs w:val="21"/>
          <w:color w:val="auto"/>
        </w:rPr>
        <w:t>;</w:t>
      </w:r>
    </w:p>
    <w:p>
      <w:pPr>
        <w:spacing w:after="0" w:line="142" w:lineRule="exact"/>
        <w:rPr>
          <w:rFonts w:ascii="Times New Roman" w:cs="Times New Roman" w:eastAsia="Times New Roman" w:hAnsi="Times New Roman"/>
          <w:sz w:val="21"/>
          <w:szCs w:val="21"/>
          <w:color w:val="auto"/>
        </w:rPr>
      </w:pPr>
    </w:p>
    <w:p>
      <w:pPr>
        <w:ind w:firstLine="1278"/>
        <w:spacing w:after="0" w:line="245" w:lineRule="auto"/>
        <w:tabs>
          <w:tab w:leader="none" w:pos="1903" w:val="left"/>
        </w:tabs>
        <w:numPr>
          <w:ilvl w:val="1"/>
          <w:numId w:val="2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in favor of custom and revenue authorities arising as a matter of law to secure payment of non-delinquent customs duties in connection with the importation of goods;</w:t>
      </w:r>
    </w:p>
    <w:p>
      <w:pPr>
        <w:spacing w:after="0" w:line="142" w:lineRule="exact"/>
        <w:rPr>
          <w:rFonts w:ascii="Times New Roman" w:cs="Times New Roman" w:eastAsia="Times New Roman" w:hAnsi="Times New Roman"/>
          <w:sz w:val="21"/>
          <w:szCs w:val="21"/>
          <w:color w:val="auto"/>
        </w:rPr>
      </w:pPr>
    </w:p>
    <w:p>
      <w:pPr>
        <w:jc w:val="both"/>
        <w:ind w:firstLine="1278"/>
        <w:spacing w:after="0" w:line="232" w:lineRule="auto"/>
        <w:tabs>
          <w:tab w:leader="none" w:pos="1903" w:val="left"/>
        </w:tabs>
        <w:numPr>
          <w:ilvl w:val="1"/>
          <w:numId w:val="2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upon specific items of inventory or other goods and proceeds of any Person securing such Person’s obligations in respect of letters of credit and bankers’ acceptances issued or created for the account of such Person to facilitate the purchase, shipment or storage of such inventory or other goods;</w:t>
      </w:r>
    </w:p>
    <w:p>
      <w:pPr>
        <w:spacing w:after="0" w:line="147" w:lineRule="exact"/>
        <w:rPr>
          <w:rFonts w:ascii="Times New Roman" w:cs="Times New Roman" w:eastAsia="Times New Roman" w:hAnsi="Times New Roman"/>
          <w:sz w:val="21"/>
          <w:szCs w:val="21"/>
          <w:color w:val="auto"/>
        </w:rPr>
      </w:pPr>
    </w:p>
    <w:p>
      <w:pPr>
        <w:jc w:val="both"/>
        <w:ind w:firstLine="1278"/>
        <w:spacing w:after="0" w:line="226" w:lineRule="auto"/>
        <w:tabs>
          <w:tab w:leader="none" w:pos="1903" w:val="left"/>
        </w:tabs>
        <w:numPr>
          <w:ilvl w:val="1"/>
          <w:numId w:val="2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Liens arising out of conditional sale, consignment, title retention or similar arrangements for the sale of goods entered into by the Borrower or any of its Restricted Subsidiaries in the ordinary course of business and (ii) purported Liens evidenced by the filing of UCC financing statements relating solely to operating leases or consignment or bailee arrangements entered into in the ordinary course of business;</w:t>
      </w:r>
    </w:p>
    <w:p>
      <w:pPr>
        <w:spacing w:after="0" w:line="150" w:lineRule="exact"/>
        <w:rPr>
          <w:rFonts w:ascii="Times New Roman" w:cs="Times New Roman" w:eastAsia="Times New Roman" w:hAnsi="Times New Roman"/>
          <w:sz w:val="21"/>
          <w:szCs w:val="21"/>
          <w:color w:val="auto"/>
        </w:rPr>
      </w:pPr>
    </w:p>
    <w:p>
      <w:pPr>
        <w:jc w:val="both"/>
        <w:ind w:firstLine="1278"/>
        <w:spacing w:after="0" w:line="222" w:lineRule="auto"/>
        <w:tabs>
          <w:tab w:leader="none" w:pos="1903" w:val="left"/>
        </w:tabs>
        <w:numPr>
          <w:ilvl w:val="1"/>
          <w:numId w:val="2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(i) of a collection bank arising under Section 4-210 of the UCC on items in the course of collection; (ii) attaching to commodity trading accounts or other commodity brokerage accounts incurred in the ordinary course of business; and</w:t>
      </w:r>
    </w:p>
    <w:p>
      <w:pPr>
        <w:spacing w:after="0" w:line="1" w:lineRule="exact"/>
        <w:rPr>
          <w:rFonts w:ascii="Times New Roman" w:cs="Times New Roman" w:eastAsia="Times New Roman" w:hAnsi="Times New Roman"/>
          <w:sz w:val="21"/>
          <w:szCs w:val="21"/>
          <w:color w:val="auto"/>
        </w:rPr>
      </w:pPr>
    </w:p>
    <w:p>
      <w:pPr>
        <w:ind w:firstLine="6"/>
        <w:spacing w:after="0" w:line="231" w:lineRule="auto"/>
        <w:tabs>
          <w:tab w:leader="none" w:pos="385" w:val="left"/>
        </w:tabs>
        <w:numPr>
          <w:ilvl w:val="0"/>
          <w:numId w:val="2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favor of banking institutions arising as a matter of law encumbering deposits (including the right of set-off) and which are within the general parameters customary in the banking industry;</w:t>
      </w:r>
    </w:p>
    <w:p>
      <w:pPr>
        <w:spacing w:after="0" w:line="147" w:lineRule="exact"/>
        <w:rPr>
          <w:rFonts w:ascii="Times New Roman" w:cs="Times New Roman" w:eastAsia="Times New Roman" w:hAnsi="Times New Roman"/>
          <w:sz w:val="21"/>
          <w:szCs w:val="21"/>
          <w:color w:val="auto"/>
        </w:rPr>
      </w:pPr>
    </w:p>
    <w:p>
      <w:pPr>
        <w:ind w:right="20" w:firstLine="1278"/>
        <w:spacing w:after="0" w:line="245" w:lineRule="auto"/>
        <w:tabs>
          <w:tab w:leader="none" w:pos="1908" w:val="left"/>
        </w:tabs>
        <w:numPr>
          <w:ilvl w:val="1"/>
          <w:numId w:val="2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deposits made in the ordinary course of business to secure liability to insurance carriers, and Liens on insurance policies and the proceeds thereof securing the financing of the premiums with respect thereto;</w:t>
      </w:r>
    </w:p>
    <w:p>
      <w:pPr>
        <w:spacing w:after="0" w:line="142" w:lineRule="exact"/>
        <w:rPr>
          <w:rFonts w:ascii="Times New Roman" w:cs="Times New Roman" w:eastAsia="Times New Roman" w:hAnsi="Times New Roman"/>
          <w:sz w:val="21"/>
          <w:szCs w:val="21"/>
          <w:color w:val="auto"/>
        </w:rPr>
      </w:pPr>
    </w:p>
    <w:p>
      <w:pPr>
        <w:ind w:firstLine="1278"/>
        <w:spacing w:after="0" w:line="245" w:lineRule="auto"/>
        <w:tabs>
          <w:tab w:leader="none" w:pos="1906" w:val="left"/>
        </w:tabs>
        <w:numPr>
          <w:ilvl w:val="1"/>
          <w:numId w:val="2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on Cash Collateral granted in favor of any Lenders and/or L/C Issuers created as a result of any requirement or option to Cash Collateralize pursuant to this Agreement;</w:t>
      </w:r>
    </w:p>
    <w:p>
      <w:pPr>
        <w:spacing w:after="0" w:line="142" w:lineRule="exact"/>
        <w:rPr>
          <w:rFonts w:ascii="Times New Roman" w:cs="Times New Roman" w:eastAsia="Times New Roman" w:hAnsi="Times New Roman"/>
          <w:sz w:val="21"/>
          <w:szCs w:val="21"/>
          <w:color w:val="auto"/>
        </w:rPr>
      </w:pPr>
    </w:p>
    <w:p>
      <w:pPr>
        <w:jc w:val="both"/>
        <w:ind w:firstLine="1278"/>
        <w:spacing w:after="0" w:line="221" w:lineRule="auto"/>
        <w:tabs>
          <w:tab w:leader="none" w:pos="1896" w:val="left"/>
        </w:tabs>
        <w:numPr>
          <w:ilvl w:val="1"/>
          <w:numId w:val="2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that are customary contractual rights of setoff (i) relating to the establishment of depository relations with banks or other financial institutions not given in connection with the incurrence of Indebtedness; (ii) relating to pooled deposit or sweep accounts of the Borrower or any of its Restricted Subsidiaries to permit satisfaction of overdraft or similar obligations incurred in the ordinary course of business of the Borrower or any of its Restricted Subsidiaries; or (iii) relating to purchase orders and other agreements entered into with customers of the Borrower or any of its Restricted Subsidiaries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135</w:t>
      </w:r>
    </w:p>
    <w:p>
      <w:pPr>
        <w:sectPr>
          <w:pgSz w:w="11900" w:h="16838" w:orient="portrait"/>
          <w:cols w:equalWidth="0" w:num="1">
            <w:col w:w="11240"/>
          </w:cols>
          <w:pgMar w:left="320" w:top="1371" w:right="339" w:bottom="1440" w:gutter="0" w:footer="0" w:header="0"/>
        </w:sectPr>
      </w:pPr>
    </w:p>
    <w:bookmarkStart w:id="241" w:name="page242"/>
    <w:bookmarkEnd w:id="241"/>
    <w:p>
      <w:pPr>
        <w:jc w:val="both"/>
        <w:ind w:firstLine="1278"/>
        <w:spacing w:after="0" w:line="223" w:lineRule="auto"/>
        <w:tabs>
          <w:tab w:leader="none" w:pos="1903" w:val="left"/>
        </w:tabs>
        <w:numPr>
          <w:ilvl w:val="0"/>
          <w:numId w:val="2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zoning, building, entitlement and other land use regulations by Governmental Authorities with which the normal operation of the business complies except for such noncompliance that does not materially interfere with the ordinary conduct of the business of the Borrower or any of its Restricted Subsidiaries; and (ii) any zoning or similar law or right reserved to or vested in any Governmental Authority to control or regulate the use of any real property that does not materially interfere with the ordinary conduct of the business of the Borrower or any of its Restricted Subsidiaries;</w:t>
      </w:r>
    </w:p>
    <w:p>
      <w:pPr>
        <w:spacing w:after="0" w:line="150" w:lineRule="exact"/>
        <w:rPr>
          <w:rFonts w:ascii="Times New Roman" w:cs="Times New Roman" w:eastAsia="Times New Roman" w:hAnsi="Times New Roman"/>
          <w:sz w:val="21"/>
          <w:szCs w:val="21"/>
          <w:color w:val="auto"/>
        </w:rPr>
      </w:pPr>
    </w:p>
    <w:p>
      <w:pPr>
        <w:ind w:firstLine="1278"/>
        <w:spacing w:after="0" w:line="245" w:lineRule="auto"/>
        <w:tabs>
          <w:tab w:leader="none" w:pos="1903" w:val="left"/>
        </w:tabs>
        <w:numPr>
          <w:ilvl w:val="0"/>
          <w:numId w:val="2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solely on any cash earnest money deposits made by the Borrower or any of its Restricted Subsidiaries in connection with any letter of intent or purchase agreement permitted hereunder;</w:t>
      </w:r>
    </w:p>
    <w:p>
      <w:pPr>
        <w:spacing w:after="0" w:line="142" w:lineRule="exact"/>
        <w:rPr>
          <w:rFonts w:ascii="Times New Roman" w:cs="Times New Roman" w:eastAsia="Times New Roman" w:hAnsi="Times New Roman"/>
          <w:sz w:val="21"/>
          <w:szCs w:val="21"/>
          <w:color w:val="auto"/>
        </w:rPr>
      </w:pPr>
    </w:p>
    <w:p>
      <w:pPr>
        <w:jc w:val="both"/>
        <w:ind w:firstLine="1278"/>
        <w:spacing w:after="0" w:line="226" w:lineRule="auto"/>
        <w:tabs>
          <w:tab w:leader="none" w:pos="1897" w:val="left"/>
        </w:tabs>
        <w:numPr>
          <w:ilvl w:val="0"/>
          <w:numId w:val="2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licenses and sublicenses of IP Rights, and Liens under licensing agreements for the use of intellectual property, in each case, either entered into in the ordinary course of business or pursuant to a bona fide transaction intended or expected to increase, maintain or preserve, or prevent a decrease in, the revenue, profits, cash flow, or value of the Borrower and its Restricted Subsidiaries, taken as a whole, and which could not reasonably be expected to have a Material Adverse Effect;</w:t>
      </w:r>
    </w:p>
    <w:p>
      <w:pPr>
        <w:spacing w:after="0" w:line="150" w:lineRule="exact"/>
        <w:rPr>
          <w:rFonts w:ascii="Times New Roman" w:cs="Times New Roman" w:eastAsia="Times New Roman" w:hAnsi="Times New Roman"/>
          <w:sz w:val="21"/>
          <w:szCs w:val="21"/>
          <w:color w:val="auto"/>
        </w:rPr>
      </w:pPr>
    </w:p>
    <w:p>
      <w:pPr>
        <w:jc w:val="both"/>
        <w:ind w:firstLine="1278"/>
        <w:spacing w:after="0" w:line="226" w:lineRule="auto"/>
        <w:tabs>
          <w:tab w:leader="none" w:pos="1903" w:val="left"/>
        </w:tabs>
        <w:numPr>
          <w:ilvl w:val="0"/>
          <w:numId w:val="2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on cash and Cash Equivalents in an aggregate amount outstanding at any time not to exceed the greater of $</w:t>
      </w:r>
      <w:r>
        <w:rPr>
          <w:rFonts w:ascii="Times New Roman" w:cs="Times New Roman" w:eastAsia="Times New Roman" w:hAnsi="Times New Roman"/>
          <w:sz w:val="21"/>
          <w:szCs w:val="21"/>
          <w:b w:val="1"/>
          <w:bCs w:val="1"/>
          <w:color w:val="FF0000"/>
          <w:strike w:val="1"/>
        </w:rPr>
        <w:t>100,000,000</w:t>
      </w:r>
      <w:r>
        <w:rPr>
          <w:rFonts w:ascii="Times New Roman" w:cs="Times New Roman" w:eastAsia="Times New Roman" w:hAnsi="Times New Roman"/>
          <w:sz w:val="21"/>
          <w:szCs w:val="21"/>
          <w:b w:val="1"/>
          <w:bCs w:val="1"/>
          <w:u w:val="single" w:color="auto"/>
          <w:color w:val="0000FF"/>
        </w:rPr>
        <w:t>200,000,000</w:t>
      </w:r>
      <w:r>
        <w:rPr>
          <w:rFonts w:ascii="Times New Roman" w:cs="Times New Roman" w:eastAsia="Times New Roman" w:hAnsi="Times New Roman"/>
          <w:sz w:val="21"/>
          <w:szCs w:val="21"/>
          <w:color w:val="auto"/>
        </w:rPr>
        <w:t xml:space="preserve"> and 40% of Consolidated EBITDA based on the Most Recent Financial Statements to secure obligations of the Borrower or any Restricted Subsidiary in respect of ordinary course cash management arrangements or under Swap Contracts, in each case, that do not constitute Obligations;</w:t>
      </w:r>
    </w:p>
    <w:p>
      <w:pPr>
        <w:spacing w:after="0" w:line="150" w:lineRule="exact"/>
        <w:rPr>
          <w:rFonts w:ascii="Times New Roman" w:cs="Times New Roman" w:eastAsia="Times New Roman" w:hAnsi="Times New Roman"/>
          <w:sz w:val="21"/>
          <w:szCs w:val="21"/>
          <w:color w:val="auto"/>
        </w:rPr>
      </w:pPr>
    </w:p>
    <w:p>
      <w:pPr>
        <w:jc w:val="both"/>
        <w:ind w:firstLine="1278"/>
        <w:spacing w:after="0" w:line="223" w:lineRule="auto"/>
        <w:tabs>
          <w:tab w:leader="none" w:pos="1903" w:val="left"/>
        </w:tabs>
        <w:numPr>
          <w:ilvl w:val="0"/>
          <w:numId w:val="2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Liens on Collateral securing obligations under the documentation for Indebtedness permitted pursuant to </w:t>
      </w:r>
      <w:r>
        <w:rPr>
          <w:rFonts w:ascii="Times New Roman" w:cs="Times New Roman" w:eastAsia="Times New Roman" w:hAnsi="Times New Roman"/>
          <w:sz w:val="21"/>
          <w:szCs w:val="21"/>
          <w:u w:val="single" w:color="auto"/>
          <w:color w:val="auto"/>
        </w:rPr>
        <w:t>Section 7.03(s)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such indebtedness is secured by any or all of the Collateral, such Liens shall be subject to the Pari Passu Intercreditor Agreement, and (if then in effect) the Junior Lien Intercreditor Agreement if such indebtedness is secured on a pari passu basis (without regard to the control of remedies) with the Obligations and, otherwise, to the Junior Lien Intercreditor Agreement;</w:t>
      </w:r>
    </w:p>
    <w:p>
      <w:pPr>
        <w:spacing w:after="0" w:line="150" w:lineRule="exact"/>
        <w:rPr>
          <w:rFonts w:ascii="Times New Roman" w:cs="Times New Roman" w:eastAsia="Times New Roman" w:hAnsi="Times New Roman"/>
          <w:sz w:val="21"/>
          <w:szCs w:val="21"/>
          <w:color w:val="auto"/>
        </w:rPr>
      </w:pPr>
    </w:p>
    <w:p>
      <w:pPr>
        <w:ind w:left="1920" w:hanging="642"/>
        <w:spacing w:after="0"/>
        <w:tabs>
          <w:tab w:leader="none" w:pos="1920" w:val="left"/>
        </w:tabs>
        <w:numPr>
          <w:ilvl w:val="0"/>
          <w:numId w:val="2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arising in the ordinary course of business under the Perishable Agricultural Commodities Act of 1930;</w:t>
      </w:r>
    </w:p>
    <w:p>
      <w:pPr>
        <w:spacing w:after="0" w:line="183" w:lineRule="exact"/>
        <w:rPr>
          <w:sz w:val="20"/>
          <w:szCs w:val="20"/>
          <w:color w:val="auto"/>
        </w:rPr>
      </w:pPr>
    </w:p>
    <w:p>
      <w:pPr>
        <w:ind w:firstLine="1278"/>
        <w:spacing w:after="0" w:line="245" w:lineRule="auto"/>
        <w:tabs>
          <w:tab w:leader="none" w:pos="1906" w:val="left"/>
        </w:tabs>
        <w:numPr>
          <w:ilvl w:val="0"/>
          <w:numId w:val="2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on Equity Interests in joint ventures or Unrestricted Subsidiaries (i) securing obligations of such joint ventures or Unrestricted Subsidiaries or (ii) pursuant to the relevant joint venture agreement or arrangements;</w:t>
      </w:r>
    </w:p>
    <w:p>
      <w:pPr>
        <w:spacing w:after="0" w:line="128" w:lineRule="exact"/>
        <w:rPr>
          <w:sz w:val="20"/>
          <w:szCs w:val="20"/>
          <w:color w:val="auto"/>
        </w:rPr>
      </w:pPr>
    </w:p>
    <w:tbl>
      <w:tblPr>
        <w:tblLayout w:type="fixed"/>
        <w:tblInd w:w="1280" w:type="dxa"/>
        <w:tblCellMar>
          <w:top w:w="0" w:type="dxa"/>
          <w:left w:w="0" w:type="dxa"/>
          <w:bottom w:w="0" w:type="dxa"/>
          <w:right w:w="0" w:type="dxa"/>
        </w:tblCellMar>
      </w:tblPr>
      <w:tr>
        <w:trPr>
          <w:trHeight w:val="241"/>
        </w:trPr>
        <w:tc>
          <w:tcPr>
            <w:tcW w:w="480" w:type="dxa"/>
            <w:vAlign w:val="bottom"/>
          </w:tcPr>
          <w:p>
            <w:pPr>
              <w:spacing w:after="0"/>
              <w:rPr>
                <w:sz w:val="20"/>
                <w:szCs w:val="20"/>
                <w:color w:val="auto"/>
              </w:rPr>
            </w:pPr>
            <w:r>
              <w:rPr>
                <w:rFonts w:ascii="Times New Roman" w:cs="Times New Roman" w:eastAsia="Times New Roman" w:hAnsi="Times New Roman"/>
                <w:sz w:val="21"/>
                <w:szCs w:val="21"/>
                <w:color w:val="auto"/>
              </w:rPr>
              <w:t>(ab)</w:t>
            </w:r>
          </w:p>
        </w:tc>
        <w:tc>
          <w:tcPr>
            <w:tcW w:w="9480" w:type="dxa"/>
            <w:vAlign w:val="bottom"/>
            <w:gridSpan w:val="3"/>
          </w:tcPr>
          <w:p>
            <w:pPr>
              <w:ind w:left="160"/>
              <w:spacing w:after="0"/>
              <w:rPr>
                <w:sz w:val="20"/>
                <w:szCs w:val="20"/>
                <w:color w:val="auto"/>
              </w:rPr>
            </w:pPr>
            <w:r>
              <w:rPr>
                <w:rFonts w:ascii="Times New Roman" w:cs="Times New Roman" w:eastAsia="Times New Roman" w:hAnsi="Times New Roman"/>
                <w:sz w:val="21"/>
                <w:szCs w:val="21"/>
                <w:color w:val="auto"/>
              </w:rPr>
              <w:t>Liens arising out of sale and lease-back transactions permitted under Section 7.15;</w:t>
            </w:r>
          </w:p>
        </w:tc>
      </w:tr>
      <w:tr>
        <w:trPr>
          <w:trHeight w:val="20"/>
        </w:trPr>
        <w:tc>
          <w:tcPr>
            <w:tcW w:w="48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414"/>
        </w:trPr>
        <w:tc>
          <w:tcPr>
            <w:tcW w:w="480" w:type="dxa"/>
            <w:vAlign w:val="bottom"/>
          </w:tcPr>
          <w:p>
            <w:pPr>
              <w:spacing w:after="0"/>
              <w:rPr>
                <w:sz w:val="20"/>
                <w:szCs w:val="20"/>
                <w:color w:val="auto"/>
              </w:rPr>
            </w:pPr>
            <w:r>
              <w:rPr>
                <w:rFonts w:ascii="Times New Roman" w:cs="Times New Roman" w:eastAsia="Times New Roman" w:hAnsi="Times New Roman"/>
                <w:sz w:val="21"/>
                <w:szCs w:val="21"/>
                <w:color w:val="auto"/>
              </w:rPr>
              <w:t>(ac)</w:t>
            </w:r>
          </w:p>
        </w:tc>
        <w:tc>
          <w:tcPr>
            <w:tcW w:w="9480" w:type="dxa"/>
            <w:vAlign w:val="bottom"/>
            <w:gridSpan w:val="3"/>
          </w:tcPr>
          <w:p>
            <w:pPr>
              <w:ind w:left="160"/>
              <w:spacing w:after="0"/>
              <w:rPr>
                <w:sz w:val="20"/>
                <w:szCs w:val="20"/>
                <w:color w:val="auto"/>
              </w:rPr>
            </w:pPr>
            <w:r>
              <w:rPr>
                <w:rFonts w:ascii="Times New Roman" w:cs="Times New Roman" w:eastAsia="Times New Roman" w:hAnsi="Times New Roman"/>
                <w:sz w:val="21"/>
                <w:szCs w:val="21"/>
                <w:color w:val="auto"/>
              </w:rPr>
              <w:t>Liens (i) in favor of the Borrower or any Loan Party granted by a Restricted Subsidiary that is not a Loan</w:t>
            </w:r>
          </w:p>
        </w:tc>
      </w:tr>
    </w:tbl>
    <w:p>
      <w:pPr>
        <w:jc w:val="both"/>
        <w:spacing w:after="0" w:line="231" w:lineRule="auto"/>
        <w:rPr>
          <w:sz w:val="20"/>
          <w:szCs w:val="20"/>
          <w:color w:val="auto"/>
        </w:rPr>
      </w:pPr>
      <w:r>
        <w:rPr>
          <w:rFonts w:ascii="Times New Roman" w:cs="Times New Roman" w:eastAsia="Times New Roman" w:hAnsi="Times New Roman"/>
          <w:sz w:val="21"/>
          <w:szCs w:val="21"/>
          <w:color w:val="auto"/>
        </w:rPr>
        <w:t xml:space="preserve">Party or (ii) granted by any non-Loan Party in favor of any other non-Loan Party, in the case of each of </w:t>
      </w:r>
      <w:r>
        <w:rPr>
          <w:rFonts w:ascii="Times New Roman" w:cs="Times New Roman" w:eastAsia="Times New Roman" w:hAnsi="Times New Roman"/>
          <w:sz w:val="21"/>
          <w:szCs w:val="21"/>
          <w:u w:val="single" w:color="auto"/>
          <w:color w:val="auto"/>
        </w:rPr>
        <w:t>clauses (i) and (ii)</w:t>
      </w:r>
      <w:r>
        <w:rPr>
          <w:rFonts w:ascii="Times New Roman" w:cs="Times New Roman" w:eastAsia="Times New Roman" w:hAnsi="Times New Roman"/>
          <w:sz w:val="21"/>
          <w:szCs w:val="21"/>
          <w:color w:val="auto"/>
        </w:rPr>
        <w:t xml:space="preserve">, securing intercompany Indebtedness permitted under </w:t>
      </w:r>
      <w:r>
        <w:rPr>
          <w:rFonts w:ascii="Times New Roman" w:cs="Times New Roman" w:eastAsia="Times New Roman" w:hAnsi="Times New Roman"/>
          <w:sz w:val="21"/>
          <w:szCs w:val="21"/>
          <w:u w:val="single" w:color="auto"/>
          <w:color w:val="auto"/>
        </w:rPr>
        <w:t>Section 7.02</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7.03</w:t>
      </w:r>
      <w:r>
        <w:rPr>
          <w:rFonts w:ascii="Times New Roman" w:cs="Times New Roman" w:eastAsia="Times New Roman" w:hAnsi="Times New Roman"/>
          <w:sz w:val="21"/>
          <w:szCs w:val="21"/>
          <w:color w:val="auto"/>
        </w:rPr>
        <w:t>;</w:t>
      </w:r>
    </w:p>
    <w:p>
      <w:pPr>
        <w:sectPr>
          <w:pgSz w:w="11900" w:h="16838" w:orient="portrait"/>
          <w:cols w:equalWidth="0" w:num="1">
            <w:col w:w="11240"/>
          </w:cols>
          <w:pgMar w:left="320" w:top="1371" w:right="339" w:bottom="1440" w:gutter="0" w:footer="0" w:header="0"/>
        </w:sectPr>
      </w:pPr>
    </w:p>
    <w:p>
      <w:pPr>
        <w:spacing w:after="0" w:line="14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(ad)</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Liens on cash or Cash Equivalents in respect of ordinary course cash management arrangements;</w:t>
      </w:r>
    </w:p>
    <w:p>
      <w:pPr>
        <w:spacing w:after="0" w:line="183" w:lineRule="exact"/>
        <w:rPr>
          <w:sz w:val="20"/>
          <w:szCs w:val="20"/>
          <w:color w:val="auto"/>
        </w:rPr>
      </w:pPr>
    </w:p>
    <w:p>
      <w:pPr>
        <w:sectPr>
          <w:pgSz w:w="11900" w:h="16838" w:orient="portrait"/>
          <w:cols w:equalWidth="0" w:num="2">
            <w:col w:w="1620" w:space="300"/>
            <w:col w:w="9320"/>
          </w:cols>
          <w:pgMar w:left="320" w:top="1371" w:right="339" w:bottom="1440" w:gutter="0" w:footer="0" w:header="0"/>
          <w:type w:val="continuous"/>
        </w:sectPr>
      </w:pPr>
    </w:p>
    <w:p>
      <w:pPr>
        <w:ind w:left="1280"/>
        <w:spacing w:after="0"/>
        <w:tabs>
          <w:tab w:leader="none" w:pos="1900" w:val="left"/>
        </w:tabs>
        <w:rPr>
          <w:sz w:val="20"/>
          <w:szCs w:val="20"/>
          <w:color w:val="auto"/>
        </w:rPr>
      </w:pPr>
      <w:r>
        <w:rPr>
          <w:rFonts w:ascii="Times New Roman" w:cs="Times New Roman" w:eastAsia="Times New Roman" w:hAnsi="Times New Roman"/>
          <w:sz w:val="21"/>
          <w:szCs w:val="21"/>
          <w:color w:val="auto"/>
        </w:rPr>
        <w:t>(ae)</w:t>
        <w:tab/>
        <w:t>ground leases in respect of real property on which facilities owned or leased by the Borrower or any of its</w:t>
      </w:r>
    </w:p>
    <w:p>
      <w:pPr>
        <w:sectPr>
          <w:pgSz w:w="11900" w:h="16838" w:orient="portrait"/>
          <w:cols w:equalWidth="0" w:num="1">
            <w:col w:w="11240"/>
          </w:cols>
          <w:pgMar w:left="320" w:top="1371" w:right="339"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Restricted Subsidiaries are located;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136</w:t>
      </w:r>
    </w:p>
    <w:p>
      <w:pPr>
        <w:sectPr>
          <w:pgSz w:w="11900" w:h="16838" w:orient="portrait"/>
          <w:cols w:equalWidth="0" w:num="1">
            <w:col w:w="11240"/>
          </w:cols>
          <w:pgMar w:left="320" w:top="1371" w:right="339" w:bottom="1440" w:gutter="0" w:footer="0" w:header="0"/>
          <w:type w:val="continuous"/>
        </w:sectPr>
      </w:pPr>
    </w:p>
    <w:bookmarkStart w:id="242" w:name="page243"/>
    <w:bookmarkEnd w:id="242"/>
    <w:p>
      <w:pPr>
        <w:jc w:val="both"/>
        <w:ind w:firstLine="1272"/>
        <w:spacing w:after="0" w:line="232" w:lineRule="auto"/>
        <w:rPr>
          <w:sz w:val="20"/>
          <w:szCs w:val="20"/>
          <w:color w:val="auto"/>
        </w:rPr>
      </w:pPr>
      <w:r>
        <w:rPr>
          <w:rFonts w:ascii="Times New Roman" w:cs="Times New Roman" w:eastAsia="Times New Roman" w:hAnsi="Times New Roman"/>
          <w:sz w:val="21"/>
          <w:szCs w:val="21"/>
          <w:color w:val="auto"/>
        </w:rPr>
        <w:t>(af) Liens on fee owned real property and related improvements and fixtures or other assets not constituting Collateral which secure Indebtedness in an aggregate principal amount outstanding at any time not to exceed the greater of $</w:t>
      </w:r>
      <w:r>
        <w:rPr>
          <w:rFonts w:ascii="Times New Roman" w:cs="Times New Roman" w:eastAsia="Times New Roman" w:hAnsi="Times New Roman"/>
          <w:sz w:val="21"/>
          <w:szCs w:val="21"/>
          <w:b w:val="1"/>
          <w:bCs w:val="1"/>
          <w:color w:val="FF0000"/>
          <w:strike w:val="1"/>
        </w:rPr>
        <w:t>30,000,000</w:t>
      </w:r>
      <w:r>
        <w:rPr>
          <w:rFonts w:ascii="Times New Roman" w:cs="Times New Roman" w:eastAsia="Times New Roman" w:hAnsi="Times New Roman"/>
          <w:sz w:val="21"/>
          <w:szCs w:val="21"/>
          <w:b w:val="1"/>
          <w:bCs w:val="1"/>
          <w:u w:val="single" w:color="auto"/>
          <w:color w:val="0000FF"/>
        </w:rPr>
        <w:t>60,000,000</w:t>
      </w:r>
      <w:r>
        <w:rPr>
          <w:rFonts w:ascii="Times New Roman" w:cs="Times New Roman" w:eastAsia="Times New Roman" w:hAnsi="Times New Roman"/>
          <w:sz w:val="21"/>
          <w:szCs w:val="21"/>
          <w:color w:val="auto"/>
        </w:rPr>
        <w:t xml:space="preserve"> and 12.00% of Consolidated EBITDA; and</w:t>
      </w:r>
    </w:p>
    <w:p>
      <w:pPr>
        <w:spacing w:after="0" w:line="148" w:lineRule="exact"/>
        <w:rPr>
          <w:sz w:val="20"/>
          <w:szCs w:val="20"/>
          <w:color w:val="auto"/>
        </w:rPr>
      </w:pPr>
    </w:p>
    <w:p>
      <w:pPr>
        <w:jc w:val="both"/>
        <w:ind w:firstLine="1272"/>
        <w:spacing w:after="0" w:line="232" w:lineRule="auto"/>
        <w:rPr>
          <w:sz w:val="20"/>
          <w:szCs w:val="20"/>
          <w:color w:val="auto"/>
        </w:rPr>
      </w:pPr>
      <w:r>
        <w:rPr>
          <w:rFonts w:ascii="Times New Roman" w:cs="Times New Roman" w:eastAsia="Times New Roman" w:hAnsi="Times New Roman"/>
          <w:sz w:val="21"/>
          <w:szCs w:val="21"/>
          <w:color w:val="auto"/>
        </w:rPr>
        <w:t xml:space="preserve">(ag) Liens securing Indebtedness permitted under </w:t>
      </w:r>
      <w:r>
        <w:rPr>
          <w:rFonts w:ascii="Times New Roman" w:cs="Times New Roman" w:eastAsia="Times New Roman" w:hAnsi="Times New Roman"/>
          <w:sz w:val="21"/>
          <w:szCs w:val="21"/>
          <w:u w:val="single" w:color="auto"/>
          <w:color w:val="auto"/>
        </w:rPr>
        <w:t>Section 7.03(aa)</w:t>
      </w:r>
      <w:r>
        <w:rPr>
          <w:rFonts w:ascii="Times New Roman" w:cs="Times New Roman" w:eastAsia="Times New Roman" w:hAnsi="Times New Roman"/>
          <w:sz w:val="21"/>
          <w:szCs w:val="21"/>
          <w:color w:val="auto"/>
        </w:rPr>
        <w:t>; provided that such Liens do not at any time encumber any property other than assets owned by such Restricted Subsidiary and its Subsidiaries incurring such Indebtedness permitted under Section 7.03(aa).</w:t>
      </w:r>
    </w:p>
    <w:p>
      <w:pPr>
        <w:spacing w:after="0" w:line="146"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7.02</w:t>
      </w:r>
      <w:r>
        <w:rPr>
          <w:sz w:val="20"/>
          <w:szCs w:val="20"/>
          <w:color w:val="auto"/>
        </w:rPr>
        <w:tab/>
      </w:r>
      <w:r>
        <w:rPr>
          <w:rFonts w:ascii="Times New Roman" w:cs="Times New Roman" w:eastAsia="Times New Roman" w:hAnsi="Times New Roman"/>
          <w:sz w:val="21"/>
          <w:szCs w:val="21"/>
          <w:i w:val="1"/>
          <w:iCs w:val="1"/>
          <w:color w:val="auto"/>
        </w:rPr>
        <w:t>Investments</w:t>
      </w:r>
    </w:p>
    <w:p>
      <w:pPr>
        <w:spacing w:after="0" w:line="211" w:lineRule="exact"/>
        <w:rPr>
          <w:sz w:val="20"/>
          <w:szCs w:val="20"/>
          <w:color w:val="auto"/>
        </w:rPr>
      </w:pPr>
    </w:p>
    <w:p>
      <w:pPr>
        <w:ind w:left="740" w:hanging="98"/>
        <w:spacing w:after="0"/>
        <w:tabs>
          <w:tab w:leader="none" w:pos="740" w:val="left"/>
        </w:tabs>
        <w:numPr>
          <w:ilvl w:val="1"/>
          <w:numId w:val="2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Make any Investments, except:</w:t>
      </w:r>
    </w:p>
    <w:p>
      <w:pPr>
        <w:spacing w:after="0" w:line="195" w:lineRule="exact"/>
        <w:rPr>
          <w:rFonts w:ascii="Times New Roman" w:cs="Times New Roman" w:eastAsia="Times New Roman" w:hAnsi="Times New Roman"/>
          <w:sz w:val="21"/>
          <w:szCs w:val="21"/>
          <w:color w:val="auto"/>
        </w:rPr>
      </w:pPr>
    </w:p>
    <w:p>
      <w:pPr>
        <w:ind w:left="1920" w:hanging="642"/>
        <w:spacing w:after="0"/>
        <w:tabs>
          <w:tab w:leader="none" w:pos="1920" w:val="left"/>
        </w:tabs>
        <w:numPr>
          <w:ilvl w:val="2"/>
          <w:numId w:val="2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Investments held by the Borrower or such Restricted Subsidiary in the form of cash and Cash Equivalents;</w:t>
      </w:r>
    </w:p>
    <w:p>
      <w:pPr>
        <w:spacing w:after="0" w:line="182" w:lineRule="exact"/>
        <w:rPr>
          <w:rFonts w:ascii="Times New Roman" w:cs="Times New Roman" w:eastAsia="Times New Roman" w:hAnsi="Times New Roman"/>
          <w:sz w:val="21"/>
          <w:szCs w:val="21"/>
          <w:color w:val="auto"/>
        </w:rPr>
      </w:pPr>
    </w:p>
    <w:p>
      <w:pPr>
        <w:jc w:val="both"/>
        <w:ind w:firstLine="1278"/>
        <w:spacing w:after="0" w:line="226" w:lineRule="auto"/>
        <w:tabs>
          <w:tab w:leader="none" w:pos="1903" w:val="left"/>
        </w:tabs>
        <w:numPr>
          <w:ilvl w:val="2"/>
          <w:numId w:val="2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advances to officers, directors, employees and consultants of the Borrower and Restricted Subsidiaries (i) in an aggregate amount not to exceed $5,000,000 at any time outstanding, for payroll, salary, travel, entertainment, relocation and analogous ordinary business purposes; and (ii) in connection with such Person’s purchase of Equity Interests of the Borrower, </w:t>
      </w: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21"/>
          <w:szCs w:val="21"/>
          <w:color w:val="auto"/>
        </w:rPr>
        <w:t>that no cash is actually advanced pursuant to this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u w:val="single" w:color="auto"/>
          <w:color w:val="auto"/>
        </w:rPr>
        <w:t>clause (ii)</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unless promptly repaid;</w:t>
      </w:r>
    </w:p>
    <w:p>
      <w:pPr>
        <w:spacing w:after="0" w:line="148" w:lineRule="exact"/>
        <w:rPr>
          <w:rFonts w:ascii="Times New Roman" w:cs="Times New Roman" w:eastAsia="Times New Roman" w:hAnsi="Times New Roman"/>
          <w:sz w:val="21"/>
          <w:szCs w:val="21"/>
          <w:color w:val="auto"/>
        </w:rPr>
      </w:pPr>
    </w:p>
    <w:p>
      <w:pPr>
        <w:jc w:val="both"/>
        <w:ind w:firstLine="1278"/>
        <w:spacing w:after="0" w:line="212" w:lineRule="auto"/>
        <w:tabs>
          <w:tab w:leader="none" w:pos="1905" w:val="left"/>
        </w:tabs>
        <w:numPr>
          <w:ilvl w:val="2"/>
          <w:numId w:val="2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Investments (i) existing on the Closing Date in Subsidiaries existing on the Closing Date;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in the case of this </w:t>
      </w:r>
      <w:r>
        <w:rPr>
          <w:rFonts w:ascii="Times New Roman" w:cs="Times New Roman" w:eastAsia="Times New Roman" w:hAnsi="Times New Roman"/>
          <w:sz w:val="21"/>
          <w:szCs w:val="21"/>
          <w:u w:val="single" w:color="auto"/>
          <w:color w:val="auto"/>
        </w:rPr>
        <w:t>clause (i)</w:t>
      </w:r>
      <w:r>
        <w:rPr>
          <w:rFonts w:ascii="Times New Roman" w:cs="Times New Roman" w:eastAsia="Times New Roman" w:hAnsi="Times New Roman"/>
          <w:sz w:val="21"/>
          <w:szCs w:val="21"/>
          <w:color w:val="auto"/>
        </w:rPr>
        <w:t>, any such Investments in Restricted Subsidiaries that are not Loan Parties in the form of intercompany loans by Loan Parties if in excess of $</w:t>
      </w:r>
      <w:r>
        <w:rPr>
          <w:rFonts w:ascii="Times New Roman" w:cs="Times New Roman" w:eastAsia="Times New Roman" w:hAnsi="Times New Roman"/>
          <w:sz w:val="21"/>
          <w:szCs w:val="21"/>
          <w:b w:val="1"/>
          <w:bCs w:val="1"/>
          <w:color w:val="FF0000"/>
          <w:strike w:val="1"/>
        </w:rPr>
        <w:t>10,000,000</w:t>
      </w:r>
      <w:r>
        <w:rPr>
          <w:rFonts w:ascii="Times New Roman" w:cs="Times New Roman" w:eastAsia="Times New Roman" w:hAnsi="Times New Roman"/>
          <w:sz w:val="21"/>
          <w:szCs w:val="21"/>
          <w:b w:val="1"/>
          <w:bCs w:val="1"/>
          <w:u w:val="single" w:color="auto"/>
          <w:color w:val="0000FF"/>
        </w:rPr>
        <w:t>15,000,000</w:t>
      </w:r>
      <w:r>
        <w:rPr>
          <w:rFonts w:ascii="Times New Roman" w:cs="Times New Roman" w:eastAsia="Times New Roman" w:hAnsi="Times New Roman"/>
          <w:sz w:val="21"/>
          <w:szCs w:val="21"/>
          <w:color w:val="auto"/>
        </w:rPr>
        <w:t xml:space="preserve"> in the aggregate shall be evidenced by notes that have been pledged (individually or pursuant to a global note) to the Administrative Agent in form and substance reasonably satisfactory to the Administrative Agent for the benefit of the Secured Parties unless such pledge would, in the good faith judgment of the Borrower, result in adverse tax consequences to the Borrower and its Restricted Subsidiaries as reasonably determined by Borrower in consultation with the Administrative Agent; (ii) in Loan Parties (including those formed or acquired after the Closing Date so long as the Borrower and its Restricted Subsidiaries comply with the applicable provisions of </w:t>
      </w:r>
      <w:r>
        <w:rPr>
          <w:rFonts w:ascii="Times New Roman" w:cs="Times New Roman" w:eastAsia="Times New Roman" w:hAnsi="Times New Roman"/>
          <w:sz w:val="21"/>
          <w:szCs w:val="21"/>
          <w:u w:val="single" w:color="auto"/>
          <w:color w:val="auto"/>
        </w:rPr>
        <w:t>Section 6.11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notwithstanding anything to the contrary in this Agreement or any other Loan Document, the Lien of the Administrative Agent for the benefit of the Secured Parties shall not attach to any such Investment in the form of an intercompany loan and any intercompany note evidencing such loan shall not be required to be delivered to the Administrative Agent if any such note is subsequently reasonably promptly contributed to a Subsidiary that is not a Loan Party pursuant to </w:t>
      </w:r>
      <w:r>
        <w:rPr>
          <w:rFonts w:ascii="Times New Roman" w:cs="Times New Roman" w:eastAsia="Times New Roman" w:hAnsi="Times New Roman"/>
          <w:sz w:val="21"/>
          <w:szCs w:val="21"/>
          <w:u w:val="single" w:color="auto"/>
          <w:color w:val="auto"/>
        </w:rPr>
        <w:t>Section 7.02(c)(iv)</w:t>
      </w:r>
      <w:r>
        <w:rPr>
          <w:rFonts w:ascii="Times New Roman" w:cs="Times New Roman" w:eastAsia="Times New Roman" w:hAnsi="Times New Roman"/>
          <w:sz w:val="21"/>
          <w:szCs w:val="21"/>
          <w:color w:val="auto"/>
        </w:rPr>
        <w:t xml:space="preserve">); (iii) by Restricted Subsidiaries that are not Loan Parties in Restricted Subsidiaries that are not Loan Parties; and (iv) by the Borrower or any other Loan Party in Unrestricted Subsidiaries, in Restricted Subsidiaries that are not Loan Parties or in other Persons;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in the case of this </w:t>
      </w:r>
      <w:r>
        <w:rPr>
          <w:rFonts w:ascii="Times New Roman" w:cs="Times New Roman" w:eastAsia="Times New Roman" w:hAnsi="Times New Roman"/>
          <w:sz w:val="21"/>
          <w:szCs w:val="21"/>
          <w:u w:val="single" w:color="auto"/>
          <w:color w:val="auto"/>
        </w:rPr>
        <w:t>clause (iv)</w:t>
      </w:r>
      <w:r>
        <w:rPr>
          <w:rFonts w:ascii="Times New Roman" w:cs="Times New Roman" w:eastAsia="Times New Roman" w:hAnsi="Times New Roman"/>
          <w:sz w:val="21"/>
          <w:szCs w:val="21"/>
          <w:color w:val="auto"/>
        </w:rPr>
        <w:t xml:space="preserve">, (A) no Event of Default under </w:t>
      </w:r>
      <w:r>
        <w:rPr>
          <w:rFonts w:ascii="Times New Roman" w:cs="Times New Roman" w:eastAsia="Times New Roman" w:hAnsi="Times New Roman"/>
          <w:sz w:val="21"/>
          <w:szCs w:val="21"/>
          <w:u w:val="single" w:color="auto"/>
          <w:color w:val="auto"/>
        </w:rPr>
        <w:t>Sections 8.01(a)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8.01(f)</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8.01(g)</w:t>
      </w:r>
      <w:r>
        <w:rPr>
          <w:rFonts w:ascii="Times New Roman" w:cs="Times New Roman" w:eastAsia="Times New Roman" w:hAnsi="Times New Roman"/>
          <w:sz w:val="21"/>
          <w:szCs w:val="21"/>
          <w:color w:val="auto"/>
        </w:rPr>
        <w:t xml:space="preserve"> shall have occurred and be continuing,</w:t>
      </w:r>
    </w:p>
    <w:p>
      <w:pPr>
        <w:spacing w:after="0" w:line="6" w:lineRule="exact"/>
        <w:rPr>
          <w:rFonts w:ascii="Times New Roman" w:cs="Times New Roman" w:eastAsia="Times New Roman" w:hAnsi="Times New Roman"/>
          <w:sz w:val="21"/>
          <w:szCs w:val="21"/>
          <w:color w:val="auto"/>
        </w:rPr>
      </w:pPr>
    </w:p>
    <w:p>
      <w:pPr>
        <w:jc w:val="both"/>
        <w:ind w:firstLine="6"/>
        <w:spacing w:after="0" w:line="216" w:lineRule="auto"/>
        <w:tabs>
          <w:tab w:leader="none" w:pos="338" w:val="left"/>
        </w:tabs>
        <w:numPr>
          <w:ilvl w:val="0"/>
          <w:numId w:val="2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Borrower and its Restricted Subsidiaries comply with the applicable provisions of </w:t>
      </w:r>
      <w:r>
        <w:rPr>
          <w:rFonts w:ascii="Times New Roman" w:cs="Times New Roman" w:eastAsia="Times New Roman" w:hAnsi="Times New Roman"/>
          <w:sz w:val="21"/>
          <w:szCs w:val="21"/>
          <w:u w:val="single" w:color="auto"/>
          <w:color w:val="auto"/>
        </w:rPr>
        <w:t>Section 6.11</w:t>
      </w:r>
      <w:r>
        <w:rPr>
          <w:rFonts w:ascii="Times New Roman" w:cs="Times New Roman" w:eastAsia="Times New Roman" w:hAnsi="Times New Roman"/>
          <w:sz w:val="21"/>
          <w:szCs w:val="21"/>
          <w:color w:val="auto"/>
        </w:rPr>
        <w:t>, (C) the aggregate amount of all such Investments outstanding at any time (determined without regard to any write-downs or write-offs of such Investments) shall not exceed the greater (x) of $</w:t>
      </w:r>
      <w:r>
        <w:rPr>
          <w:rFonts w:ascii="Times New Roman" w:cs="Times New Roman" w:eastAsia="Times New Roman" w:hAnsi="Times New Roman"/>
          <w:sz w:val="21"/>
          <w:szCs w:val="21"/>
          <w:b w:val="1"/>
          <w:bCs w:val="1"/>
          <w:color w:val="FF0000"/>
          <w:strike w:val="1"/>
        </w:rPr>
        <w:t>100,000,000</w:t>
      </w:r>
      <w:r>
        <w:rPr>
          <w:rFonts w:ascii="Times New Roman" w:cs="Times New Roman" w:eastAsia="Times New Roman" w:hAnsi="Times New Roman"/>
          <w:sz w:val="21"/>
          <w:szCs w:val="21"/>
          <w:b w:val="1"/>
          <w:bCs w:val="1"/>
          <w:u w:val="single" w:color="auto"/>
          <w:color w:val="0000FF"/>
        </w:rPr>
        <w:t>200,000,000</w:t>
      </w:r>
      <w:r>
        <w:rPr>
          <w:rFonts w:ascii="Times New Roman" w:cs="Times New Roman" w:eastAsia="Times New Roman" w:hAnsi="Times New Roman"/>
          <w:sz w:val="21"/>
          <w:szCs w:val="21"/>
          <w:color w:val="auto"/>
        </w:rPr>
        <w:t xml:space="preserve"> and (y) 40% of Consolidated EBITDA based on the Most Recent Financial Statements;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this </w:t>
      </w:r>
      <w:r>
        <w:rPr>
          <w:rFonts w:ascii="Times New Roman" w:cs="Times New Roman" w:eastAsia="Times New Roman" w:hAnsi="Times New Roman"/>
          <w:sz w:val="21"/>
          <w:szCs w:val="21"/>
          <w:u w:val="single" w:color="auto"/>
          <w:color w:val="auto"/>
        </w:rPr>
        <w:t>clause (C)</w:t>
      </w:r>
      <w:r>
        <w:rPr>
          <w:rFonts w:ascii="Times New Roman" w:cs="Times New Roman" w:eastAsia="Times New Roman" w:hAnsi="Times New Roman"/>
          <w:sz w:val="21"/>
          <w:szCs w:val="21"/>
          <w:color w:val="auto"/>
        </w:rPr>
        <w:t xml:space="preserve"> shall not apply to any such Investment in a Restricted Subsidiary that is not a Loan Party that is in the form of an equity contribution or intercompany loan if, reasonably promptly following receipt of such equity contribution or intercompany loan, the proceeds of such equity contribution or intercompany loan shall be used by such Restricted Subsidiaries that are not Loan Parties (or Restricted Subsidiaries thereof) to consummate a Permitted Acquisition (and any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137</w:t>
      </w:r>
    </w:p>
    <w:p>
      <w:pPr>
        <w:sectPr>
          <w:pgSz w:w="11900" w:h="16838" w:orient="portrait"/>
          <w:cols w:equalWidth="0" w:num="1">
            <w:col w:w="11240"/>
          </w:cols>
          <w:pgMar w:left="320" w:top="1371" w:right="339" w:bottom="1440" w:gutter="0" w:footer="0" w:header="0"/>
        </w:sectPr>
      </w:pPr>
    </w:p>
    <w:bookmarkStart w:id="243" w:name="page244"/>
    <w:bookmarkEnd w:id="243"/>
    <w:p>
      <w:pPr>
        <w:jc w:val="both"/>
        <w:spacing w:after="0" w:line="214" w:lineRule="auto"/>
        <w:rPr>
          <w:sz w:val="20"/>
          <w:szCs w:val="20"/>
          <w:color w:val="auto"/>
        </w:rPr>
      </w:pPr>
      <w:r>
        <w:rPr>
          <w:rFonts w:ascii="Times New Roman" w:cs="Times New Roman" w:eastAsia="Times New Roman" w:hAnsi="Times New Roman"/>
          <w:sz w:val="21"/>
          <w:szCs w:val="21"/>
          <w:color w:val="auto"/>
        </w:rPr>
        <w:t xml:space="preserve">Investment described in this proviso shall not utilize the basket set forth in this </w:t>
      </w:r>
      <w:r>
        <w:rPr>
          <w:rFonts w:ascii="Times New Roman" w:cs="Times New Roman" w:eastAsia="Times New Roman" w:hAnsi="Times New Roman"/>
          <w:sz w:val="21"/>
          <w:szCs w:val="21"/>
          <w:u w:val="single" w:color="auto"/>
          <w:color w:val="auto"/>
        </w:rPr>
        <w:t>clause (C)</w:t>
      </w:r>
      <w:r>
        <w:rPr>
          <w:rFonts w:ascii="Times New Roman" w:cs="Times New Roman" w:eastAsia="Times New Roman" w:hAnsi="Times New Roman"/>
          <w:sz w:val="21"/>
          <w:szCs w:val="21"/>
          <w:color w:val="auto"/>
        </w:rPr>
        <w:t>, but shall, if applicable, utilize the basket set forth in the definition of Permitted Acquisition) and (D) any such Investments in the form of intercompany loans if in excess of $</w:t>
      </w:r>
      <w:r>
        <w:rPr>
          <w:rFonts w:ascii="Times New Roman" w:cs="Times New Roman" w:eastAsia="Times New Roman" w:hAnsi="Times New Roman"/>
          <w:sz w:val="21"/>
          <w:szCs w:val="21"/>
          <w:b w:val="1"/>
          <w:bCs w:val="1"/>
          <w:color w:val="FF0000"/>
          <w:strike w:val="1"/>
        </w:rPr>
        <w:t>10,000,000</w:t>
      </w:r>
      <w:r>
        <w:rPr>
          <w:rFonts w:ascii="Times New Roman" w:cs="Times New Roman" w:eastAsia="Times New Roman" w:hAnsi="Times New Roman"/>
          <w:sz w:val="21"/>
          <w:szCs w:val="21"/>
          <w:b w:val="1"/>
          <w:bCs w:val="1"/>
          <w:u w:val="single" w:color="auto"/>
          <w:color w:val="0000FF"/>
        </w:rPr>
        <w:t>15,000,000</w:t>
      </w:r>
      <w:r>
        <w:rPr>
          <w:rFonts w:ascii="Times New Roman" w:cs="Times New Roman" w:eastAsia="Times New Roman" w:hAnsi="Times New Roman"/>
          <w:sz w:val="21"/>
          <w:szCs w:val="21"/>
          <w:color w:val="auto"/>
        </w:rPr>
        <w:t xml:space="preserve"> in the aggregate shall be evidenced by notes that have been pledged (individually or pursuant to a global note) to the Administrative Agent in form and substance reasonably satisfactory to the Administrative Agent for the benefit of the Secured Parties unless (x) such pledge would, in the good faith judgment of the Borrower, result in adverse tax consequences to the Borrower and its Restricted Subsidiaries as reasonably determined by Borrower in consultation with the Administrative Agent or</w:t>
      </w:r>
    </w:p>
    <w:p>
      <w:pPr>
        <w:spacing w:after="0" w:line="4" w:lineRule="exact"/>
        <w:rPr>
          <w:sz w:val="20"/>
          <w:szCs w:val="20"/>
          <w:color w:val="auto"/>
        </w:rPr>
      </w:pPr>
    </w:p>
    <w:p>
      <w:pPr>
        <w:jc w:val="both"/>
        <w:ind w:firstLine="6"/>
        <w:spacing w:after="0" w:line="217" w:lineRule="auto"/>
        <w:tabs>
          <w:tab w:leader="none" w:pos="302" w:val="left"/>
        </w:tabs>
        <w:numPr>
          <w:ilvl w:val="0"/>
          <w:numId w:val="2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reasonably promptly following the making of such intercompany loan the holder of such note representing such loan contributes such note as an equity contribution to any Restricted Subsidiary that is not a Loan Party that will reasonably promptly following receipt of such equity contribution consummate (or cause one or more of its Restricted Subsidiaries to consummate) a Permitted Acquisition, in which case and in each such case, notwithstanding anything to the contrary in this Agreement or any other Loan Document, the Lien of the Administrative Agent for the benefit of the Secured Parties shall not attach to any such note, and any such note shall not be required to be delivered to the Administrative Agent;</w:t>
      </w:r>
    </w:p>
    <w:p>
      <w:pPr>
        <w:spacing w:after="0" w:line="149" w:lineRule="exact"/>
        <w:rPr>
          <w:rFonts w:ascii="Times New Roman" w:cs="Times New Roman" w:eastAsia="Times New Roman" w:hAnsi="Times New Roman"/>
          <w:sz w:val="21"/>
          <w:szCs w:val="21"/>
          <w:color w:val="auto"/>
        </w:rPr>
      </w:pPr>
    </w:p>
    <w:p>
      <w:pPr>
        <w:jc w:val="both"/>
        <w:ind w:firstLine="1278"/>
        <w:spacing w:after="0" w:line="232" w:lineRule="auto"/>
        <w:tabs>
          <w:tab w:leader="none" w:pos="1903" w:val="left"/>
        </w:tabs>
        <w:numPr>
          <w:ilvl w:val="1"/>
          <w:numId w:val="2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to the extent reasonably necessary in order to prevent or limit loss;</w:t>
      </w:r>
    </w:p>
    <w:p>
      <w:pPr>
        <w:spacing w:after="0" w:line="147" w:lineRule="exact"/>
        <w:rPr>
          <w:rFonts w:ascii="Times New Roman" w:cs="Times New Roman" w:eastAsia="Times New Roman" w:hAnsi="Times New Roman"/>
          <w:sz w:val="21"/>
          <w:szCs w:val="21"/>
          <w:color w:val="auto"/>
        </w:rPr>
      </w:pPr>
    </w:p>
    <w:p>
      <w:pPr>
        <w:jc w:val="both"/>
        <w:ind w:firstLine="1278"/>
        <w:spacing w:after="0" w:line="216" w:lineRule="auto"/>
        <w:tabs>
          <w:tab w:leader="none" w:pos="1905" w:val="left"/>
        </w:tabs>
        <w:numPr>
          <w:ilvl w:val="1"/>
          <w:numId w:val="2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 any Investments by the Borrower or any Guarantor in the form of Permitted Acquisitions, and (ii) any Permitted Acquisition by any Restricted Subsidiary that is not a Loan Party (or any Restricted Subsidiary thereof) funded from, reasonably promptly following receipt thereof, the cash proceeds received by such Restricted Subsidiary (or any parent entity(ies) thereof that is also a Restricted Subsidiary and that received such proceeds in accordance with </w:t>
      </w:r>
      <w:r>
        <w:rPr>
          <w:rFonts w:ascii="Times New Roman" w:cs="Times New Roman" w:eastAsia="Times New Roman" w:hAnsi="Times New Roman"/>
          <w:sz w:val="21"/>
          <w:szCs w:val="21"/>
          <w:u w:val="single" w:color="auto"/>
          <w:color w:val="auto"/>
        </w:rPr>
        <w:t>Section 7.02(c)(iv)</w:t>
      </w:r>
      <w:r>
        <w:rPr>
          <w:rFonts w:ascii="Times New Roman" w:cs="Times New Roman" w:eastAsia="Times New Roman" w:hAnsi="Times New Roman"/>
          <w:sz w:val="21"/>
          <w:szCs w:val="21"/>
          <w:color w:val="auto"/>
        </w:rPr>
        <w:t xml:space="preserve">) from any equity contribution or intercompany loan permitted under </w:t>
      </w:r>
      <w:r>
        <w:rPr>
          <w:rFonts w:ascii="Times New Roman" w:cs="Times New Roman" w:eastAsia="Times New Roman" w:hAnsi="Times New Roman"/>
          <w:sz w:val="21"/>
          <w:szCs w:val="21"/>
          <w:u w:val="single" w:color="auto"/>
          <w:color w:val="auto"/>
        </w:rPr>
        <w:t>Section 7.02(c)(iv)</w:t>
      </w:r>
      <w:r>
        <w:rPr>
          <w:rFonts w:ascii="Times New Roman" w:cs="Times New Roman" w:eastAsia="Times New Roman" w:hAnsi="Times New Roman"/>
          <w:sz w:val="21"/>
          <w:szCs w:val="21"/>
          <w:color w:val="auto"/>
        </w:rPr>
        <w:t xml:space="preserve">, and (iii) any Investment of any Person acquired by, or merged into or consolidated or amalgamated with, the Borrower or any Restricted Subsidiary after the Closing Date (other than an Investment in connection with a Permitted Acquisition in Persons who do not become Loan Parties), in each case pursuant to an Investment otherwise permitted by this </w:t>
      </w:r>
      <w:r>
        <w:rPr>
          <w:rFonts w:ascii="Times New Roman" w:cs="Times New Roman" w:eastAsia="Times New Roman" w:hAnsi="Times New Roman"/>
          <w:sz w:val="21"/>
          <w:szCs w:val="21"/>
          <w:u w:val="single" w:color="auto"/>
          <w:color w:val="auto"/>
        </w:rPr>
        <w:t>Section 7.02</w:t>
      </w:r>
      <w:r>
        <w:rPr>
          <w:rFonts w:ascii="Times New Roman" w:cs="Times New Roman" w:eastAsia="Times New Roman" w:hAnsi="Times New Roman"/>
          <w:sz w:val="21"/>
          <w:szCs w:val="21"/>
          <w:color w:val="auto"/>
        </w:rPr>
        <w:t xml:space="preserve"> after the Closing Date to the extent that such Investments of such Person were not made in contemplation of or in connection with such acquisition, merger, amalgamation or consolidation and were in existence on the date of such acquisition, merger, amalgamation or consolidation, and any modification, replacement, renewal or extension of any Investment permitted under </w:t>
      </w:r>
      <w:r>
        <w:rPr>
          <w:rFonts w:ascii="Times New Roman" w:cs="Times New Roman" w:eastAsia="Times New Roman" w:hAnsi="Times New Roman"/>
          <w:sz w:val="21"/>
          <w:szCs w:val="21"/>
          <w:u w:val="single" w:color="auto"/>
          <w:color w:val="auto"/>
        </w:rPr>
        <w:t>clause (iii)</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u w:val="single" w:color="auto"/>
          <w:color w:val="auto"/>
        </w:rPr>
        <w:t>Section 7.02(e)</w:t>
      </w:r>
      <w:r>
        <w:rPr>
          <w:rFonts w:ascii="Times New Roman" w:cs="Times New Roman" w:eastAsia="Times New Roman" w:hAnsi="Times New Roman"/>
          <w:sz w:val="21"/>
          <w:szCs w:val="21"/>
          <w:color w:val="auto"/>
        </w:rPr>
        <w:t xml:space="preserve"> so long as any such modification, replacement, renewal or extension thereof does not increase the amount of such Investment except as otherwise permitted by this </w:t>
      </w:r>
      <w:r>
        <w:rPr>
          <w:rFonts w:ascii="Times New Roman" w:cs="Times New Roman" w:eastAsia="Times New Roman" w:hAnsi="Times New Roman"/>
          <w:sz w:val="21"/>
          <w:szCs w:val="21"/>
          <w:u w:val="single" w:color="auto"/>
          <w:color w:val="auto"/>
        </w:rPr>
        <w:t>Section 7.02</w:t>
      </w:r>
      <w:r>
        <w:rPr>
          <w:rFonts w:ascii="Times New Roman" w:cs="Times New Roman" w:eastAsia="Times New Roman" w:hAnsi="Times New Roman"/>
          <w:sz w:val="21"/>
          <w:szCs w:val="21"/>
          <w:color w:val="auto"/>
        </w:rPr>
        <w:t>;</w:t>
      </w:r>
    </w:p>
    <w:p>
      <w:pPr>
        <w:spacing w:after="0" w:line="147" w:lineRule="exact"/>
        <w:rPr>
          <w:rFonts w:ascii="Times New Roman" w:cs="Times New Roman" w:eastAsia="Times New Roman" w:hAnsi="Times New Roman"/>
          <w:sz w:val="21"/>
          <w:szCs w:val="21"/>
          <w:color w:val="auto"/>
        </w:rPr>
      </w:pPr>
    </w:p>
    <w:p>
      <w:pPr>
        <w:ind w:left="1920" w:hanging="642"/>
        <w:spacing w:after="0"/>
        <w:tabs>
          <w:tab w:leader="none" w:pos="1920" w:val="left"/>
        </w:tabs>
        <w:numPr>
          <w:ilvl w:val="1"/>
          <w:numId w:val="2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Guarantees of Indebtedness permitted by </w:t>
      </w:r>
      <w:r>
        <w:rPr>
          <w:rFonts w:ascii="Times New Roman" w:cs="Times New Roman" w:eastAsia="Times New Roman" w:hAnsi="Times New Roman"/>
          <w:sz w:val="21"/>
          <w:szCs w:val="21"/>
          <w:u w:val="single" w:color="auto"/>
          <w:color w:val="auto"/>
        </w:rPr>
        <w:t>Section 7.03</w:t>
      </w:r>
      <w:r>
        <w:rPr>
          <w:rFonts w:ascii="Times New Roman" w:cs="Times New Roman" w:eastAsia="Times New Roman" w:hAnsi="Times New Roman"/>
          <w:sz w:val="21"/>
          <w:szCs w:val="21"/>
          <w:color w:val="auto"/>
        </w:rPr>
        <w:t>;</w:t>
      </w:r>
    </w:p>
    <w:p>
      <w:pPr>
        <w:spacing w:after="0" w:line="182" w:lineRule="exact"/>
        <w:rPr>
          <w:rFonts w:ascii="Times New Roman" w:cs="Times New Roman" w:eastAsia="Times New Roman" w:hAnsi="Times New Roman"/>
          <w:sz w:val="21"/>
          <w:szCs w:val="21"/>
          <w:color w:val="auto"/>
        </w:rPr>
      </w:pPr>
    </w:p>
    <w:p>
      <w:pPr>
        <w:ind w:firstLine="1278"/>
        <w:spacing w:after="0" w:line="245" w:lineRule="auto"/>
        <w:tabs>
          <w:tab w:leader="none" w:pos="1903" w:val="left"/>
        </w:tabs>
        <w:numPr>
          <w:ilvl w:val="1"/>
          <w:numId w:val="2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the extent constituting Investments, transactions expressly permitted under </w:t>
      </w:r>
      <w:r>
        <w:rPr>
          <w:rFonts w:ascii="Times New Roman" w:cs="Times New Roman" w:eastAsia="Times New Roman" w:hAnsi="Times New Roman"/>
          <w:sz w:val="21"/>
          <w:szCs w:val="21"/>
          <w:u w:val="single" w:color="auto"/>
          <w:color w:val="auto"/>
        </w:rPr>
        <w:t>Sections 7.04</w:t>
      </w:r>
      <w:r>
        <w:rPr>
          <w:rFonts w:ascii="Times New Roman" w:cs="Times New Roman" w:eastAsia="Times New Roman" w:hAnsi="Times New Roman"/>
          <w:sz w:val="21"/>
          <w:szCs w:val="21"/>
          <w:color w:val="auto"/>
        </w:rPr>
        <w:t xml:space="preserve"> (other than </w:t>
      </w:r>
      <w:r>
        <w:rPr>
          <w:rFonts w:ascii="Times New Roman" w:cs="Times New Roman" w:eastAsia="Times New Roman" w:hAnsi="Times New Roman"/>
          <w:sz w:val="21"/>
          <w:szCs w:val="21"/>
          <w:u w:val="single" w:color="auto"/>
          <w:color w:val="auto"/>
        </w:rPr>
        <w:t>Section 7.04(c)</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7.14</w:t>
      </w:r>
      <w:r>
        <w:rPr>
          <w:rFonts w:ascii="Times New Roman" w:cs="Times New Roman" w:eastAsia="Times New Roman" w:hAnsi="Times New Roman"/>
          <w:sz w:val="21"/>
          <w:szCs w:val="21"/>
          <w:color w:val="auto"/>
        </w:rPr>
        <w:t>;</w:t>
      </w:r>
    </w:p>
    <w:p>
      <w:pPr>
        <w:spacing w:after="0" w:line="142" w:lineRule="exact"/>
        <w:rPr>
          <w:rFonts w:ascii="Times New Roman" w:cs="Times New Roman" w:eastAsia="Times New Roman" w:hAnsi="Times New Roman"/>
          <w:sz w:val="21"/>
          <w:szCs w:val="21"/>
          <w:color w:val="auto"/>
        </w:rPr>
      </w:pPr>
    </w:p>
    <w:p>
      <w:pPr>
        <w:jc w:val="both"/>
        <w:ind w:firstLine="1278"/>
        <w:spacing w:after="0" w:line="223" w:lineRule="auto"/>
        <w:tabs>
          <w:tab w:leader="none" w:pos="1903" w:val="left"/>
        </w:tabs>
        <w:numPr>
          <w:ilvl w:val="1"/>
          <w:numId w:val="2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Investments existing on, or made pursuant to legally binding written commitments in existence on, the Closing Date and set forth on </w:t>
      </w:r>
      <w:r>
        <w:rPr>
          <w:rFonts w:ascii="Times New Roman" w:cs="Times New Roman" w:eastAsia="Times New Roman" w:hAnsi="Times New Roman"/>
          <w:sz w:val="21"/>
          <w:szCs w:val="21"/>
          <w:u w:val="single" w:color="auto"/>
          <w:color w:val="auto"/>
        </w:rPr>
        <w:t>Schedule 7.02</w:t>
      </w:r>
      <w:r>
        <w:rPr>
          <w:rFonts w:ascii="Times New Roman" w:cs="Times New Roman" w:eastAsia="Times New Roman" w:hAnsi="Times New Roman"/>
          <w:sz w:val="21"/>
          <w:szCs w:val="21"/>
          <w:color w:val="auto"/>
        </w:rPr>
        <w:t xml:space="preserve"> and any modification, replacement, renewal or extension thereof;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amount of the original Investment is not increased except by the terms of such Investment or as otherwise permitted by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7.02</w:t>
      </w:r>
      <w:r>
        <w:rPr>
          <w:rFonts w:ascii="Times New Roman" w:cs="Times New Roman" w:eastAsia="Times New Roman" w:hAnsi="Times New Roman"/>
          <w:sz w:val="21"/>
          <w:szCs w:val="21"/>
          <w:color w:val="auto"/>
        </w:rPr>
        <w:t xml:space="preserve"> and the terms and conditions of such modified, replacement, renewed or extended Investment shall not be materially less favorable, taken as a whole, to the Loan Parties than the Investment being modified, replaced, renewed or extended;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138</w:t>
      </w:r>
    </w:p>
    <w:p>
      <w:pPr>
        <w:sectPr>
          <w:pgSz w:w="11900" w:h="16838" w:orient="portrait"/>
          <w:cols w:equalWidth="0" w:num="1">
            <w:col w:w="11240"/>
          </w:cols>
          <w:pgMar w:left="320" w:top="1371" w:right="339" w:bottom="1440" w:gutter="0" w:footer="0" w:header="0"/>
        </w:sectPr>
      </w:pPr>
    </w:p>
    <w:bookmarkStart w:id="244" w:name="page245"/>
    <w:bookmarkEnd w:id="244"/>
    <w:p>
      <w:pPr>
        <w:ind w:firstLine="1278"/>
        <w:spacing w:after="0" w:line="245" w:lineRule="auto"/>
        <w:tabs>
          <w:tab w:leader="none" w:pos="1896" w:val="left"/>
        </w:tabs>
        <w:numPr>
          <w:ilvl w:val="0"/>
          <w:numId w:val="2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promissory notes, property (tangible or intangible) and other non-cash consideration received in connection with Dispositions permitted by </w:t>
      </w:r>
      <w:r>
        <w:rPr>
          <w:rFonts w:ascii="Times New Roman" w:cs="Times New Roman" w:eastAsia="Times New Roman" w:hAnsi="Times New Roman"/>
          <w:sz w:val="21"/>
          <w:szCs w:val="21"/>
          <w:u w:val="single" w:color="auto"/>
          <w:color w:val="auto"/>
        </w:rPr>
        <w:t>Section 7.05</w:t>
      </w:r>
      <w:r>
        <w:rPr>
          <w:rFonts w:ascii="Times New Roman" w:cs="Times New Roman" w:eastAsia="Times New Roman" w:hAnsi="Times New Roman"/>
          <w:sz w:val="21"/>
          <w:szCs w:val="21"/>
          <w:color w:val="auto"/>
        </w:rPr>
        <w:t>;</w:t>
      </w:r>
    </w:p>
    <w:p>
      <w:pPr>
        <w:spacing w:after="0" w:line="142" w:lineRule="exact"/>
        <w:rPr>
          <w:rFonts w:ascii="Times New Roman" w:cs="Times New Roman" w:eastAsia="Times New Roman" w:hAnsi="Times New Roman"/>
          <w:sz w:val="21"/>
          <w:szCs w:val="21"/>
          <w:color w:val="auto"/>
        </w:rPr>
      </w:pPr>
    </w:p>
    <w:p>
      <w:pPr>
        <w:jc w:val="both"/>
        <w:ind w:firstLine="1278"/>
        <w:spacing w:after="0" w:line="226" w:lineRule="auto"/>
        <w:tabs>
          <w:tab w:leader="none" w:pos="1896" w:val="left"/>
        </w:tabs>
        <w:numPr>
          <w:ilvl w:val="0"/>
          <w:numId w:val="2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Investments (including debt obligations and Equity Interests) received in connection with the bankruptcy or reorganization of suppliers and customers and in settlement of delinquent obligations of, and other disputes with, customers and suppliers arising in the ordinary course of business and upon the foreclosure with respect to any secured Investment or other transfer of title with respect to any secured Investment;</w:t>
      </w:r>
    </w:p>
    <w:p>
      <w:pPr>
        <w:spacing w:after="0" w:line="150" w:lineRule="exact"/>
        <w:rPr>
          <w:rFonts w:ascii="Times New Roman" w:cs="Times New Roman" w:eastAsia="Times New Roman" w:hAnsi="Times New Roman"/>
          <w:sz w:val="21"/>
          <w:szCs w:val="21"/>
          <w:color w:val="auto"/>
        </w:rPr>
      </w:pPr>
    </w:p>
    <w:p>
      <w:pPr>
        <w:jc w:val="both"/>
        <w:ind w:firstLine="1278"/>
        <w:spacing w:after="0" w:line="232" w:lineRule="auto"/>
        <w:tabs>
          <w:tab w:leader="none" w:pos="1903" w:val="left"/>
        </w:tabs>
        <w:numPr>
          <w:ilvl w:val="0"/>
          <w:numId w:val="2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Investments to the extent that payment for such Investments is made solely by the issuance of Equity Interests of the Borrower or a Subsidiary (unless the issuance of Equity Interests in a Subsidiary is prohibited by </w:t>
      </w:r>
      <w:r>
        <w:rPr>
          <w:rFonts w:ascii="Times New Roman" w:cs="Times New Roman" w:eastAsia="Times New Roman" w:hAnsi="Times New Roman"/>
          <w:sz w:val="21"/>
          <w:szCs w:val="21"/>
          <w:u w:val="single" w:color="auto"/>
          <w:color w:val="auto"/>
        </w:rPr>
        <w:t>Section 7.05</w:t>
      </w:r>
      <w:r>
        <w:rPr>
          <w:rFonts w:ascii="Times New Roman" w:cs="Times New Roman" w:eastAsia="Times New Roman" w:hAnsi="Times New Roman"/>
          <w:sz w:val="21"/>
          <w:szCs w:val="21"/>
          <w:color w:val="auto"/>
        </w:rPr>
        <w:t>), in each case, to the extent not resulting in a Change of Control;</w:t>
      </w:r>
    </w:p>
    <w:p>
      <w:pPr>
        <w:spacing w:after="0" w:line="147" w:lineRule="exact"/>
        <w:rPr>
          <w:rFonts w:ascii="Times New Roman" w:cs="Times New Roman" w:eastAsia="Times New Roman" w:hAnsi="Times New Roman"/>
          <w:sz w:val="21"/>
          <w:szCs w:val="21"/>
          <w:color w:val="auto"/>
        </w:rPr>
      </w:pPr>
    </w:p>
    <w:p>
      <w:pPr>
        <w:jc w:val="both"/>
        <w:ind w:firstLine="1278"/>
        <w:spacing w:after="0" w:line="219" w:lineRule="auto"/>
        <w:tabs>
          <w:tab w:leader="none" w:pos="1896" w:val="left"/>
        </w:tabs>
        <w:numPr>
          <w:ilvl w:val="0"/>
          <w:numId w:val="2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Restricted Subsidiaries of the Borrower may be established or created if the Borrower and such Restricted Subsidiary comply with the requirements of </w:t>
      </w:r>
      <w:r>
        <w:rPr>
          <w:rFonts w:ascii="Times New Roman" w:cs="Times New Roman" w:eastAsia="Times New Roman" w:hAnsi="Times New Roman"/>
          <w:sz w:val="21"/>
          <w:szCs w:val="21"/>
          <w:u w:val="single" w:color="auto"/>
          <w:color w:val="auto"/>
        </w:rPr>
        <w:t>Section 6.11</w:t>
      </w:r>
      <w:r>
        <w:rPr>
          <w:rFonts w:ascii="Times New Roman" w:cs="Times New Roman" w:eastAsia="Times New Roman" w:hAnsi="Times New Roman"/>
          <w:sz w:val="21"/>
          <w:szCs w:val="21"/>
          <w:color w:val="auto"/>
        </w:rPr>
        <w:t xml:space="preserve">, if applicable;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in each case, to the extent such new Restricted Subsidiary is created solely for the purpose of consummating a transaction pursuant to an acquisition permitted by this </w:t>
      </w:r>
      <w:r>
        <w:rPr>
          <w:rFonts w:ascii="Times New Roman" w:cs="Times New Roman" w:eastAsia="Times New Roman" w:hAnsi="Times New Roman"/>
          <w:sz w:val="21"/>
          <w:szCs w:val="21"/>
          <w:u w:val="single" w:color="auto"/>
          <w:color w:val="auto"/>
        </w:rPr>
        <w:t>Section 7.02</w:t>
      </w:r>
      <w:r>
        <w:rPr>
          <w:rFonts w:ascii="Times New Roman" w:cs="Times New Roman" w:eastAsia="Times New Roman" w:hAnsi="Times New Roman"/>
          <w:sz w:val="21"/>
          <w:szCs w:val="21"/>
          <w:color w:val="auto"/>
        </w:rPr>
        <w:t xml:space="preserve">, and such new Restricted Subsidiary at no time holds any assets or liabilities other than any merger or acquisition consideration contributed to it contemporaneously with the closing of such transactions, such new Restricted Subsidiary shall not be required to take the actions set forth in </w:t>
      </w:r>
      <w:r>
        <w:rPr>
          <w:rFonts w:ascii="Times New Roman" w:cs="Times New Roman" w:eastAsia="Times New Roman" w:hAnsi="Times New Roman"/>
          <w:sz w:val="21"/>
          <w:szCs w:val="21"/>
          <w:u w:val="single" w:color="auto"/>
          <w:color w:val="auto"/>
        </w:rPr>
        <w:t>Section 6.11</w:t>
      </w:r>
      <w:r>
        <w:rPr>
          <w:rFonts w:ascii="Times New Roman" w:cs="Times New Roman" w:eastAsia="Times New Roman" w:hAnsi="Times New Roman"/>
          <w:sz w:val="21"/>
          <w:szCs w:val="21"/>
          <w:color w:val="auto"/>
        </w:rPr>
        <w:t>, as applicable, until the applicable acquisition is consummated (at which time the surviving entity of the applicable transaction shall be required to so comply in accordance with the provisions thereof);</w:t>
      </w:r>
    </w:p>
    <w:p>
      <w:pPr>
        <w:spacing w:after="0" w:line="153" w:lineRule="exact"/>
        <w:rPr>
          <w:rFonts w:ascii="Times New Roman" w:cs="Times New Roman" w:eastAsia="Times New Roman" w:hAnsi="Times New Roman"/>
          <w:sz w:val="21"/>
          <w:szCs w:val="21"/>
          <w:color w:val="auto"/>
        </w:rPr>
      </w:pPr>
    </w:p>
    <w:p>
      <w:pPr>
        <w:jc w:val="both"/>
        <w:ind w:firstLine="1278"/>
        <w:spacing w:after="0" w:line="232" w:lineRule="auto"/>
        <w:tabs>
          <w:tab w:leader="none" w:pos="1896" w:val="left"/>
        </w:tabs>
        <w:numPr>
          <w:ilvl w:val="0"/>
          <w:numId w:val="2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Investments in a Receivables Subsidiary or any Investment by a Receivables Subsidiary in any other Person, including the payment of Receivables Fees, in each case, (i) in connection with a Qualified Receivables Transaction and (ii) constituting a Disposition permitted pursuant to </w:t>
      </w:r>
      <w:r>
        <w:rPr>
          <w:rFonts w:ascii="Times New Roman" w:cs="Times New Roman" w:eastAsia="Times New Roman" w:hAnsi="Times New Roman"/>
          <w:sz w:val="21"/>
          <w:szCs w:val="21"/>
          <w:u w:val="single" w:color="auto"/>
          <w:color w:val="auto"/>
        </w:rPr>
        <w:t>Section 7.05(l)</w:t>
      </w:r>
      <w:r>
        <w:rPr>
          <w:rFonts w:ascii="Times New Roman" w:cs="Times New Roman" w:eastAsia="Times New Roman" w:hAnsi="Times New Roman"/>
          <w:sz w:val="21"/>
          <w:szCs w:val="21"/>
          <w:color w:val="auto"/>
        </w:rPr>
        <w:t>;</w:t>
      </w:r>
    </w:p>
    <w:p>
      <w:pPr>
        <w:spacing w:after="0" w:line="147" w:lineRule="exact"/>
        <w:rPr>
          <w:rFonts w:ascii="Times New Roman" w:cs="Times New Roman" w:eastAsia="Times New Roman" w:hAnsi="Times New Roman"/>
          <w:sz w:val="21"/>
          <w:szCs w:val="21"/>
          <w:color w:val="auto"/>
        </w:rPr>
      </w:pPr>
    </w:p>
    <w:p>
      <w:pPr>
        <w:ind w:left="1900" w:hanging="622"/>
        <w:spacing w:after="0"/>
        <w:tabs>
          <w:tab w:leader="none" w:pos="1900" w:val="left"/>
        </w:tabs>
        <w:numPr>
          <w:ilvl w:val="0"/>
          <w:numId w:val="2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Swap Contracts to the extent permitted pursuant to </w:t>
      </w:r>
      <w:r>
        <w:rPr>
          <w:rFonts w:ascii="Times New Roman" w:cs="Times New Roman" w:eastAsia="Times New Roman" w:hAnsi="Times New Roman"/>
          <w:sz w:val="21"/>
          <w:szCs w:val="21"/>
          <w:u w:val="single" w:color="auto"/>
          <w:color w:val="auto"/>
        </w:rPr>
        <w:t>Section 7.03(d)</w:t>
      </w:r>
      <w:r>
        <w:rPr>
          <w:rFonts w:ascii="Times New Roman" w:cs="Times New Roman" w:eastAsia="Times New Roman" w:hAnsi="Times New Roman"/>
          <w:sz w:val="21"/>
          <w:szCs w:val="21"/>
          <w:color w:val="auto"/>
        </w:rPr>
        <w:t>;</w:t>
      </w:r>
    </w:p>
    <w:p>
      <w:pPr>
        <w:spacing w:after="0" w:line="180" w:lineRule="exact"/>
        <w:rPr>
          <w:rFonts w:ascii="Times New Roman" w:cs="Times New Roman" w:eastAsia="Times New Roman" w:hAnsi="Times New Roman"/>
          <w:sz w:val="21"/>
          <w:szCs w:val="21"/>
          <w:color w:val="auto"/>
        </w:rPr>
      </w:pPr>
    </w:p>
    <w:p>
      <w:pPr>
        <w:jc w:val="both"/>
        <w:ind w:firstLine="1278"/>
        <w:spacing w:after="0" w:line="220" w:lineRule="auto"/>
        <w:tabs>
          <w:tab w:leader="none" w:pos="1903" w:val="left"/>
        </w:tabs>
        <w:numPr>
          <w:ilvl w:val="0"/>
          <w:numId w:val="2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other Investments;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in no event shall the aggregate amount of Investments allowed pursuant to this </w:t>
      </w:r>
      <w:r>
        <w:rPr>
          <w:rFonts w:ascii="Times New Roman" w:cs="Times New Roman" w:eastAsia="Times New Roman" w:hAnsi="Times New Roman"/>
          <w:sz w:val="21"/>
          <w:szCs w:val="21"/>
          <w:u w:val="single" w:color="auto"/>
          <w:color w:val="auto"/>
        </w:rPr>
        <w:t>Section 7.02(o)</w:t>
      </w:r>
      <w:r>
        <w:rPr>
          <w:rFonts w:ascii="Times New Roman" w:cs="Times New Roman" w:eastAsia="Times New Roman" w:hAnsi="Times New Roman"/>
          <w:sz w:val="21"/>
          <w:szCs w:val="21"/>
          <w:color w:val="auto"/>
        </w:rPr>
        <w:t xml:space="preserve"> during the term of this Agreement exceed the sum of (1) so long as no Event of Default under </w:t>
      </w:r>
      <w:r>
        <w:rPr>
          <w:rFonts w:ascii="Times New Roman" w:cs="Times New Roman" w:eastAsia="Times New Roman" w:hAnsi="Times New Roman"/>
          <w:sz w:val="21"/>
          <w:szCs w:val="21"/>
          <w:u w:val="single" w:color="auto"/>
          <w:color w:val="auto"/>
        </w:rPr>
        <w:t>Sections 8.01(a)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8.01(f)</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8.01(g)</w:t>
      </w:r>
      <w:r>
        <w:rPr>
          <w:rFonts w:ascii="Times New Roman" w:cs="Times New Roman" w:eastAsia="Times New Roman" w:hAnsi="Times New Roman"/>
          <w:sz w:val="21"/>
          <w:szCs w:val="21"/>
          <w:color w:val="auto"/>
        </w:rPr>
        <w:t xml:space="preserve"> has occurred and is continuing or would be caused thereby, the greater of (x) $</w:t>
      </w:r>
      <w:r>
        <w:rPr>
          <w:rFonts w:ascii="Times New Roman" w:cs="Times New Roman" w:eastAsia="Times New Roman" w:hAnsi="Times New Roman"/>
          <w:sz w:val="21"/>
          <w:szCs w:val="21"/>
          <w:b w:val="1"/>
          <w:bCs w:val="1"/>
          <w:color w:val="FF0000"/>
          <w:strike w:val="1"/>
        </w:rPr>
        <w:t>125,000,000</w:t>
      </w:r>
      <w:r>
        <w:rPr>
          <w:rFonts w:ascii="Times New Roman" w:cs="Times New Roman" w:eastAsia="Times New Roman" w:hAnsi="Times New Roman"/>
          <w:sz w:val="21"/>
          <w:szCs w:val="21"/>
          <w:b w:val="1"/>
          <w:bCs w:val="1"/>
          <w:u w:val="single" w:color="auto"/>
          <w:color w:val="0000FF"/>
        </w:rPr>
        <w:t>250,000,000</w:t>
      </w:r>
      <w:r>
        <w:rPr>
          <w:rFonts w:ascii="Times New Roman" w:cs="Times New Roman" w:eastAsia="Times New Roman" w:hAnsi="Times New Roman"/>
          <w:sz w:val="21"/>
          <w:szCs w:val="21"/>
          <w:color w:val="auto"/>
        </w:rPr>
        <w:t xml:space="preserve"> and (y) 50% of Consolidated EBITDA based on the Most Recent Financial Statements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(2) an amount not to exceed the Available Amount at the time of the making of such Investment;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portion of the Available Amount attributed to </w:t>
      </w:r>
      <w:r>
        <w:rPr>
          <w:rFonts w:ascii="Times New Roman" w:cs="Times New Roman" w:eastAsia="Times New Roman" w:hAnsi="Times New Roman"/>
          <w:sz w:val="21"/>
          <w:szCs w:val="21"/>
          <w:u w:val="single" w:color="auto"/>
          <w:color w:val="auto"/>
        </w:rPr>
        <w:t>clause (a)(2)</w:t>
      </w:r>
      <w:r>
        <w:rPr>
          <w:rFonts w:ascii="Times New Roman" w:cs="Times New Roman" w:eastAsia="Times New Roman" w:hAnsi="Times New Roman"/>
          <w:sz w:val="21"/>
          <w:szCs w:val="21"/>
          <w:color w:val="auto"/>
        </w:rPr>
        <w:t xml:space="preserve"> of the definition thereof shall not be available for any such Investments made pursuant to this </w:t>
      </w:r>
      <w:r>
        <w:rPr>
          <w:rFonts w:ascii="Times New Roman" w:cs="Times New Roman" w:eastAsia="Times New Roman" w:hAnsi="Times New Roman"/>
          <w:sz w:val="21"/>
          <w:szCs w:val="21"/>
          <w:u w:val="single" w:color="auto"/>
          <w:color w:val="auto"/>
        </w:rPr>
        <w:t>clause (o)(2)</w:t>
      </w:r>
      <w:r>
        <w:rPr>
          <w:rFonts w:ascii="Times New Roman" w:cs="Times New Roman" w:eastAsia="Times New Roman" w:hAnsi="Times New Roman"/>
          <w:sz w:val="21"/>
          <w:szCs w:val="21"/>
          <w:color w:val="auto"/>
        </w:rPr>
        <w:t xml:space="preserve"> if an Event of Default under </w:t>
      </w:r>
      <w:r>
        <w:rPr>
          <w:rFonts w:ascii="Times New Roman" w:cs="Times New Roman" w:eastAsia="Times New Roman" w:hAnsi="Times New Roman"/>
          <w:sz w:val="21"/>
          <w:szCs w:val="21"/>
          <w:u w:val="single" w:color="auto"/>
          <w:color w:val="auto"/>
        </w:rPr>
        <w:t>Sections 8.01(a)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8.01(f)</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8.01(g)</w:t>
      </w:r>
      <w:r>
        <w:rPr>
          <w:rFonts w:ascii="Times New Roman" w:cs="Times New Roman" w:eastAsia="Times New Roman" w:hAnsi="Times New Roman"/>
          <w:sz w:val="21"/>
          <w:szCs w:val="21"/>
          <w:color w:val="auto"/>
        </w:rPr>
        <w:t xml:space="preserve"> has occurred and is continuing or would be caused thereby;</w:t>
      </w:r>
    </w:p>
    <w:p>
      <w:pPr>
        <w:spacing w:after="0" w:line="148" w:lineRule="exact"/>
        <w:rPr>
          <w:rFonts w:ascii="Times New Roman" w:cs="Times New Roman" w:eastAsia="Times New Roman" w:hAnsi="Times New Roman"/>
          <w:sz w:val="21"/>
          <w:szCs w:val="21"/>
          <w:color w:val="auto"/>
        </w:rPr>
      </w:pPr>
    </w:p>
    <w:p>
      <w:pPr>
        <w:ind w:left="1900" w:hanging="622"/>
        <w:spacing w:after="0"/>
        <w:tabs>
          <w:tab w:leader="none" w:pos="1900" w:val="left"/>
        </w:tabs>
        <w:numPr>
          <w:ilvl w:val="0"/>
          <w:numId w:val="2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Investments in Term Loans pursuant to </w:t>
      </w:r>
      <w:r>
        <w:rPr>
          <w:rFonts w:ascii="Times New Roman" w:cs="Times New Roman" w:eastAsia="Times New Roman" w:hAnsi="Times New Roman"/>
          <w:sz w:val="21"/>
          <w:szCs w:val="21"/>
          <w:u w:val="single" w:color="auto"/>
          <w:color w:val="auto"/>
        </w:rPr>
        <w:t>Section 10.06(b)(vii)</w:t>
      </w:r>
      <w:r>
        <w:rPr>
          <w:rFonts w:ascii="Times New Roman" w:cs="Times New Roman" w:eastAsia="Times New Roman" w:hAnsi="Times New Roman"/>
          <w:sz w:val="21"/>
          <w:szCs w:val="21"/>
          <w:color w:val="auto"/>
        </w:rPr>
        <w:t>;</w:t>
      </w:r>
    </w:p>
    <w:p>
      <w:pPr>
        <w:spacing w:after="0" w:line="182" w:lineRule="exact"/>
        <w:rPr>
          <w:rFonts w:ascii="Times New Roman" w:cs="Times New Roman" w:eastAsia="Times New Roman" w:hAnsi="Times New Roman"/>
          <w:sz w:val="21"/>
          <w:szCs w:val="21"/>
          <w:color w:val="auto"/>
        </w:rPr>
      </w:pPr>
    </w:p>
    <w:p>
      <w:pPr>
        <w:ind w:firstLine="1278"/>
        <w:spacing w:after="0" w:line="245" w:lineRule="auto"/>
        <w:tabs>
          <w:tab w:leader="none" w:pos="1903" w:val="left"/>
        </w:tabs>
        <w:numPr>
          <w:ilvl w:val="0"/>
          <w:numId w:val="2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Investments consisting of the licensing or contribution of intellectual property pursuant to joint marketing arrangements with other Persons;</w:t>
      </w:r>
    </w:p>
    <w:p>
      <w:pPr>
        <w:spacing w:after="0" w:line="142" w:lineRule="exact"/>
        <w:rPr>
          <w:rFonts w:ascii="Times New Roman" w:cs="Times New Roman" w:eastAsia="Times New Roman" w:hAnsi="Times New Roman"/>
          <w:sz w:val="21"/>
          <w:szCs w:val="21"/>
          <w:color w:val="auto"/>
        </w:rPr>
      </w:pPr>
    </w:p>
    <w:p>
      <w:pPr>
        <w:ind w:firstLine="1278"/>
        <w:spacing w:after="0" w:line="245" w:lineRule="auto"/>
        <w:tabs>
          <w:tab w:leader="none" w:pos="1908" w:val="left"/>
        </w:tabs>
        <w:numPr>
          <w:ilvl w:val="0"/>
          <w:numId w:val="2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Investments so long as (i) no Event of Default under </w:t>
      </w:r>
      <w:r>
        <w:rPr>
          <w:rFonts w:ascii="Times New Roman" w:cs="Times New Roman" w:eastAsia="Times New Roman" w:hAnsi="Times New Roman"/>
          <w:sz w:val="21"/>
          <w:szCs w:val="21"/>
          <w:u w:val="single" w:color="auto"/>
          <w:color w:val="auto"/>
        </w:rPr>
        <w:t>Sections 8.01(a)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8.01(f)</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8.01(g)</w:t>
      </w:r>
      <w:r>
        <w:rPr>
          <w:rFonts w:ascii="Times New Roman" w:cs="Times New Roman" w:eastAsia="Times New Roman" w:hAnsi="Times New Roman"/>
          <w:sz w:val="21"/>
          <w:szCs w:val="21"/>
          <w:color w:val="auto"/>
        </w:rPr>
        <w:t xml:space="preserve"> has occurred and is continuing or would be caused thereby and (ii) the pro forma Total Net Leverage Ratio would be less than 3.75:1.00;</w:t>
      </w:r>
    </w:p>
    <w:p>
      <w:pPr>
        <w:spacing w:after="0" w:line="142" w:lineRule="exact"/>
        <w:rPr>
          <w:rFonts w:ascii="Times New Roman" w:cs="Times New Roman" w:eastAsia="Times New Roman" w:hAnsi="Times New Roman"/>
          <w:sz w:val="21"/>
          <w:szCs w:val="21"/>
          <w:color w:val="auto"/>
        </w:rPr>
      </w:pPr>
    </w:p>
    <w:p>
      <w:pPr>
        <w:ind w:firstLine="1278"/>
        <w:spacing w:after="0" w:line="245" w:lineRule="auto"/>
        <w:tabs>
          <w:tab w:leader="none" w:pos="1906" w:val="left"/>
        </w:tabs>
        <w:numPr>
          <w:ilvl w:val="0"/>
          <w:numId w:val="2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Investments (i) constituting deposits, prepayments and other credits to suppliers, (ii) made in connection with obtaining, maintaining or renewing client and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139</w:t>
      </w:r>
    </w:p>
    <w:p>
      <w:pPr>
        <w:sectPr>
          <w:pgSz w:w="11900" w:h="16838" w:orient="portrait"/>
          <w:cols w:equalWidth="0" w:num="1">
            <w:col w:w="11240"/>
          </w:cols>
          <w:pgMar w:left="320" w:top="1371" w:right="339" w:bottom="1440" w:gutter="0" w:footer="0" w:header="0"/>
        </w:sectPr>
      </w:pPr>
    </w:p>
    <w:bookmarkStart w:id="245" w:name="page246"/>
    <w:bookmarkEnd w:id="245"/>
    <w:p>
      <w:pPr>
        <w:jc w:val="both"/>
        <w:spacing w:after="0" w:line="232" w:lineRule="auto"/>
        <w:rPr>
          <w:sz w:val="20"/>
          <w:szCs w:val="20"/>
          <w:color w:val="auto"/>
        </w:rPr>
      </w:pPr>
      <w:r>
        <w:rPr>
          <w:rFonts w:ascii="Times New Roman" w:cs="Times New Roman" w:eastAsia="Times New Roman" w:hAnsi="Times New Roman"/>
          <w:sz w:val="21"/>
          <w:szCs w:val="21"/>
          <w:color w:val="auto"/>
        </w:rPr>
        <w:t xml:space="preserve">contracts and (iii) in the form of advances made to distributors, suppliers, licensors and licensees, in each case, in the ordinary course of business or, in the case of </w:t>
      </w:r>
      <w:r>
        <w:rPr>
          <w:rFonts w:ascii="Times New Roman" w:cs="Times New Roman" w:eastAsia="Times New Roman" w:hAnsi="Times New Roman"/>
          <w:sz w:val="21"/>
          <w:szCs w:val="21"/>
          <w:u w:val="single" w:color="auto"/>
          <w:color w:val="auto"/>
        </w:rPr>
        <w:t>clause (iii)</w:t>
      </w:r>
      <w:r>
        <w:rPr>
          <w:rFonts w:ascii="Times New Roman" w:cs="Times New Roman" w:eastAsia="Times New Roman" w:hAnsi="Times New Roman"/>
          <w:sz w:val="21"/>
          <w:szCs w:val="21"/>
          <w:color w:val="auto"/>
        </w:rPr>
        <w:t>, to the extent necessary to maintain the ordinary course of supplies to the Borrower or any Restricted Subsidiary;</w:t>
      </w:r>
    </w:p>
    <w:p>
      <w:pPr>
        <w:spacing w:after="0" w:line="148" w:lineRule="exact"/>
        <w:rPr>
          <w:sz w:val="20"/>
          <w:szCs w:val="20"/>
          <w:color w:val="auto"/>
        </w:rPr>
      </w:pPr>
    </w:p>
    <w:p>
      <w:pPr>
        <w:ind w:left="1900" w:hanging="622"/>
        <w:spacing w:after="0"/>
        <w:tabs>
          <w:tab w:leader="none" w:pos="1900" w:val="left"/>
        </w:tabs>
        <w:numPr>
          <w:ilvl w:val="0"/>
          <w:numId w:val="2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Transactions;</w:t>
      </w:r>
    </w:p>
    <w:p>
      <w:pPr>
        <w:spacing w:after="0" w:line="182" w:lineRule="exact"/>
        <w:rPr>
          <w:rFonts w:ascii="Times New Roman" w:cs="Times New Roman" w:eastAsia="Times New Roman" w:hAnsi="Times New Roman"/>
          <w:sz w:val="21"/>
          <w:szCs w:val="21"/>
          <w:color w:val="auto"/>
        </w:rPr>
      </w:pPr>
    </w:p>
    <w:p>
      <w:pPr>
        <w:jc w:val="both"/>
        <w:ind w:firstLine="1278"/>
        <w:spacing w:after="0" w:line="226" w:lineRule="auto"/>
        <w:tabs>
          <w:tab w:leader="none" w:pos="1903" w:val="left"/>
        </w:tabs>
        <w:numPr>
          <w:ilvl w:val="0"/>
          <w:numId w:val="2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Investments in any Restricted Subsidiary in connection with reorganizations and related activities related to Tax planning;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after giving effect to any such reorganization and related activities, the Lien of the Administrative Agent in the Collateral and the value thereof, taken as a whole, is not materially impaired and after giving effect to such Investment, the Borrower and its Restricted Subsidiaries shall otherwise be in compliance with </w:t>
      </w:r>
      <w:r>
        <w:rPr>
          <w:rFonts w:ascii="Times New Roman" w:cs="Times New Roman" w:eastAsia="Times New Roman" w:hAnsi="Times New Roman"/>
          <w:sz w:val="21"/>
          <w:szCs w:val="21"/>
          <w:u w:val="single" w:color="auto"/>
          <w:color w:val="auto"/>
        </w:rPr>
        <w:t>Section 6.11</w:t>
      </w:r>
      <w:r>
        <w:rPr>
          <w:rFonts w:ascii="Times New Roman" w:cs="Times New Roman" w:eastAsia="Times New Roman" w:hAnsi="Times New Roman"/>
          <w:sz w:val="21"/>
          <w:szCs w:val="21"/>
          <w:color w:val="auto"/>
        </w:rPr>
        <w:t>;</w:t>
      </w:r>
    </w:p>
    <w:p>
      <w:pPr>
        <w:spacing w:after="0" w:line="150" w:lineRule="exact"/>
        <w:rPr>
          <w:rFonts w:ascii="Times New Roman" w:cs="Times New Roman" w:eastAsia="Times New Roman" w:hAnsi="Times New Roman"/>
          <w:sz w:val="21"/>
          <w:szCs w:val="21"/>
          <w:color w:val="auto"/>
        </w:rPr>
      </w:pPr>
    </w:p>
    <w:p>
      <w:pPr>
        <w:ind w:left="1900" w:hanging="622"/>
        <w:spacing w:after="0"/>
        <w:tabs>
          <w:tab w:leader="none" w:pos="1900" w:val="left"/>
        </w:tabs>
        <w:numPr>
          <w:ilvl w:val="0"/>
          <w:numId w:val="2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pension fund and other employee benefit plan obligations and liabilities;</w:t>
      </w:r>
    </w:p>
    <w:p>
      <w:pPr>
        <w:spacing w:after="0" w:line="182" w:lineRule="exact"/>
        <w:rPr>
          <w:rFonts w:ascii="Times New Roman" w:cs="Times New Roman" w:eastAsia="Times New Roman" w:hAnsi="Times New Roman"/>
          <w:sz w:val="21"/>
          <w:szCs w:val="21"/>
          <w:color w:val="auto"/>
        </w:rPr>
      </w:pPr>
    </w:p>
    <w:p>
      <w:pPr>
        <w:ind w:firstLine="1278"/>
        <w:spacing w:after="0" w:line="245" w:lineRule="auto"/>
        <w:tabs>
          <w:tab w:leader="none" w:pos="1897" w:val="left"/>
        </w:tabs>
        <w:numPr>
          <w:ilvl w:val="0"/>
          <w:numId w:val="2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Investments in the Borrower or any Restricted Subsidiary in connection with intercompany cash management arrangements and related activities in the ordinary course of business;</w:t>
      </w:r>
    </w:p>
    <w:p>
      <w:pPr>
        <w:spacing w:after="0" w:line="142" w:lineRule="exact"/>
        <w:rPr>
          <w:rFonts w:ascii="Times New Roman" w:cs="Times New Roman" w:eastAsia="Times New Roman" w:hAnsi="Times New Roman"/>
          <w:sz w:val="21"/>
          <w:szCs w:val="21"/>
          <w:color w:val="auto"/>
        </w:rPr>
      </w:pPr>
    </w:p>
    <w:p>
      <w:pPr>
        <w:jc w:val="both"/>
        <w:ind w:firstLine="1278"/>
        <w:spacing w:after="0" w:line="232" w:lineRule="auto"/>
        <w:tabs>
          <w:tab w:leader="none" w:pos="1903" w:val="left"/>
        </w:tabs>
        <w:numPr>
          <w:ilvl w:val="0"/>
          <w:numId w:val="2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Investments in any Parent Company in amounts and for purposes for which Restricted Payments by the Borrower are permitted under </w:t>
      </w:r>
      <w:r>
        <w:rPr>
          <w:rFonts w:ascii="Times New Roman" w:cs="Times New Roman" w:eastAsia="Times New Roman" w:hAnsi="Times New Roman"/>
          <w:sz w:val="21"/>
          <w:szCs w:val="21"/>
          <w:u w:val="single" w:color="auto"/>
          <w:color w:val="auto"/>
        </w:rPr>
        <w:t>Section 7.06(e)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any such Investments made as provided above in lieu of such Restricted Payments shall reduce availability under the applicable Restricted Payment basket under </w:t>
      </w:r>
      <w:r>
        <w:rPr>
          <w:rFonts w:ascii="Times New Roman" w:cs="Times New Roman" w:eastAsia="Times New Roman" w:hAnsi="Times New Roman"/>
          <w:sz w:val="21"/>
          <w:szCs w:val="21"/>
          <w:u w:val="single" w:color="auto"/>
          <w:color w:val="auto"/>
        </w:rPr>
        <w:t>Section 7.06(e)</w:t>
      </w:r>
      <w:r>
        <w:rPr>
          <w:rFonts w:ascii="Times New Roman" w:cs="Times New Roman" w:eastAsia="Times New Roman" w:hAnsi="Times New Roman"/>
          <w:sz w:val="21"/>
          <w:szCs w:val="21"/>
          <w:color w:val="auto"/>
        </w:rPr>
        <w:t>;</w:t>
      </w:r>
    </w:p>
    <w:p>
      <w:pPr>
        <w:spacing w:after="0" w:line="147" w:lineRule="exact"/>
        <w:rPr>
          <w:rFonts w:ascii="Times New Roman" w:cs="Times New Roman" w:eastAsia="Times New Roman" w:hAnsi="Times New Roman"/>
          <w:sz w:val="21"/>
          <w:szCs w:val="21"/>
          <w:color w:val="auto"/>
        </w:rPr>
      </w:pPr>
    </w:p>
    <w:p>
      <w:pPr>
        <w:jc w:val="both"/>
        <w:ind w:firstLine="1278"/>
        <w:spacing w:after="0" w:line="232" w:lineRule="auto"/>
        <w:tabs>
          <w:tab w:leader="none" w:pos="1903" w:val="left"/>
        </w:tabs>
        <w:numPr>
          <w:ilvl w:val="0"/>
          <w:numId w:val="2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Investments consisting of the licensing or sublicensing of IP Rights in each case, either entered into in the ordinary course of business or pursuant to a bona fide transaction intended to increase the revenue of the Borrower and its Restricted Subsidiaries and which could not reasonably be expected to have a Material Adverse Effect; and</w:t>
      </w:r>
    </w:p>
    <w:p>
      <w:pPr>
        <w:spacing w:after="0" w:line="147" w:lineRule="exact"/>
        <w:rPr>
          <w:rFonts w:ascii="Times New Roman" w:cs="Times New Roman" w:eastAsia="Times New Roman" w:hAnsi="Times New Roman"/>
          <w:sz w:val="21"/>
          <w:szCs w:val="21"/>
          <w:color w:val="auto"/>
        </w:rPr>
      </w:pPr>
    </w:p>
    <w:p>
      <w:pPr>
        <w:ind w:firstLine="1278"/>
        <w:spacing w:after="0" w:line="245" w:lineRule="auto"/>
        <w:tabs>
          <w:tab w:leader="none" w:pos="1905" w:val="left"/>
        </w:tabs>
        <w:numPr>
          <w:ilvl w:val="0"/>
          <w:numId w:val="2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Investments in an Unrestricted Subsidiary to the extent comprised of assets of, or Equity Interests in, an Unrestricted Subsidiary.</w:t>
      </w:r>
    </w:p>
    <w:p>
      <w:pPr>
        <w:spacing w:after="0" w:line="141"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7.03</w:t>
      </w:r>
      <w:r>
        <w:rPr>
          <w:sz w:val="20"/>
          <w:szCs w:val="20"/>
          <w:color w:val="auto"/>
        </w:rPr>
        <w:tab/>
      </w:r>
      <w:r>
        <w:rPr>
          <w:rFonts w:ascii="Times New Roman" w:cs="Times New Roman" w:eastAsia="Times New Roman" w:hAnsi="Times New Roman"/>
          <w:sz w:val="21"/>
          <w:szCs w:val="21"/>
          <w:i w:val="1"/>
          <w:iCs w:val="1"/>
          <w:color w:val="auto"/>
        </w:rPr>
        <w:t>Indebtedness</w:t>
      </w:r>
    </w:p>
    <w:p>
      <w:pPr>
        <w:spacing w:after="0" w:line="211" w:lineRule="exact"/>
        <w:rPr>
          <w:sz w:val="20"/>
          <w:szCs w:val="20"/>
          <w:color w:val="auto"/>
        </w:rPr>
      </w:pPr>
    </w:p>
    <w:p>
      <w:pPr>
        <w:ind w:left="740" w:hanging="98"/>
        <w:spacing w:after="0"/>
        <w:tabs>
          <w:tab w:leader="none" w:pos="740" w:val="left"/>
        </w:tabs>
        <w:numPr>
          <w:ilvl w:val="0"/>
          <w:numId w:val="2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Create, incur, assume or suffer to exist any Indebtedness, except:</w:t>
      </w:r>
    </w:p>
    <w:p>
      <w:pPr>
        <w:spacing w:after="0" w:line="195" w:lineRule="exact"/>
        <w:rPr>
          <w:rFonts w:ascii="Times New Roman" w:cs="Times New Roman" w:eastAsia="Times New Roman" w:hAnsi="Times New Roman"/>
          <w:sz w:val="21"/>
          <w:szCs w:val="21"/>
          <w:color w:val="auto"/>
        </w:rPr>
      </w:pPr>
    </w:p>
    <w:p>
      <w:pPr>
        <w:jc w:val="both"/>
        <w:ind w:firstLine="1278"/>
        <w:spacing w:after="0" w:line="232" w:lineRule="auto"/>
        <w:tabs>
          <w:tab w:leader="none" w:pos="1905" w:val="left"/>
        </w:tabs>
        <w:numPr>
          <w:ilvl w:val="1"/>
          <w:numId w:val="2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Indebtedness under (A) the Loan Documents, including, without limitation, Incremental Term Loans, Incremental Revolving Loans and any Refinancing Facility and (B) the Senior Notes in an aggregate principal amount not to exceed $840,000,000 (inclusive of any Permitted Refinancing of the Senior Notes);</w:t>
      </w:r>
    </w:p>
    <w:p>
      <w:pPr>
        <w:spacing w:after="0" w:line="147" w:lineRule="exact"/>
        <w:rPr>
          <w:rFonts w:ascii="Times New Roman" w:cs="Times New Roman" w:eastAsia="Times New Roman" w:hAnsi="Times New Roman"/>
          <w:sz w:val="21"/>
          <w:szCs w:val="21"/>
          <w:color w:val="auto"/>
        </w:rPr>
      </w:pPr>
    </w:p>
    <w:p>
      <w:pPr>
        <w:jc w:val="both"/>
        <w:ind w:firstLine="1278"/>
        <w:spacing w:after="0" w:line="226" w:lineRule="auto"/>
        <w:tabs>
          <w:tab w:leader="none" w:pos="1903" w:val="left"/>
        </w:tabs>
        <w:numPr>
          <w:ilvl w:val="1"/>
          <w:numId w:val="2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Indebtedness outstanding on the Closing Date and listed on </w:t>
      </w:r>
      <w:r>
        <w:rPr>
          <w:rFonts w:ascii="Times New Roman" w:cs="Times New Roman" w:eastAsia="Times New Roman" w:hAnsi="Times New Roman"/>
          <w:sz w:val="21"/>
          <w:szCs w:val="21"/>
          <w:u w:val="single" w:color="auto"/>
          <w:color w:val="auto"/>
        </w:rPr>
        <w:t>Schedule 7.03</w:t>
      </w:r>
      <w:r>
        <w:rPr>
          <w:rFonts w:ascii="Times New Roman" w:cs="Times New Roman" w:eastAsia="Times New Roman" w:hAnsi="Times New Roman"/>
          <w:sz w:val="21"/>
          <w:szCs w:val="21"/>
          <w:color w:val="auto"/>
        </w:rPr>
        <w:t xml:space="preserve"> and any Permitted Refinancing thereof;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any such Indebtedness (including any Permitted Refinancing thereof), to the extent owed by a Loan Party to a Restricted Subsidiary that is not a Loan Party, shall be unsecured and subordinated to the payment of the Obligations in a manner reasonably satisfactory to the Administrative Agent;</w:t>
      </w:r>
    </w:p>
    <w:p>
      <w:pPr>
        <w:spacing w:after="0" w:line="150" w:lineRule="exact"/>
        <w:rPr>
          <w:rFonts w:ascii="Times New Roman" w:cs="Times New Roman" w:eastAsia="Times New Roman" w:hAnsi="Times New Roman"/>
          <w:sz w:val="21"/>
          <w:szCs w:val="21"/>
          <w:color w:val="auto"/>
        </w:rPr>
      </w:pPr>
    </w:p>
    <w:p>
      <w:pPr>
        <w:jc w:val="both"/>
        <w:ind w:firstLine="1278"/>
        <w:spacing w:after="0" w:line="226" w:lineRule="auto"/>
        <w:tabs>
          <w:tab w:leader="none" w:pos="1905" w:val="left"/>
        </w:tabs>
        <w:numPr>
          <w:ilvl w:val="1"/>
          <w:numId w:val="2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Guarantees by the Borrower or any Guarantor in respect of Indebtedness otherwise permitted hereunder of the Borrower or any Guarantor; (ii) Guarantees by any Restricted Subsidiary that is not a Loan Party in respect of Indebtedness otherwise permitted hereunder of the Borrower or any Restricted Subsidiary; and (iii) Guarantees by the Borrower or any Guarantor in respect of Indebtedness otherwise permitted hereunder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140</w:t>
      </w:r>
    </w:p>
    <w:p>
      <w:pPr>
        <w:sectPr>
          <w:pgSz w:w="11900" w:h="16838" w:orient="portrait"/>
          <w:cols w:equalWidth="0" w:num="1">
            <w:col w:w="11240"/>
          </w:cols>
          <w:pgMar w:left="320" w:top="1371" w:right="339" w:bottom="1440" w:gutter="0" w:footer="0" w:header="0"/>
        </w:sectPr>
      </w:pPr>
    </w:p>
    <w:bookmarkStart w:id="246" w:name="page247"/>
    <w:bookmarkEnd w:id="246"/>
    <w:p>
      <w:pPr>
        <w:spacing w:after="0" w:line="245" w:lineRule="auto"/>
        <w:rPr>
          <w:sz w:val="20"/>
          <w:szCs w:val="20"/>
          <w:color w:val="auto"/>
        </w:rPr>
      </w:pPr>
      <w:r>
        <w:rPr>
          <w:rFonts w:ascii="Times New Roman" w:cs="Times New Roman" w:eastAsia="Times New Roman" w:hAnsi="Times New Roman"/>
          <w:sz w:val="21"/>
          <w:szCs w:val="21"/>
          <w:color w:val="auto"/>
        </w:rPr>
        <w:t xml:space="preserve">Restricted Subsidiaries that are not Loan Parties to the extent such Guarantee constitutes an Investment permitted by </w:t>
      </w:r>
      <w:r>
        <w:rPr>
          <w:rFonts w:ascii="Times New Roman" w:cs="Times New Roman" w:eastAsia="Times New Roman" w:hAnsi="Times New Roman"/>
          <w:sz w:val="21"/>
          <w:szCs w:val="21"/>
          <w:u w:val="single" w:color="auto"/>
          <w:color w:val="auto"/>
        </w:rPr>
        <w:t>Sections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7.02(c)(i), (c)(iv)</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7.02(o)</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7.02(r)</w:t>
      </w:r>
      <w:r>
        <w:rPr>
          <w:rFonts w:ascii="Times New Roman" w:cs="Times New Roman" w:eastAsia="Times New Roman" w:hAnsi="Times New Roman"/>
          <w:sz w:val="21"/>
          <w:szCs w:val="21"/>
          <w:color w:val="auto"/>
        </w:rPr>
        <w:t>;</w:t>
      </w:r>
    </w:p>
    <w:p>
      <w:pPr>
        <w:spacing w:after="0" w:line="143" w:lineRule="exact"/>
        <w:rPr>
          <w:sz w:val="20"/>
          <w:szCs w:val="20"/>
          <w:color w:val="auto"/>
        </w:rPr>
      </w:pPr>
    </w:p>
    <w:p>
      <w:pPr>
        <w:jc w:val="both"/>
        <w:ind w:firstLine="1278"/>
        <w:spacing w:after="0" w:line="219" w:lineRule="auto"/>
        <w:tabs>
          <w:tab w:leader="none" w:pos="1903" w:val="left"/>
        </w:tabs>
        <w:numPr>
          <w:ilvl w:val="0"/>
          <w:numId w:val="2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obligations (contingent or otherwise) of the Borrower or any Restricted Subsidiary existing or hereafter arising under any Swap Contract;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 such obligations are (or were) entered into by such Person in the ordinary course of business for the purpose of directly mitigating risks associated with liabilities, commitments, investments, assets, or property held or reasonably anticipated by such Person, or changes in the value of securities issued by such Person, and not for purposes of speculation; and (ii) such Swap Contract does not contain any provision exonerating the non-defaulting party from its obligation to make payments on outstanding transactions to the defaulting party (other than pursuant to customary netting or set-off provisions and except as contemplated by </w:t>
      </w:r>
      <w:r>
        <w:rPr>
          <w:rFonts w:ascii="Times New Roman" w:cs="Times New Roman" w:eastAsia="Times New Roman" w:hAnsi="Times New Roman"/>
          <w:sz w:val="21"/>
          <w:szCs w:val="21"/>
          <w:u w:val="single" w:color="auto"/>
          <w:color w:val="auto"/>
        </w:rPr>
        <w:t>Section 10.23</w:t>
      </w:r>
      <w:r>
        <w:rPr>
          <w:rFonts w:ascii="Times New Roman" w:cs="Times New Roman" w:eastAsia="Times New Roman" w:hAnsi="Times New Roman"/>
          <w:sz w:val="21"/>
          <w:szCs w:val="21"/>
          <w:color w:val="auto"/>
        </w:rPr>
        <w:t>);</w:t>
      </w:r>
    </w:p>
    <w:p>
      <w:pPr>
        <w:spacing w:after="0" w:line="153" w:lineRule="exact"/>
        <w:rPr>
          <w:rFonts w:ascii="Times New Roman" w:cs="Times New Roman" w:eastAsia="Times New Roman" w:hAnsi="Times New Roman"/>
          <w:sz w:val="21"/>
          <w:szCs w:val="21"/>
          <w:color w:val="auto"/>
        </w:rPr>
      </w:pPr>
    </w:p>
    <w:p>
      <w:pPr>
        <w:jc w:val="both"/>
        <w:ind w:firstLine="1278"/>
        <w:spacing w:after="0" w:line="223" w:lineRule="auto"/>
        <w:tabs>
          <w:tab w:leader="none" w:pos="1905" w:val="left"/>
        </w:tabs>
        <w:numPr>
          <w:ilvl w:val="0"/>
          <w:numId w:val="2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Indebtedness of the Borrower or any Restricted Subsidiary in respect of Capital Leases and purchase money obligations for fixed or capital assets, which may be secured by Liens under and within the applicable limitations set forth in </w:t>
      </w:r>
      <w:r>
        <w:rPr>
          <w:rFonts w:ascii="Times New Roman" w:cs="Times New Roman" w:eastAsia="Times New Roman" w:hAnsi="Times New Roman"/>
          <w:sz w:val="21"/>
          <w:szCs w:val="21"/>
          <w:u w:val="single" w:color="auto"/>
          <w:color w:val="auto"/>
        </w:rPr>
        <w:t>Section 7.01(i)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the aggregate principal amount of all such Indebtedness at any one time outstanding pursuant to this </w:t>
      </w:r>
      <w:r>
        <w:rPr>
          <w:rFonts w:ascii="Times New Roman" w:cs="Times New Roman" w:eastAsia="Times New Roman" w:hAnsi="Times New Roman"/>
          <w:sz w:val="21"/>
          <w:szCs w:val="21"/>
          <w:u w:val="single" w:color="auto"/>
          <w:color w:val="auto"/>
        </w:rPr>
        <w:t>clause (e)</w:t>
      </w:r>
      <w:r>
        <w:rPr>
          <w:rFonts w:ascii="Times New Roman" w:cs="Times New Roman" w:eastAsia="Times New Roman" w:hAnsi="Times New Roman"/>
          <w:sz w:val="21"/>
          <w:szCs w:val="21"/>
          <w:color w:val="auto"/>
        </w:rPr>
        <w:t xml:space="preserve"> shall not exceed the greater of (x) $</w:t>
      </w:r>
      <w:r>
        <w:rPr>
          <w:rFonts w:ascii="Times New Roman" w:cs="Times New Roman" w:eastAsia="Times New Roman" w:hAnsi="Times New Roman"/>
          <w:sz w:val="21"/>
          <w:szCs w:val="21"/>
          <w:b w:val="1"/>
          <w:bCs w:val="1"/>
          <w:color w:val="FF0000"/>
          <w:strike w:val="1"/>
        </w:rPr>
        <w:t>62,500,000</w:t>
      </w:r>
      <w:r>
        <w:rPr>
          <w:rFonts w:ascii="Times New Roman" w:cs="Times New Roman" w:eastAsia="Times New Roman" w:hAnsi="Times New Roman"/>
          <w:sz w:val="21"/>
          <w:szCs w:val="21"/>
          <w:b w:val="1"/>
          <w:bCs w:val="1"/>
          <w:u w:val="single" w:color="auto"/>
          <w:color w:val="0000FF"/>
        </w:rPr>
        <w:t>125,000,000</w:t>
      </w:r>
      <w:r>
        <w:rPr>
          <w:rFonts w:ascii="Times New Roman" w:cs="Times New Roman" w:eastAsia="Times New Roman" w:hAnsi="Times New Roman"/>
          <w:sz w:val="21"/>
          <w:szCs w:val="21"/>
          <w:color w:val="auto"/>
        </w:rPr>
        <w:t xml:space="preserve"> and (y) 25% of Consolidated EBITDA based on the Most Recent Financial Statements;</w:t>
      </w:r>
    </w:p>
    <w:p>
      <w:pPr>
        <w:spacing w:after="0" w:line="150" w:lineRule="exact"/>
        <w:rPr>
          <w:rFonts w:ascii="Times New Roman" w:cs="Times New Roman" w:eastAsia="Times New Roman" w:hAnsi="Times New Roman"/>
          <w:sz w:val="21"/>
          <w:szCs w:val="21"/>
          <w:color w:val="auto"/>
        </w:rPr>
      </w:pPr>
    </w:p>
    <w:p>
      <w:pPr>
        <w:jc w:val="both"/>
        <w:ind w:firstLine="1278"/>
        <w:spacing w:after="0" w:line="226" w:lineRule="auto"/>
        <w:tabs>
          <w:tab w:leader="none" w:pos="1908" w:val="left"/>
        </w:tabs>
        <w:numPr>
          <w:ilvl w:val="0"/>
          <w:numId w:val="2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Indebtedness of the Borrower or any Restricted Subsidiary owing to the Borrower or any Restricted Subsidiary to the extent constituting an Investment permitted by </w:t>
      </w:r>
      <w:r>
        <w:rPr>
          <w:rFonts w:ascii="Times New Roman" w:cs="Times New Roman" w:eastAsia="Times New Roman" w:hAnsi="Times New Roman"/>
          <w:sz w:val="21"/>
          <w:szCs w:val="21"/>
          <w:u w:val="single" w:color="auto"/>
          <w:color w:val="auto"/>
        </w:rPr>
        <w:t>Section 7.02(c), 7.02(o)</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7.02(r)</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7.02(t)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Indebtedness, to the extent owed by a Loan Party to a Restricted Subsidiary that is not a Loan Party, shall be subordinated to the payment of the Obligations in a manner reasonably satisfactory to the Administrative Agent;</w:t>
      </w:r>
    </w:p>
    <w:p>
      <w:pPr>
        <w:spacing w:after="0" w:line="146" w:lineRule="exact"/>
        <w:rPr>
          <w:rFonts w:ascii="Times New Roman" w:cs="Times New Roman" w:eastAsia="Times New Roman" w:hAnsi="Times New Roman"/>
          <w:sz w:val="21"/>
          <w:szCs w:val="21"/>
          <w:color w:val="auto"/>
        </w:rPr>
      </w:pPr>
    </w:p>
    <w:p>
      <w:pPr>
        <w:jc w:val="both"/>
        <w:ind w:firstLine="1278"/>
        <w:spacing w:after="0" w:line="233" w:lineRule="auto"/>
        <w:tabs>
          <w:tab w:leader="none" w:pos="1903" w:val="left"/>
        </w:tabs>
        <w:numPr>
          <w:ilvl w:val="0"/>
          <w:numId w:val="2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Non-Guarantor Debt in an aggregate principal amount outstanding under this </w:t>
      </w:r>
      <w:r>
        <w:rPr>
          <w:rFonts w:ascii="Times New Roman" w:cs="Times New Roman" w:eastAsia="Times New Roman" w:hAnsi="Times New Roman"/>
          <w:sz w:val="21"/>
          <w:szCs w:val="21"/>
          <w:u w:val="single" w:color="auto"/>
          <w:color w:val="auto"/>
        </w:rPr>
        <w:t>clause (g)</w:t>
      </w:r>
      <w:r>
        <w:rPr>
          <w:rFonts w:ascii="Times New Roman" w:cs="Times New Roman" w:eastAsia="Times New Roman" w:hAnsi="Times New Roman"/>
          <w:sz w:val="21"/>
          <w:szCs w:val="21"/>
          <w:b w:val="1"/>
          <w:bCs w:val="1"/>
          <w:color w:val="FF0000"/>
          <w:strike w:val="1"/>
        </w:rPr>
        <w:t>, together with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FF0000"/>
          <w:strike w:val="1"/>
        </w:rPr>
        <w:t>aggregate principal amount outstanding of all Non-Guarantor Debt incurred pursuant to</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b w:val="1"/>
          <w:bCs w:val="1"/>
          <w:u w:val="single" w:color="auto"/>
          <w:color w:val="FF0000"/>
          <w:strike w:val="1"/>
        </w:rPr>
        <w:t>Section 7.03(s),</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color w:val="000000"/>
        </w:rPr>
        <w:t>at any time not to</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color w:val="000000"/>
        </w:rPr>
        <w:t>exceed the Non-Guarantor Debt Cap;</w:t>
      </w:r>
    </w:p>
    <w:p>
      <w:pPr>
        <w:spacing w:after="0" w:line="148" w:lineRule="exact"/>
        <w:rPr>
          <w:rFonts w:ascii="Times New Roman" w:cs="Times New Roman" w:eastAsia="Times New Roman" w:hAnsi="Times New Roman"/>
          <w:sz w:val="21"/>
          <w:szCs w:val="21"/>
          <w:color w:val="auto"/>
        </w:rPr>
      </w:pPr>
    </w:p>
    <w:p>
      <w:pPr>
        <w:ind w:left="1900" w:hanging="622"/>
        <w:spacing w:after="0"/>
        <w:tabs>
          <w:tab w:leader="none" w:pos="1900" w:val="left"/>
        </w:tabs>
        <w:numPr>
          <w:ilvl w:val="0"/>
          <w:numId w:val="2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[reserved];</w:t>
      </w:r>
    </w:p>
    <w:p>
      <w:pPr>
        <w:spacing w:after="0" w:line="182" w:lineRule="exact"/>
        <w:rPr>
          <w:rFonts w:ascii="Times New Roman" w:cs="Times New Roman" w:eastAsia="Times New Roman" w:hAnsi="Times New Roman"/>
          <w:sz w:val="21"/>
          <w:szCs w:val="21"/>
          <w:color w:val="auto"/>
        </w:rPr>
      </w:pPr>
    </w:p>
    <w:p>
      <w:pPr>
        <w:jc w:val="both"/>
        <w:ind w:firstLine="1278"/>
        <w:spacing w:after="0" w:line="232" w:lineRule="auto"/>
        <w:tabs>
          <w:tab w:leader="none" w:pos="1896" w:val="left"/>
        </w:tabs>
        <w:numPr>
          <w:ilvl w:val="0"/>
          <w:numId w:val="2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 Indebtedness of the Borrower and its Restricted Subsidiaries in an aggregate principal amount outstanding at any time not to exceed the greater of (x) $</w:t>
      </w:r>
      <w:r>
        <w:rPr>
          <w:rFonts w:ascii="Times New Roman" w:cs="Times New Roman" w:eastAsia="Times New Roman" w:hAnsi="Times New Roman"/>
          <w:sz w:val="21"/>
          <w:szCs w:val="21"/>
          <w:b w:val="1"/>
          <w:bCs w:val="1"/>
          <w:color w:val="FF0000"/>
          <w:strike w:val="1"/>
        </w:rPr>
        <w:t>125,000,000</w:t>
      </w:r>
      <w:r>
        <w:rPr>
          <w:rFonts w:ascii="Times New Roman" w:cs="Times New Roman" w:eastAsia="Times New Roman" w:hAnsi="Times New Roman"/>
          <w:sz w:val="21"/>
          <w:szCs w:val="21"/>
          <w:b w:val="1"/>
          <w:bCs w:val="1"/>
          <w:u w:val="single" w:color="auto"/>
          <w:color w:val="0000FF"/>
        </w:rPr>
        <w:t>250,000,000</w:t>
      </w:r>
      <w:r>
        <w:rPr>
          <w:rFonts w:ascii="Times New Roman" w:cs="Times New Roman" w:eastAsia="Times New Roman" w:hAnsi="Times New Roman"/>
          <w:sz w:val="21"/>
          <w:szCs w:val="21"/>
          <w:color w:val="auto"/>
        </w:rPr>
        <w:t xml:space="preserve"> and (y) 50% of Consolidated EBITDA based on the Most Recent Financial Statements;</w:t>
      </w:r>
    </w:p>
    <w:p>
      <w:pPr>
        <w:spacing w:after="0" w:line="147" w:lineRule="exact"/>
        <w:rPr>
          <w:rFonts w:ascii="Times New Roman" w:cs="Times New Roman" w:eastAsia="Times New Roman" w:hAnsi="Times New Roman"/>
          <w:sz w:val="21"/>
          <w:szCs w:val="21"/>
          <w:color w:val="auto"/>
        </w:rPr>
      </w:pPr>
    </w:p>
    <w:p>
      <w:pPr>
        <w:jc w:val="both"/>
        <w:ind w:firstLine="1278"/>
        <w:spacing w:after="0" w:line="226" w:lineRule="auto"/>
        <w:tabs>
          <w:tab w:leader="none" w:pos="1896" w:val="left"/>
        </w:tabs>
        <w:numPr>
          <w:ilvl w:val="0"/>
          <w:numId w:val="2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Indebtedness in respect of Receivables Program Obligations in an aggregate principal amount outstanding at any time not to exceed the greater of (x) $</w:t>
      </w:r>
      <w:r>
        <w:rPr>
          <w:rFonts w:ascii="Times New Roman" w:cs="Times New Roman" w:eastAsia="Times New Roman" w:hAnsi="Times New Roman"/>
          <w:sz w:val="21"/>
          <w:szCs w:val="21"/>
          <w:b w:val="1"/>
          <w:bCs w:val="1"/>
          <w:color w:val="FF0000"/>
          <w:strike w:val="1"/>
        </w:rPr>
        <w:t>100,000,000</w:t>
      </w:r>
      <w:r>
        <w:rPr>
          <w:rFonts w:ascii="Times New Roman" w:cs="Times New Roman" w:eastAsia="Times New Roman" w:hAnsi="Times New Roman"/>
          <w:sz w:val="21"/>
          <w:szCs w:val="21"/>
          <w:b w:val="1"/>
          <w:bCs w:val="1"/>
          <w:u w:val="single" w:color="auto"/>
          <w:color w:val="0000FF"/>
        </w:rPr>
        <w:t>200,000,000</w:t>
      </w:r>
      <w:r>
        <w:rPr>
          <w:rFonts w:ascii="Times New Roman" w:cs="Times New Roman" w:eastAsia="Times New Roman" w:hAnsi="Times New Roman"/>
          <w:sz w:val="21"/>
          <w:szCs w:val="21"/>
          <w:color w:val="auto"/>
        </w:rPr>
        <w:t xml:space="preserve"> and (y) 40% of Consolidated EBITDA based on the Most Recent Financial Statements;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no Event of Default shall have occurred and be continuing at the time such Indebtedness is incurred;</w:t>
      </w:r>
    </w:p>
    <w:p>
      <w:pPr>
        <w:spacing w:after="0" w:line="150" w:lineRule="exact"/>
        <w:rPr>
          <w:rFonts w:ascii="Times New Roman" w:cs="Times New Roman" w:eastAsia="Times New Roman" w:hAnsi="Times New Roman"/>
          <w:sz w:val="21"/>
          <w:szCs w:val="21"/>
          <w:color w:val="auto"/>
        </w:rPr>
      </w:pPr>
    </w:p>
    <w:p>
      <w:pPr>
        <w:ind w:firstLine="1278"/>
        <w:spacing w:after="0" w:line="245" w:lineRule="auto"/>
        <w:tabs>
          <w:tab w:leader="none" w:pos="1903" w:val="left"/>
        </w:tabs>
        <w:numPr>
          <w:ilvl w:val="0"/>
          <w:numId w:val="2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Indebtedness of the Borrower or any of its Restricted Subsidiaries consisting of obligations to pay insurance premiums or take-or-pay obligations contained in supply arrangements incurred in the ordinary course of business;</w:t>
      </w:r>
    </w:p>
    <w:p>
      <w:pPr>
        <w:spacing w:after="0" w:line="142" w:lineRule="exact"/>
        <w:rPr>
          <w:rFonts w:ascii="Times New Roman" w:cs="Times New Roman" w:eastAsia="Times New Roman" w:hAnsi="Times New Roman"/>
          <w:sz w:val="21"/>
          <w:szCs w:val="21"/>
          <w:color w:val="auto"/>
        </w:rPr>
      </w:pPr>
    </w:p>
    <w:p>
      <w:pPr>
        <w:jc w:val="both"/>
        <w:ind w:firstLine="1278"/>
        <w:spacing w:after="0" w:line="232" w:lineRule="auto"/>
        <w:tabs>
          <w:tab w:leader="none" w:pos="1896" w:val="left"/>
        </w:tabs>
        <w:numPr>
          <w:ilvl w:val="0"/>
          <w:numId w:val="2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Indebtedness consisting of obligations of the Borrower or its Restricted Subsidiaries under deferred consideration or other similar arrangements (including earn-outs, indemnifications, incentive non-competes and other contingent obligations and agreements consisting of the adjustment of purchase price or similar adjustments) incurred by such Person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141</w:t>
      </w:r>
    </w:p>
    <w:p>
      <w:pPr>
        <w:sectPr>
          <w:pgSz w:w="11900" w:h="16838" w:orient="portrait"/>
          <w:cols w:equalWidth="0" w:num="1">
            <w:col w:w="11240"/>
          </w:cols>
          <w:pgMar w:left="320" w:top="1371" w:right="339" w:bottom="1440" w:gutter="0" w:footer="0" w:header="0"/>
        </w:sectPr>
      </w:pPr>
    </w:p>
    <w:bookmarkStart w:id="247" w:name="page248"/>
    <w:bookmarkEnd w:id="247"/>
    <w:p>
      <w:pPr>
        <w:spacing w:after="0" w:line="245" w:lineRule="auto"/>
        <w:rPr>
          <w:sz w:val="20"/>
          <w:szCs w:val="20"/>
          <w:color w:val="auto"/>
        </w:rPr>
      </w:pPr>
      <w:r>
        <w:rPr>
          <w:rFonts w:ascii="Times New Roman" w:cs="Times New Roman" w:eastAsia="Times New Roman" w:hAnsi="Times New Roman"/>
          <w:sz w:val="21"/>
          <w:szCs w:val="21"/>
          <w:color w:val="auto"/>
        </w:rPr>
        <w:t xml:space="preserve">connection with any Permitted Acquisition or Disposition permitted by </w:t>
      </w:r>
      <w:r>
        <w:rPr>
          <w:rFonts w:ascii="Times New Roman" w:cs="Times New Roman" w:eastAsia="Times New Roman" w:hAnsi="Times New Roman"/>
          <w:sz w:val="21"/>
          <w:szCs w:val="21"/>
          <w:u w:val="single" w:color="auto"/>
          <w:color w:val="auto"/>
        </w:rPr>
        <w:t>Section 7.05</w:t>
      </w:r>
      <w:r>
        <w:rPr>
          <w:rFonts w:ascii="Times New Roman" w:cs="Times New Roman" w:eastAsia="Times New Roman" w:hAnsi="Times New Roman"/>
          <w:sz w:val="21"/>
          <w:szCs w:val="21"/>
          <w:color w:val="auto"/>
        </w:rPr>
        <w:t xml:space="preserve"> or any other Investment permitted under </w:t>
      </w:r>
      <w:r>
        <w:rPr>
          <w:rFonts w:ascii="Times New Roman" w:cs="Times New Roman" w:eastAsia="Times New Roman" w:hAnsi="Times New Roman"/>
          <w:sz w:val="21"/>
          <w:szCs w:val="21"/>
          <w:u w:val="single" w:color="auto"/>
          <w:color w:val="auto"/>
        </w:rPr>
        <w:t>Section 7.02</w:t>
      </w:r>
      <w:r>
        <w:rPr>
          <w:rFonts w:ascii="Times New Roman" w:cs="Times New Roman" w:eastAsia="Times New Roman" w:hAnsi="Times New Roman"/>
          <w:sz w:val="21"/>
          <w:szCs w:val="21"/>
          <w:color w:val="auto"/>
        </w:rPr>
        <w:t>;</w:t>
      </w:r>
    </w:p>
    <w:p>
      <w:pPr>
        <w:spacing w:after="0" w:line="143" w:lineRule="exact"/>
        <w:rPr>
          <w:sz w:val="20"/>
          <w:szCs w:val="20"/>
          <w:color w:val="auto"/>
        </w:rPr>
      </w:pPr>
    </w:p>
    <w:p>
      <w:pPr>
        <w:jc w:val="both"/>
        <w:ind w:firstLine="1278"/>
        <w:spacing w:after="0" w:line="223" w:lineRule="auto"/>
        <w:tabs>
          <w:tab w:leader="none" w:pos="1896" w:val="left"/>
        </w:tabs>
        <w:numPr>
          <w:ilvl w:val="0"/>
          <w:numId w:val="2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Indebtedness incurred by the Borrower or any of its Restricted Subsidiaries in respect of bank guarantees, warehouse receipts or similar instruments (other than letters of credit) issued or created in the ordinary course of business consistent with past practice, including in respect of workers compensation claims, health, disability or other employee benefits or property, casualty or liability insurance or self-insurance, or other Indebtedness with respect to reimbursement type obligations (other than obligations in respect of letters of credit) regarding workers compensation claims;</w:t>
      </w:r>
    </w:p>
    <w:p>
      <w:pPr>
        <w:spacing w:after="0" w:line="150" w:lineRule="exact"/>
        <w:rPr>
          <w:rFonts w:ascii="Times New Roman" w:cs="Times New Roman" w:eastAsia="Times New Roman" w:hAnsi="Times New Roman"/>
          <w:sz w:val="21"/>
          <w:szCs w:val="21"/>
          <w:color w:val="auto"/>
        </w:rPr>
      </w:pPr>
    </w:p>
    <w:p>
      <w:pPr>
        <w:jc w:val="both"/>
        <w:ind w:firstLine="1278"/>
        <w:spacing w:after="0" w:line="223" w:lineRule="auto"/>
        <w:tabs>
          <w:tab w:leader="none" w:pos="1903" w:val="left"/>
        </w:tabs>
        <w:numPr>
          <w:ilvl w:val="0"/>
          <w:numId w:val="2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Indebtedness or obligations in respect of performance and completion guaranties, or customs, stay, performance, bid, surety, statutory, appeal, performance and return of money bonds, tenders, statutory obligations, leases, governmental contracts, trade contracts or other similar obligations incurred in the ordinary course of business and, in each case, not in respect of borrowed money or in respect of any letters of credit, bank guaranties, surety bonds, performance bonds or similar instruments to support any of the foregoing items;</w:t>
      </w:r>
    </w:p>
    <w:p>
      <w:pPr>
        <w:spacing w:after="0" w:line="150" w:lineRule="exact"/>
        <w:rPr>
          <w:rFonts w:ascii="Times New Roman" w:cs="Times New Roman" w:eastAsia="Times New Roman" w:hAnsi="Times New Roman"/>
          <w:sz w:val="21"/>
          <w:szCs w:val="21"/>
          <w:color w:val="auto"/>
        </w:rPr>
      </w:pPr>
    </w:p>
    <w:p>
      <w:pPr>
        <w:jc w:val="both"/>
        <w:ind w:firstLine="1278"/>
        <w:spacing w:after="0" w:line="232" w:lineRule="auto"/>
        <w:tabs>
          <w:tab w:leader="none" w:pos="1903" w:val="left"/>
        </w:tabs>
        <w:numPr>
          <w:ilvl w:val="0"/>
          <w:numId w:val="2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Indebtedness arising from the honoring by a bank or other financial institution of a check, draft or similar instrument inadvertently (except in the case of daylight overdrafts) drawn against insufficient funds in the ordinary course of business;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such Indebtedness is extinguished within five Business Days of incurrence;</w:t>
      </w:r>
    </w:p>
    <w:p>
      <w:pPr>
        <w:spacing w:after="0" w:line="147" w:lineRule="exact"/>
        <w:rPr>
          <w:rFonts w:ascii="Times New Roman" w:cs="Times New Roman" w:eastAsia="Times New Roman" w:hAnsi="Times New Roman"/>
          <w:sz w:val="21"/>
          <w:szCs w:val="21"/>
          <w:color w:val="auto"/>
        </w:rPr>
      </w:pPr>
    </w:p>
    <w:p>
      <w:pPr>
        <w:jc w:val="both"/>
        <w:ind w:firstLine="1278"/>
        <w:spacing w:after="0" w:line="219" w:lineRule="auto"/>
        <w:tabs>
          <w:tab w:leader="none" w:pos="1903" w:val="left"/>
        </w:tabs>
        <w:numPr>
          <w:ilvl w:val="0"/>
          <w:numId w:val="2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Indebtedness in respect of commercial credit cards, stored value cards, purchasing cards and treasury management services, and other netting services, overdraft protections and overdraft facilities, automated clearing-house arrangements, employee credit card programs, corporate cards and purchasing cards, controlled disbursement, ACH transactions, return items, interstate depository network service, cash pooling and operational foreign exchange management, and, in each case, similar arrangements and otherwise in connection with cash management arrangements, including cash management arrangements among the Borrower and its Restricted Subsidiaries, including Indebtedness arising under or in connection with any Cash Management Agreement with a Cash Management Bank;</w:t>
      </w:r>
    </w:p>
    <w:p>
      <w:pPr>
        <w:spacing w:after="0" w:line="153" w:lineRule="exact"/>
        <w:rPr>
          <w:rFonts w:ascii="Times New Roman" w:cs="Times New Roman" w:eastAsia="Times New Roman" w:hAnsi="Times New Roman"/>
          <w:sz w:val="21"/>
          <w:szCs w:val="21"/>
          <w:color w:val="auto"/>
        </w:rPr>
      </w:pPr>
    </w:p>
    <w:p>
      <w:pPr>
        <w:jc w:val="both"/>
        <w:ind w:firstLine="1278"/>
        <w:spacing w:after="0" w:line="226" w:lineRule="auto"/>
        <w:tabs>
          <w:tab w:leader="none" w:pos="1903" w:val="left"/>
        </w:tabs>
        <w:numPr>
          <w:ilvl w:val="0"/>
          <w:numId w:val="2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Indebtedness incurred under commercial letters of credit issued for the account of the Borrower or any of its Restricted Subsidiaries in the ordinary course of business (and not for the purpose of, directly or indirectly, incurring Indebtedness or providing credit support or a similar arrangement in respect of Indebtedness) or Indebtedness of the Borrower or any of its Restricted Subsidiaries under letters of credit and bank guarantees backstopped by Letters of Credit issued under this Agreement;</w:t>
      </w:r>
    </w:p>
    <w:p>
      <w:pPr>
        <w:spacing w:after="0" w:line="150" w:lineRule="exact"/>
        <w:rPr>
          <w:rFonts w:ascii="Times New Roman" w:cs="Times New Roman" w:eastAsia="Times New Roman" w:hAnsi="Times New Roman"/>
          <w:sz w:val="21"/>
          <w:szCs w:val="21"/>
          <w:color w:val="auto"/>
        </w:rPr>
      </w:pPr>
    </w:p>
    <w:p>
      <w:pPr>
        <w:ind w:firstLine="1278"/>
        <w:spacing w:after="0" w:line="245" w:lineRule="auto"/>
        <w:tabs>
          <w:tab w:leader="none" w:pos="1908" w:val="left"/>
        </w:tabs>
        <w:numPr>
          <w:ilvl w:val="0"/>
          <w:numId w:val="2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Indebtedness representing deferred compensation to employees of the Borrower or any of its Restricted Subsidiaries incurred in the ordinary course of business;</w:t>
      </w:r>
    </w:p>
    <w:p>
      <w:pPr>
        <w:spacing w:after="0" w:line="142" w:lineRule="exact"/>
        <w:rPr>
          <w:rFonts w:ascii="Times New Roman" w:cs="Times New Roman" w:eastAsia="Times New Roman" w:hAnsi="Times New Roman"/>
          <w:sz w:val="21"/>
          <w:szCs w:val="21"/>
          <w:color w:val="auto"/>
        </w:rPr>
      </w:pPr>
    </w:p>
    <w:p>
      <w:pPr>
        <w:jc w:val="both"/>
        <w:ind w:firstLine="1278"/>
        <w:spacing w:after="0" w:line="232" w:lineRule="auto"/>
        <w:tabs>
          <w:tab w:leader="none" w:pos="1906" w:val="left"/>
        </w:tabs>
        <w:numPr>
          <w:ilvl w:val="0"/>
          <w:numId w:val="2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Indebtedness incurred or issued by the Borrower or by any Restricted Subsidiary of the Borrower in an amount not to exceed in the aggregate the Incremental Available Amount (such debt, “</w:t>
      </w:r>
      <w:r>
        <w:rPr>
          <w:rFonts w:ascii="Times New Roman" w:cs="Times New Roman" w:eastAsia="Times New Roman" w:hAnsi="Times New Roman"/>
          <w:sz w:val="21"/>
          <w:szCs w:val="21"/>
          <w:b w:val="1"/>
          <w:bCs w:val="1"/>
          <w:color w:val="auto"/>
        </w:rPr>
        <w:t>Incremental Equivalent Debt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w:t>
      </w:r>
    </w:p>
    <w:p>
      <w:pPr>
        <w:spacing w:after="0" w:line="147" w:lineRule="exact"/>
        <w:rPr>
          <w:rFonts w:ascii="Times New Roman" w:cs="Times New Roman" w:eastAsia="Times New Roman" w:hAnsi="Times New Roman"/>
          <w:sz w:val="21"/>
          <w:szCs w:val="21"/>
          <w:color w:val="auto"/>
        </w:rPr>
      </w:pPr>
    </w:p>
    <w:p>
      <w:pPr>
        <w:jc w:val="both"/>
        <w:ind w:left="640" w:firstLine="1274"/>
        <w:spacing w:after="0" w:line="232" w:lineRule="auto"/>
        <w:tabs>
          <w:tab w:leader="none" w:pos="2536" w:val="left"/>
        </w:tabs>
        <w:numPr>
          <w:ilvl w:val="1"/>
          <w:numId w:val="2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when the proceeds of such Incremental Equivalent Debt are being used to finance in whole or in part a Limited Condition Acquisition, no Event of Default shall exist before or after giving effect to the incurrence of such Incremental Equivalent Debt;</w:t>
      </w:r>
    </w:p>
    <w:p>
      <w:pPr>
        <w:spacing w:after="0" w:line="147" w:lineRule="exact"/>
        <w:rPr>
          <w:rFonts w:ascii="Times New Roman" w:cs="Times New Roman" w:eastAsia="Times New Roman" w:hAnsi="Times New Roman"/>
          <w:sz w:val="21"/>
          <w:szCs w:val="21"/>
          <w:color w:val="auto"/>
        </w:rPr>
      </w:pPr>
    </w:p>
    <w:p>
      <w:pPr>
        <w:ind w:left="2540" w:hanging="626"/>
        <w:spacing w:after="0"/>
        <w:tabs>
          <w:tab w:leader="none" w:pos="2540" w:val="left"/>
        </w:tabs>
        <w:numPr>
          <w:ilvl w:val="1"/>
          <w:numId w:val="2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Incremental Equivalent Debt shall not be Guaranteed by any Person that is not a Guarantor;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142</w:t>
      </w:r>
    </w:p>
    <w:p>
      <w:pPr>
        <w:sectPr>
          <w:pgSz w:w="11900" w:h="16838" w:orient="portrait"/>
          <w:cols w:equalWidth="0" w:num="1">
            <w:col w:w="11240"/>
          </w:cols>
          <w:pgMar w:left="320" w:top="1371" w:right="339" w:bottom="1440" w:gutter="0" w:footer="0" w:header="0"/>
        </w:sectPr>
      </w:pPr>
    </w:p>
    <w:bookmarkStart w:id="248" w:name="page249"/>
    <w:bookmarkEnd w:id="248"/>
    <w:p>
      <w:pPr>
        <w:jc w:val="both"/>
        <w:ind w:left="-2" w:firstLine="1274"/>
        <w:spacing w:after="0" w:line="232" w:lineRule="auto"/>
        <w:tabs>
          <w:tab w:leader="none" w:pos="1906" w:val="left"/>
        </w:tabs>
        <w:numPr>
          <w:ilvl w:val="1"/>
          <w:numId w:val="2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such Incremental Equivalent Debt is in the form of loans secured by any or all of the Collateral on a pari passu basis with the Liens securing the Obligations hereunder, such Incremental Equivalent Debt shall have the benefit of </w:t>
      </w:r>
      <w:r>
        <w:rPr>
          <w:rFonts w:ascii="Times New Roman" w:cs="Times New Roman" w:eastAsia="Times New Roman" w:hAnsi="Times New Roman"/>
          <w:sz w:val="21"/>
          <w:szCs w:val="21"/>
          <w:u w:val="single" w:color="auto"/>
          <w:color w:val="auto"/>
        </w:rPr>
        <w:t>Section 2.14(g)(iv)</w:t>
      </w:r>
      <w:r>
        <w:rPr>
          <w:rFonts w:ascii="Times New Roman" w:cs="Times New Roman" w:eastAsia="Times New Roman" w:hAnsi="Times New Roman"/>
          <w:sz w:val="21"/>
          <w:szCs w:val="21"/>
          <w:color w:val="auto"/>
        </w:rPr>
        <w:t xml:space="preserve"> as if such Incremental Equivalent Debt were a Class of Incremental Term Loans;</w:t>
      </w:r>
    </w:p>
    <w:p>
      <w:pPr>
        <w:spacing w:after="0" w:line="147" w:lineRule="exact"/>
        <w:rPr>
          <w:rFonts w:ascii="Times New Roman" w:cs="Times New Roman" w:eastAsia="Times New Roman" w:hAnsi="Times New Roman"/>
          <w:sz w:val="21"/>
          <w:szCs w:val="21"/>
          <w:color w:val="auto"/>
        </w:rPr>
      </w:pPr>
    </w:p>
    <w:p>
      <w:pPr>
        <w:jc w:val="both"/>
        <w:ind w:left="-2" w:firstLine="1274"/>
        <w:spacing w:after="0" w:line="221" w:lineRule="auto"/>
        <w:tabs>
          <w:tab w:leader="none" w:pos="1894" w:val="left"/>
        </w:tabs>
        <w:numPr>
          <w:ilvl w:val="1"/>
          <w:numId w:val="2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 than in the case of customary bridge loans, the terms of such Incremental Equivalent Debt shall not be more restrictive, taken as a whole, to the Borrower and its Restricted Subsidiaries than those applicable to any Facility at the time of incurrence of such Incremental Equivalent Debt, unless (x) such other terms apply only after the Latest Maturity Date at the time of incurrence of such Incremental Equivalent Debt, (y) this Agreement is amended so that such terms are also applicable for the benefit of any Lenders under the then-existing Facilities or (z) such other terms relate only to pricing, fees or redemption terms;</w:t>
      </w:r>
    </w:p>
    <w:p>
      <w:pPr>
        <w:spacing w:after="0" w:line="149" w:lineRule="exact"/>
        <w:rPr>
          <w:rFonts w:ascii="Times New Roman" w:cs="Times New Roman" w:eastAsia="Times New Roman" w:hAnsi="Times New Roman"/>
          <w:sz w:val="21"/>
          <w:szCs w:val="21"/>
          <w:color w:val="auto"/>
        </w:rPr>
      </w:pPr>
    </w:p>
    <w:p>
      <w:pPr>
        <w:jc w:val="both"/>
        <w:ind w:left="-2" w:firstLine="1274"/>
        <w:spacing w:after="0" w:line="215" w:lineRule="auto"/>
        <w:tabs>
          <w:tab w:leader="none" w:pos="1901" w:val="left"/>
        </w:tabs>
        <w:numPr>
          <w:ilvl w:val="1"/>
          <w:numId w:val="2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 than in the case of customary bridge loans, (x) if such Incremental Equivalent Debt is secured on a pari passu basis with the Liens securing the Obligations hereunder, the stated maturity of such Incremental Equivalent Debt shall be no earlier than the Latest Maturity Date at the time of incurrence of such Incremental Equivalent Debt and (i) if there are any Term Loans outstanding at such time, the Weighted Average Life to Maturity of such Incremental Equivalent Debt shall be no shorter than the remaining Weighted Average Life to Maturity of any then-existing Facility hereunder and</w:t>
      </w:r>
    </w:p>
    <w:p>
      <w:pPr>
        <w:spacing w:after="0" w:line="2" w:lineRule="exact"/>
        <w:rPr>
          <w:rFonts w:ascii="Times New Roman" w:cs="Times New Roman" w:eastAsia="Times New Roman" w:hAnsi="Times New Roman"/>
          <w:sz w:val="21"/>
          <w:szCs w:val="21"/>
          <w:color w:val="auto"/>
        </w:rPr>
      </w:pPr>
    </w:p>
    <w:p>
      <w:pPr>
        <w:jc w:val="both"/>
        <w:ind w:left="-2" w:firstLine="2"/>
        <w:spacing w:after="0" w:line="217" w:lineRule="auto"/>
        <w:tabs>
          <w:tab w:leader="none" w:pos="333" w:val="left"/>
        </w:tabs>
        <w:numPr>
          <w:ilvl w:val="0"/>
          <w:numId w:val="2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there are no Term Loans outstanding, the Weighted Average Life to Maturity of such Incremental Equivalent Debt shall be no shorter than 36 months and (y) if such Incremental Equivalent Debt is secured on a junior basis to the Liens securing the Obligations hereunder or is unsecured, the stated maturity of such Incremental Equivalent Debt is not less than 91 days following the Latest Maturity Date at the time of incurrence of such Incremental Equivalent Debt and the Weighted Average Life to Maturity of such Incremental Equivalent Debt shall be no shorter than the remaining Weighted Average Life to Maturity of any then-existing Facility hereunder;</w:t>
      </w:r>
    </w:p>
    <w:p>
      <w:pPr>
        <w:spacing w:after="0" w:line="145" w:lineRule="exact"/>
        <w:rPr>
          <w:rFonts w:ascii="Times New Roman" w:cs="Times New Roman" w:eastAsia="Times New Roman" w:hAnsi="Times New Roman"/>
          <w:sz w:val="21"/>
          <w:szCs w:val="21"/>
          <w:color w:val="auto"/>
        </w:rPr>
      </w:pPr>
    </w:p>
    <w:p>
      <w:pPr>
        <w:jc w:val="both"/>
        <w:ind w:left="-2" w:firstLine="1274"/>
        <w:spacing w:after="0" w:line="233" w:lineRule="auto"/>
        <w:tabs>
          <w:tab w:leader="none" w:pos="1894" w:val="left"/>
        </w:tabs>
        <w:numPr>
          <w:ilvl w:val="1"/>
          <w:numId w:val="2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aggregate principal amount outstanding of all Non-Guarantor Debt </w:t>
      </w:r>
      <w:r>
        <w:rPr>
          <w:rFonts w:ascii="Times New Roman" w:cs="Times New Roman" w:eastAsia="Times New Roman" w:hAnsi="Times New Roman"/>
          <w:sz w:val="21"/>
          <w:szCs w:val="21"/>
          <w:b w:val="1"/>
          <w:bCs w:val="1"/>
          <w:color w:val="FF0000"/>
          <w:strike w:val="1"/>
        </w:rPr>
        <w:t>under this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FF0000"/>
          <w:strike w:val="1"/>
        </w:rPr>
        <w:t>clause (s)</w:t>
      </w:r>
      <w:r>
        <w:rPr>
          <w:rFonts w:ascii="Times New Roman" w:cs="Times New Roman" w:eastAsia="Times New Roman" w:hAnsi="Times New Roman"/>
          <w:sz w:val="21"/>
          <w:szCs w:val="21"/>
          <w:b w:val="1"/>
          <w:bCs w:val="1"/>
          <w:color w:val="FF0000"/>
          <w:strike w:val="1"/>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FF0000"/>
          <w:strike w:val="1"/>
        </w:rPr>
        <w:t xml:space="preserve">together with the aggregate principal amount outstanding of all Non-Guarantor Debt incurred pursuant to </w:t>
      </w:r>
      <w:r>
        <w:rPr>
          <w:rFonts w:ascii="Times New Roman" w:cs="Times New Roman" w:eastAsia="Times New Roman" w:hAnsi="Times New Roman"/>
          <w:sz w:val="21"/>
          <w:szCs w:val="21"/>
          <w:b w:val="1"/>
          <w:bCs w:val="1"/>
          <w:u w:val="single" w:color="auto"/>
          <w:color w:val="FF0000"/>
          <w:strike w:val="1"/>
        </w:rPr>
        <w:t>Section</w:t>
      </w:r>
      <w:r>
        <w:rPr>
          <w:rFonts w:ascii="Times New Roman" w:cs="Times New Roman" w:eastAsia="Times New Roman" w:hAnsi="Times New Roman"/>
          <w:sz w:val="21"/>
          <w:szCs w:val="21"/>
          <w:b w:val="1"/>
          <w:bCs w:val="1"/>
          <w:color w:val="FF0000"/>
          <w:strike w:val="1"/>
        </w:rPr>
        <w:t xml:space="preserve"> </w:t>
      </w:r>
      <w:r>
        <w:rPr>
          <w:rFonts w:ascii="Times New Roman" w:cs="Times New Roman" w:eastAsia="Times New Roman" w:hAnsi="Times New Roman"/>
          <w:sz w:val="21"/>
          <w:szCs w:val="21"/>
          <w:b w:val="1"/>
          <w:bCs w:val="1"/>
          <w:u w:val="single" w:color="auto"/>
          <w:color w:val="FF0000"/>
          <w:strike w:val="1"/>
        </w:rPr>
        <w:t>7.03(g)</w:t>
      </w:r>
      <w:r>
        <w:rPr>
          <w:rFonts w:ascii="Times New Roman" w:cs="Times New Roman" w:eastAsia="Times New Roman" w:hAnsi="Times New Roman"/>
          <w:sz w:val="21"/>
          <w:szCs w:val="21"/>
          <w:b w:val="1"/>
          <w:bCs w:val="1"/>
          <w:color w:val="FF0000"/>
          <w:strike w:val="1"/>
        </w:rPr>
        <w:t>,</w:t>
      </w:r>
      <w:r>
        <w:rPr>
          <w:rFonts w:ascii="Times New Roman" w:cs="Times New Roman" w:eastAsia="Times New Roman" w:hAnsi="Times New Roman"/>
          <w:sz w:val="21"/>
          <w:szCs w:val="21"/>
          <w:b w:val="1"/>
          <w:bCs w:val="1"/>
          <w:u w:val="single" w:color="auto"/>
          <w:color w:val="0000FF"/>
          <w:strike w:val="1"/>
        </w:rPr>
        <w:t>that is Incremental Equivalent Debt</w:t>
      </w:r>
      <w:r>
        <w:rPr>
          <w:rFonts w:ascii="Times New Roman" w:cs="Times New Roman" w:eastAsia="Times New Roman" w:hAnsi="Times New Roman"/>
          <w:sz w:val="21"/>
          <w:szCs w:val="21"/>
          <w:b w:val="1"/>
          <w:bCs w:val="1"/>
          <w:color w:val="FF0000"/>
          <w:strike w:val="1"/>
        </w:rPr>
        <w:t xml:space="preserve"> </w:t>
      </w:r>
      <w:r>
        <w:rPr>
          <w:rFonts w:ascii="Times New Roman" w:cs="Times New Roman" w:eastAsia="Times New Roman" w:hAnsi="Times New Roman"/>
          <w:sz w:val="21"/>
          <w:szCs w:val="21"/>
          <w:color w:val="000000"/>
          <w:strike w:val="1"/>
        </w:rPr>
        <w:t>does not exceed</w:t>
      </w:r>
      <w:r>
        <w:rPr>
          <w:rFonts w:ascii="Times New Roman" w:cs="Times New Roman" w:eastAsia="Times New Roman" w:hAnsi="Times New Roman"/>
          <w:sz w:val="21"/>
          <w:szCs w:val="21"/>
          <w:b w:val="1"/>
          <w:bCs w:val="1"/>
          <w:color w:val="FF0000"/>
          <w:strike w:val="1"/>
        </w:rPr>
        <w:t xml:space="preserve"> at any time </w:t>
      </w:r>
      <w:r>
        <w:rPr>
          <w:rFonts w:ascii="Times New Roman" w:cs="Times New Roman" w:eastAsia="Times New Roman" w:hAnsi="Times New Roman"/>
          <w:sz w:val="21"/>
          <w:szCs w:val="21"/>
          <w:color w:val="000000"/>
          <w:strike w:val="1"/>
        </w:rPr>
        <w:t>the Non-Guarantor Debt Cap;</w:t>
      </w:r>
    </w:p>
    <w:p>
      <w:pPr>
        <w:spacing w:after="0" w:line="148" w:lineRule="exact"/>
        <w:rPr>
          <w:rFonts w:ascii="Times New Roman" w:cs="Times New Roman" w:eastAsia="Times New Roman" w:hAnsi="Times New Roman"/>
          <w:sz w:val="21"/>
          <w:szCs w:val="21"/>
          <w:color w:val="auto"/>
        </w:rPr>
      </w:pPr>
    </w:p>
    <w:p>
      <w:pPr>
        <w:ind w:left="-2" w:firstLine="1274"/>
        <w:spacing w:after="0" w:line="245" w:lineRule="auto"/>
        <w:tabs>
          <w:tab w:leader="none" w:pos="2010" w:val="left"/>
        </w:tabs>
        <w:numPr>
          <w:ilvl w:val="1"/>
          <w:numId w:val="2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shall deliver or cause to be delivered legal opinions and such other documents reasonably requested by the Administrative Agent in connection with such transaction; and</w:t>
      </w:r>
    </w:p>
    <w:p>
      <w:pPr>
        <w:spacing w:after="0" w:line="142" w:lineRule="exact"/>
        <w:rPr>
          <w:rFonts w:ascii="Times New Roman" w:cs="Times New Roman" w:eastAsia="Times New Roman" w:hAnsi="Times New Roman"/>
          <w:sz w:val="21"/>
          <w:szCs w:val="21"/>
          <w:color w:val="auto"/>
        </w:rPr>
      </w:pPr>
    </w:p>
    <w:p>
      <w:pPr>
        <w:jc w:val="both"/>
        <w:ind w:left="-2" w:firstLine="1274"/>
        <w:spacing w:after="0" w:line="217" w:lineRule="auto"/>
        <w:tabs>
          <w:tab w:leader="none" w:pos="1987" w:val="left"/>
        </w:tabs>
        <w:numPr>
          <w:ilvl w:val="1"/>
          <w:numId w:val="2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such Incremental Equivalent Debt is secured, the representative and collateral trustee acting on behalf of the holders of such Incremental Equivalent Debt shall have executed and delivered to the Administrative Agent (x) a joinder to the Pari Passu Intercreditor Agreement and (if then in effect) the Junior Lien Intercreditor Agreement (if such Incremental Equivalent Debt is secured by any or all of the Collateral on a pari passu basis (without regard to control of remedies) with the Obligations hereunder) in accordance with the terms thereof and (y) a joinder to the Junior Lien Intercreditor Agreement (if such Incremental Equivalent Debt is secured by any or all of the Collateral on a junior basis to the Obligations hereunder) in accordance with the terms thereof;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such Indebtedness is the initial issuance of Indebtedness that would cause such documents to be executed, then the Borrower, the Guarantors, the Administrative Agent and the representative and collateral trustee for such </w:t>
      </w:r>
      <w:r>
        <w:rPr>
          <w:rFonts w:ascii="Times New Roman" w:cs="Times New Roman" w:eastAsia="Times New Roman" w:hAnsi="Times New Roman"/>
          <w:sz w:val="21"/>
          <w:szCs w:val="21"/>
          <w:b w:val="1"/>
          <w:bCs w:val="1"/>
          <w:color w:val="FF0000"/>
          <w:strike w:val="1"/>
        </w:rPr>
        <w:t>Incremental Equivalent Debt</w:t>
      </w:r>
      <w:r>
        <w:rPr>
          <w:rFonts w:ascii="Times New Roman" w:cs="Times New Roman" w:eastAsia="Times New Roman" w:hAnsi="Times New Roman"/>
          <w:sz w:val="21"/>
          <w:szCs w:val="21"/>
          <w:b w:val="1"/>
          <w:bCs w:val="1"/>
          <w:u w:val="single" w:color="auto"/>
          <w:color w:val="0000FF"/>
        </w:rPr>
        <w:t>other Indebtedness</w:t>
      </w:r>
      <w:r>
        <w:rPr>
          <w:rFonts w:ascii="Times New Roman" w:cs="Times New Roman" w:eastAsia="Times New Roman" w:hAnsi="Times New Roman"/>
          <w:sz w:val="21"/>
          <w:szCs w:val="21"/>
          <w:color w:val="auto"/>
        </w:rPr>
        <w:t xml:space="preserve"> shall have executed and delivered the Pari Passu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-1965960</wp:posOffset>
            </wp:positionV>
            <wp:extent cx="42608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1">
                      <a:extLst>
                        <a:ext uri="{28A0092B-C50C-407E-A947-70E740481C1C}"/>
                      </a:extLst>
                    </a:blip>
                    <a:srcRect/>
                    <a:stretch>
                      <a:fillRect/>
                    </a:stretch>
                  </pic:blipFill>
                  <pic:spPr bwMode="auto">
                    <a:xfrm>
                      <a:off x="0" y="0"/>
                      <a:ext cx="426085" cy="8255"/>
                    </a:xfrm>
                    <a:prstGeom prst="rect">
                      <a:avLst/>
                    </a:prstGeom>
                    <a:noFill/>
                  </pic:spPr>
                </pic:pic>
              </a:graphicData>
            </a:graphic>
          </wp:anchor>
        </w:drawing>
        <w:drawing>
          <wp:anchor simplePos="0" relativeHeight="251657728" behindDoc="1" locked="0" layoutInCell="0" allowOverlap="1">
            <wp:simplePos x="0" y="0"/>
            <wp:positionH relativeFrom="column">
              <wp:posOffset>3381375</wp:posOffset>
            </wp:positionH>
            <wp:positionV relativeFrom="paragraph">
              <wp:posOffset>-1965960</wp:posOffset>
            </wp:positionV>
            <wp:extent cx="67691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2">
                      <a:extLst>
                        <a:ext uri="{28A0092B-C50C-407E-A947-70E740481C1C}"/>
                      </a:extLst>
                    </a:blip>
                    <a:srcRect/>
                    <a:stretch>
                      <a:fillRect/>
                    </a:stretch>
                  </pic:blipFill>
                  <pic:spPr bwMode="auto">
                    <a:xfrm>
                      <a:off x="0" y="0"/>
                      <a:ext cx="6769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818"/>
        <w:spacing w:after="0"/>
        <w:rPr>
          <w:sz w:val="20"/>
          <w:szCs w:val="20"/>
          <w:color w:val="auto"/>
        </w:rPr>
      </w:pPr>
      <w:r>
        <w:rPr>
          <w:rFonts w:ascii="Times New Roman" w:cs="Times New Roman" w:eastAsia="Times New Roman" w:hAnsi="Times New Roman"/>
          <w:sz w:val="21"/>
          <w:szCs w:val="21"/>
          <w:color w:val="auto"/>
        </w:rPr>
        <w:t>143</w:t>
      </w:r>
    </w:p>
    <w:p>
      <w:pPr>
        <w:sectPr>
          <w:pgSz w:w="11900" w:h="16838" w:orient="portrait"/>
          <w:cols w:equalWidth="0" w:num="1">
            <w:col w:w="10598"/>
          </w:cols>
          <w:pgMar w:left="962" w:top="1371" w:right="339" w:bottom="1440" w:gutter="0" w:footer="0" w:header="0"/>
        </w:sectPr>
      </w:pPr>
    </w:p>
    <w:bookmarkStart w:id="249" w:name="page250"/>
    <w:bookmarkEnd w:id="249"/>
    <w:p>
      <w:pPr>
        <w:ind w:left="640"/>
        <w:spacing w:after="0"/>
        <w:rPr>
          <w:sz w:val="20"/>
          <w:szCs w:val="20"/>
          <w:color w:val="auto"/>
        </w:rPr>
      </w:pPr>
      <w:r>
        <w:rPr>
          <w:rFonts w:ascii="Times New Roman" w:cs="Times New Roman" w:eastAsia="Times New Roman" w:hAnsi="Times New Roman"/>
          <w:sz w:val="21"/>
          <w:szCs w:val="21"/>
          <w:color w:val="auto"/>
        </w:rPr>
        <w:t>Intercreditor Agreement and/or the Junior Lien Intercreditor Agreement, as applicable and</w:t>
      </w:r>
    </w:p>
    <w:p>
      <w:pPr>
        <w:spacing w:after="0" w:line="207" w:lineRule="exact"/>
        <w:rPr>
          <w:sz w:val="20"/>
          <w:szCs w:val="20"/>
          <w:color w:val="auto"/>
        </w:rPr>
      </w:pPr>
    </w:p>
    <w:p>
      <w:pPr>
        <w:jc w:val="both"/>
        <w:ind w:left="80" w:firstLine="1198"/>
        <w:spacing w:after="0" w:line="262" w:lineRule="auto"/>
        <w:tabs>
          <w:tab w:leader="none" w:pos="1897" w:val="left"/>
        </w:tabs>
        <w:numPr>
          <w:ilvl w:val="0"/>
          <w:numId w:val="2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 Permitted Refinancing of any Indebtedness incurred under the foregoing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any such Permitted Refinancing of any such Indebtedness that was initially incurred in reliance on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of the definition of Incremental Available Amount (or any Permitted Refinancing thereof) shall continue to be deemed to be a utilization of such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for purposes hereof unless it shall have been properly reclassified to clause (c) of the definition of Incremental Available Amount);</w:t>
      </w:r>
    </w:p>
    <w:p>
      <w:pPr>
        <w:spacing w:after="0" w:line="141" w:lineRule="exact"/>
        <w:rPr>
          <w:rFonts w:ascii="Times New Roman" w:cs="Times New Roman" w:eastAsia="Times New Roman" w:hAnsi="Times New Roman"/>
          <w:sz w:val="21"/>
          <w:szCs w:val="21"/>
          <w:color w:val="auto"/>
        </w:rPr>
      </w:pPr>
    </w:p>
    <w:p>
      <w:pPr>
        <w:jc w:val="both"/>
        <w:ind w:firstLine="1278"/>
        <w:spacing w:after="0" w:line="230" w:lineRule="auto"/>
        <w:tabs>
          <w:tab w:leader="none" w:pos="1903" w:val="left"/>
        </w:tabs>
        <w:numPr>
          <w:ilvl w:val="0"/>
          <w:numId w:val="2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(x) Indebtedness assumed in connection with a Permitted Acquisition or other Investment in the nature of an acquisition so long as (i) such Indebtedness existed prior to the consummation of such Permitted Acquisition or other Investment in the nature of an acquisition, (ii) such Indebtedness is not created in contemplation of such Permitted Acquisition or other Investment in the nature of an acquisition, (iii) such Indebtedness is solely the obligation of such Person, and not of the Borrower or any other Restricted Subsidiary (other than any Person acquired by the Borrower or any Restricted Subsidiary as a result of such Permitted Acquisition or other Investment in the nature of an acquisition and any Restricted Subsidiary of such acquired Person as of the date of such Permitted Acquisition or other Investment in the nature of an acquisition) and (iv) if such Indebtedness (excluding leases) is secured, the pro forma Secured Net Leverage Ratio would not exceed the greater of 4.25:1.00 and the Secured Net Leverage Ratio immediately prior to giving effect to such Permitted Acquisition or other Investment in the nature of an acquisition and if such Indebtedness (excluding leases) is unsecured, the pro forma Consolidated Interest Coverage Ratio would be greater than or equal to the lesser of 2.00:1.00 and the Consolidated Interest Coverage Ratio immediately prior to giving effect to such Permitted Acquisition or other Investment in the nature of an acquisition or the pro forma Total Net Leverage Ratio would not exceed the greater of 6.00:1.00 and the Total Net Leverage Ratio immediately prior to giving effect to such Permitted Acquisition or other Investment in the nature of an acquisition, and (y) Permitted Refinancings of any Indebtedness assumed under the foregoing </w:t>
      </w:r>
      <w:r>
        <w:rPr>
          <w:rFonts w:ascii="Times New Roman" w:cs="Times New Roman" w:eastAsia="Times New Roman" w:hAnsi="Times New Roman"/>
          <w:sz w:val="21"/>
          <w:szCs w:val="21"/>
          <w:u w:val="single" w:color="auto"/>
          <w:color w:val="auto"/>
        </w:rPr>
        <w:t>clause (x)</w:t>
      </w:r>
      <w:r>
        <w:rPr>
          <w:rFonts w:ascii="Times New Roman" w:cs="Times New Roman" w:eastAsia="Times New Roman" w:hAnsi="Times New Roman"/>
          <w:sz w:val="21"/>
          <w:szCs w:val="21"/>
          <w:color w:val="auto"/>
        </w:rPr>
        <w:t>;</w:t>
      </w:r>
    </w:p>
    <w:p>
      <w:pPr>
        <w:spacing w:after="0" w:line="152" w:lineRule="exact"/>
        <w:rPr>
          <w:rFonts w:ascii="Times New Roman" w:cs="Times New Roman" w:eastAsia="Times New Roman" w:hAnsi="Times New Roman"/>
          <w:sz w:val="21"/>
          <w:szCs w:val="21"/>
          <w:color w:val="auto"/>
        </w:rPr>
      </w:pPr>
    </w:p>
    <w:p>
      <w:pPr>
        <w:jc w:val="both"/>
        <w:ind w:firstLine="1278"/>
        <w:spacing w:after="0" w:line="221" w:lineRule="auto"/>
        <w:tabs>
          <w:tab w:leader="none" w:pos="1903" w:val="left"/>
        </w:tabs>
        <w:numPr>
          <w:ilvl w:val="0"/>
          <w:numId w:val="2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Indebtedness incurred in the ordinary course of business in respect of obligations of the Borrower or any Restricted Subsidiary to pay the deferred purchase price of goods or services or progress payments in connection with such goods and services, (ii) Indebtedness in respect of any letter of credit, bankers’ acceptance, bank guaranty or similar instrument supporting trade payables, warehouse receipts or similar facilities entered into in the ordinary course of business, and (iii) Indebtedness consisting of obligations owing under any customer or supplier incentive, supply, license or similar agreements entered into in the ordinary course of business;</w:t>
      </w:r>
    </w:p>
    <w:p>
      <w:pPr>
        <w:spacing w:after="0" w:line="149" w:lineRule="exact"/>
        <w:rPr>
          <w:rFonts w:ascii="Times New Roman" w:cs="Times New Roman" w:eastAsia="Times New Roman" w:hAnsi="Times New Roman"/>
          <w:sz w:val="21"/>
          <w:szCs w:val="21"/>
          <w:color w:val="auto"/>
        </w:rPr>
      </w:pPr>
    </w:p>
    <w:p>
      <w:pPr>
        <w:ind w:firstLine="1278"/>
        <w:spacing w:after="0" w:line="245" w:lineRule="auto"/>
        <w:tabs>
          <w:tab w:leader="none" w:pos="1897" w:val="left"/>
        </w:tabs>
        <w:numPr>
          <w:ilvl w:val="0"/>
          <w:numId w:val="2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unfunded pension fund and other employee benefit plan obligations and liabilities incurred in the ordinary course of business to the extent that the unfunded amounts would not otherwise cause an Event of Default under </w:t>
      </w:r>
      <w:r>
        <w:rPr>
          <w:rFonts w:ascii="Times New Roman" w:cs="Times New Roman" w:eastAsia="Times New Roman" w:hAnsi="Times New Roman"/>
          <w:sz w:val="21"/>
          <w:szCs w:val="21"/>
          <w:u w:val="single" w:color="auto"/>
          <w:color w:val="auto"/>
        </w:rPr>
        <w:t>Section 8.01(i)</w:t>
      </w:r>
      <w:r>
        <w:rPr>
          <w:rFonts w:ascii="Times New Roman" w:cs="Times New Roman" w:eastAsia="Times New Roman" w:hAnsi="Times New Roman"/>
          <w:sz w:val="21"/>
          <w:szCs w:val="21"/>
          <w:color w:val="auto"/>
        </w:rPr>
        <w:t>;</w:t>
      </w:r>
    </w:p>
    <w:p>
      <w:pPr>
        <w:spacing w:after="0" w:line="142" w:lineRule="exact"/>
        <w:rPr>
          <w:rFonts w:ascii="Times New Roman" w:cs="Times New Roman" w:eastAsia="Times New Roman" w:hAnsi="Times New Roman"/>
          <w:sz w:val="21"/>
          <w:szCs w:val="21"/>
          <w:color w:val="auto"/>
        </w:rPr>
      </w:pPr>
    </w:p>
    <w:p>
      <w:pPr>
        <w:ind w:firstLine="1278"/>
        <w:spacing w:after="0" w:line="245" w:lineRule="auto"/>
        <w:tabs>
          <w:tab w:leader="none" w:pos="1903" w:val="left"/>
        </w:tabs>
        <w:numPr>
          <w:ilvl w:val="0"/>
          <w:numId w:val="2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customer deposits and advance payments received in the ordinary course of business from customers for goods and services purchased in the ordinary course of business;</w:t>
      </w:r>
    </w:p>
    <w:p>
      <w:pPr>
        <w:spacing w:after="0" w:line="142" w:lineRule="exact"/>
        <w:rPr>
          <w:rFonts w:ascii="Times New Roman" w:cs="Times New Roman" w:eastAsia="Times New Roman" w:hAnsi="Times New Roman"/>
          <w:sz w:val="21"/>
          <w:szCs w:val="21"/>
          <w:color w:val="auto"/>
        </w:rPr>
      </w:pPr>
    </w:p>
    <w:p>
      <w:pPr>
        <w:jc w:val="both"/>
        <w:ind w:firstLine="1278"/>
        <w:spacing w:after="0" w:line="232" w:lineRule="auto"/>
        <w:tabs>
          <w:tab w:leader="none" w:pos="1903" w:val="left"/>
        </w:tabs>
        <w:numPr>
          <w:ilvl w:val="0"/>
          <w:numId w:val="2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duplication of any other Indebtedness, all premiums (if any), interest (including post-petition interest and payment in kind interest), accretion or amortization of original issue discount, fees, expenses and charges with respect to Indebtedness permitted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144</w:t>
      </w:r>
    </w:p>
    <w:p>
      <w:pPr>
        <w:sectPr>
          <w:pgSz w:w="11900" w:h="16838" w:orient="portrait"/>
          <w:cols w:equalWidth="0" w:num="1">
            <w:col w:w="11240"/>
          </w:cols>
          <w:pgMar w:left="320" w:top="1371" w:right="339" w:bottom="1440" w:gutter="0" w:footer="0" w:header="0"/>
        </w:sectPr>
      </w:pPr>
    </w:p>
    <w:bookmarkStart w:id="250" w:name="page251"/>
    <w:bookmarkEnd w:id="250"/>
    <w:p>
      <w:pPr>
        <w:ind w:left="1920" w:hanging="642"/>
        <w:spacing w:after="0"/>
        <w:tabs>
          <w:tab w:leader="none" w:pos="1920" w:val="left"/>
        </w:tabs>
        <w:numPr>
          <w:ilvl w:val="0"/>
          <w:numId w:val="2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Indebtedness incurred in connection with sale and leaseback transactions permitted pursuant to </w:t>
      </w:r>
      <w:r>
        <w:rPr>
          <w:rFonts w:ascii="Times New Roman" w:cs="Times New Roman" w:eastAsia="Times New Roman" w:hAnsi="Times New Roman"/>
          <w:sz w:val="21"/>
          <w:szCs w:val="21"/>
          <w:u w:val="single" w:color="auto"/>
          <w:color w:val="auto"/>
        </w:rPr>
        <w:t>Section 7.15</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278"/>
        <w:spacing w:after="0" w:line="232" w:lineRule="auto"/>
        <w:tabs>
          <w:tab w:leader="none" w:pos="1906" w:val="left"/>
        </w:tabs>
        <w:numPr>
          <w:ilvl w:val="0"/>
          <w:numId w:val="2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Indebtedness secured by fee owned real property and related improvements and fixtures or other assets not constituting Collateral in an aggregate principal amount outstanding at any time not to exceed the greater of $</w:t>
      </w:r>
      <w:r>
        <w:rPr>
          <w:rFonts w:ascii="Times New Roman" w:cs="Times New Roman" w:eastAsia="Times New Roman" w:hAnsi="Times New Roman"/>
          <w:sz w:val="21"/>
          <w:szCs w:val="21"/>
          <w:b w:val="1"/>
          <w:bCs w:val="1"/>
          <w:color w:val="FF0000"/>
          <w:strike w:val="1"/>
        </w:rPr>
        <w:t>30,000,000</w:t>
      </w:r>
      <w:r>
        <w:rPr>
          <w:rFonts w:ascii="Times New Roman" w:cs="Times New Roman" w:eastAsia="Times New Roman" w:hAnsi="Times New Roman"/>
          <w:sz w:val="21"/>
          <w:szCs w:val="21"/>
          <w:b w:val="1"/>
          <w:bCs w:val="1"/>
          <w:u w:val="single" w:color="auto"/>
          <w:color w:val="0000FF"/>
        </w:rPr>
        <w:t>60,000,000</w:t>
      </w:r>
      <w:r>
        <w:rPr>
          <w:rFonts w:ascii="Times New Roman" w:cs="Times New Roman" w:eastAsia="Times New Roman" w:hAnsi="Times New Roman"/>
          <w:sz w:val="21"/>
          <w:szCs w:val="21"/>
          <w:color w:val="auto"/>
        </w:rPr>
        <w:t xml:space="preserve"> and 12.00% of Consolidated EBITDA based on the Most Recent Financial Statements; and</w:t>
      </w:r>
    </w:p>
    <w:p>
      <w:pPr>
        <w:spacing w:after="0" w:line="148" w:lineRule="exact"/>
        <w:rPr>
          <w:sz w:val="20"/>
          <w:szCs w:val="20"/>
          <w:color w:val="auto"/>
        </w:rPr>
      </w:pPr>
    </w:p>
    <w:p>
      <w:pPr>
        <w:jc w:val="both"/>
        <w:ind w:firstLine="1272"/>
        <w:spacing w:after="0" w:line="232" w:lineRule="auto"/>
        <w:rPr>
          <w:sz w:val="20"/>
          <w:szCs w:val="20"/>
          <w:color w:val="auto"/>
        </w:rPr>
      </w:pPr>
      <w:r>
        <w:rPr>
          <w:rFonts w:ascii="Times New Roman" w:cs="Times New Roman" w:eastAsia="Times New Roman" w:hAnsi="Times New Roman"/>
          <w:sz w:val="21"/>
          <w:szCs w:val="21"/>
          <w:color w:val="auto"/>
        </w:rPr>
        <w:t>(ab) Indebtedness of any Restricted Subsidiary that is a joint venture in an aggregate principal amount outstanding at any time not to exceed the greater $</w:t>
      </w:r>
      <w:r>
        <w:rPr>
          <w:rFonts w:ascii="Times New Roman" w:cs="Times New Roman" w:eastAsia="Times New Roman" w:hAnsi="Times New Roman"/>
          <w:sz w:val="21"/>
          <w:szCs w:val="21"/>
          <w:b w:val="1"/>
          <w:bCs w:val="1"/>
          <w:color w:val="FF0000"/>
          <w:strike w:val="1"/>
        </w:rPr>
        <w:t>25,000,000</w:t>
      </w:r>
      <w:r>
        <w:rPr>
          <w:rFonts w:ascii="Times New Roman" w:cs="Times New Roman" w:eastAsia="Times New Roman" w:hAnsi="Times New Roman"/>
          <w:sz w:val="21"/>
          <w:szCs w:val="21"/>
          <w:b w:val="1"/>
          <w:bCs w:val="1"/>
          <w:u w:val="single" w:color="auto"/>
          <w:color w:val="0000FF"/>
        </w:rPr>
        <w:t>50,000,000</w:t>
      </w:r>
      <w:r>
        <w:rPr>
          <w:rFonts w:ascii="Times New Roman" w:cs="Times New Roman" w:eastAsia="Times New Roman" w:hAnsi="Times New Roman"/>
          <w:sz w:val="21"/>
          <w:szCs w:val="21"/>
          <w:color w:val="auto"/>
        </w:rPr>
        <w:t xml:space="preserve"> and 10% of Consolidated EBITDA based on the Most Recent Financial Statements.</w:t>
      </w:r>
    </w:p>
    <w:p>
      <w:pPr>
        <w:spacing w:after="0" w:line="174" w:lineRule="exact"/>
        <w:rPr>
          <w:sz w:val="20"/>
          <w:szCs w:val="20"/>
          <w:color w:val="auto"/>
        </w:rPr>
      </w:pPr>
    </w:p>
    <w:p>
      <w:pPr>
        <w:jc w:val="both"/>
        <w:ind w:firstLine="636"/>
        <w:spacing w:after="0" w:line="285" w:lineRule="auto"/>
        <w:rPr>
          <w:sz w:val="20"/>
          <w:szCs w:val="20"/>
          <w:color w:val="auto"/>
        </w:rPr>
      </w:pPr>
      <w:r>
        <w:rPr>
          <w:rFonts w:ascii="Times New Roman" w:cs="Times New Roman" w:eastAsia="Times New Roman" w:hAnsi="Times New Roman"/>
          <w:sz w:val="21"/>
          <w:szCs w:val="21"/>
          <w:color w:val="auto"/>
        </w:rPr>
        <w:t>Notwithstanding anything to the contrary herein, no Restricted Subsidiary shall be permitted to guarantee any of the Senior Notes or any Permitted Refinancing thereof unless such Restricted Subsidiary also guarantees the Obligations.</w:t>
      </w:r>
    </w:p>
    <w:p>
      <w:pPr>
        <w:spacing w:after="0" w:line="113"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7.04</w:t>
      </w:r>
      <w:r>
        <w:rPr>
          <w:sz w:val="20"/>
          <w:szCs w:val="20"/>
          <w:color w:val="auto"/>
        </w:rPr>
        <w:tab/>
      </w:r>
      <w:r>
        <w:rPr>
          <w:rFonts w:ascii="Times New Roman" w:cs="Times New Roman" w:eastAsia="Times New Roman" w:hAnsi="Times New Roman"/>
          <w:sz w:val="21"/>
          <w:szCs w:val="21"/>
          <w:i w:val="1"/>
          <w:iCs w:val="1"/>
          <w:color w:val="auto"/>
        </w:rPr>
        <w:t>Fundamental Changes</w:t>
      </w:r>
    </w:p>
    <w:p>
      <w:pPr>
        <w:spacing w:after="0" w:line="211" w:lineRule="exact"/>
        <w:rPr>
          <w:sz w:val="20"/>
          <w:szCs w:val="20"/>
          <w:color w:val="auto"/>
        </w:rPr>
      </w:pPr>
    </w:p>
    <w:p>
      <w:pPr>
        <w:jc w:val="both"/>
        <w:ind w:firstLine="642"/>
        <w:spacing w:after="0" w:line="266" w:lineRule="auto"/>
        <w:tabs>
          <w:tab w:leader="none" w:pos="755" w:val="left"/>
        </w:tabs>
        <w:numPr>
          <w:ilvl w:val="0"/>
          <w:numId w:val="2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in the case of the consummation of any of the Transactions, merge, dissolve, liquidate, consolidate with or into another Person, or Dispose of (whether in one transaction or in a series of transactions) all or substantially all of its assets (whether now owned or hereafter acquired) to or in favor of any Person, except that, so long as no Event of Default exists or would result therefrom:</w:t>
      </w:r>
    </w:p>
    <w:p>
      <w:pPr>
        <w:spacing w:after="0" w:line="133" w:lineRule="exact"/>
        <w:rPr>
          <w:rFonts w:ascii="Times New Roman" w:cs="Times New Roman" w:eastAsia="Times New Roman" w:hAnsi="Times New Roman"/>
          <w:sz w:val="21"/>
          <w:szCs w:val="21"/>
          <w:color w:val="auto"/>
        </w:rPr>
      </w:pPr>
    </w:p>
    <w:p>
      <w:pPr>
        <w:jc w:val="both"/>
        <w:ind w:firstLine="1278"/>
        <w:spacing w:after="0" w:line="218" w:lineRule="auto"/>
        <w:tabs>
          <w:tab w:leader="none" w:pos="1905" w:val="left"/>
        </w:tabs>
        <w:numPr>
          <w:ilvl w:val="1"/>
          <w:numId w:val="2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Subsidiary may merge with (i) the Borrower;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Borrower shall be the continuing or surviving Person and (ii) any Subsidiary;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 when any wholly-owned Subsidiary is merging with another Subsidiary, a wholly-owned Subsidiary shall be the continuing or surviving Person, (B) when any Restricted Subsidiary is merging with another Subsidiary, either (I) a Restricted Subsidiary shall be the continuing or surviving Person or (II) an Unrestricted Subsidiary shall be the continuing or surviving person (if such Person shall be permitted to be designated as an Unrestricted Subsidiary hereunder (other than pursuant to </w:t>
      </w:r>
      <w:r>
        <w:rPr>
          <w:rFonts w:ascii="Times New Roman" w:cs="Times New Roman" w:eastAsia="Times New Roman" w:hAnsi="Times New Roman"/>
          <w:sz w:val="21"/>
          <w:szCs w:val="21"/>
          <w:u w:val="single" w:color="auto"/>
          <w:color w:val="auto"/>
        </w:rPr>
        <w:t>Section 7.02(g)</w:t>
      </w:r>
      <w:r>
        <w:rPr>
          <w:rFonts w:ascii="Times New Roman" w:cs="Times New Roman" w:eastAsia="Times New Roman" w:hAnsi="Times New Roman"/>
          <w:sz w:val="21"/>
          <w:szCs w:val="21"/>
          <w:color w:val="auto"/>
        </w:rPr>
        <w:t xml:space="preserve">)), (C) when any Guarantor is merging with another Subsidiary, the continuing or surviving Person shall either (I) be a Guarantor or (II) a Loan Party, and (D) if as a result thereof, the Borrower owns, directly or indirectly, less of such Subsidiary’s equity interests than it did prior to the merger, such merger shall also constitute a Disposition subject to </w:t>
      </w:r>
      <w:r>
        <w:rPr>
          <w:rFonts w:ascii="Times New Roman" w:cs="Times New Roman" w:eastAsia="Times New Roman" w:hAnsi="Times New Roman"/>
          <w:sz w:val="21"/>
          <w:szCs w:val="21"/>
          <w:u w:val="single" w:color="auto"/>
          <w:color w:val="auto"/>
        </w:rPr>
        <w:t>Section 7.05</w:t>
      </w:r>
      <w:r>
        <w:rPr>
          <w:rFonts w:ascii="Times New Roman" w:cs="Times New Roman" w:eastAsia="Times New Roman" w:hAnsi="Times New Roman"/>
          <w:sz w:val="21"/>
          <w:szCs w:val="21"/>
          <w:color w:val="auto"/>
        </w:rPr>
        <w:t xml:space="preserve"> (and must be permitted by any clause thereof other than </w:t>
      </w:r>
      <w:r>
        <w:rPr>
          <w:rFonts w:ascii="Times New Roman" w:cs="Times New Roman" w:eastAsia="Times New Roman" w:hAnsi="Times New Roman"/>
          <w:sz w:val="21"/>
          <w:szCs w:val="21"/>
          <w:u w:val="single" w:color="auto"/>
          <w:color w:val="auto"/>
        </w:rPr>
        <w:t>Section 7.05(d)</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(g)(A));</w:t>
      </w:r>
    </w:p>
    <w:p>
      <w:pPr>
        <w:spacing w:after="0" w:line="147" w:lineRule="exact"/>
        <w:rPr>
          <w:rFonts w:ascii="Times New Roman" w:cs="Times New Roman" w:eastAsia="Times New Roman" w:hAnsi="Times New Roman"/>
          <w:sz w:val="21"/>
          <w:szCs w:val="21"/>
          <w:color w:val="auto"/>
        </w:rPr>
      </w:pPr>
    </w:p>
    <w:p>
      <w:pPr>
        <w:jc w:val="both"/>
        <w:ind w:firstLine="1278"/>
        <w:spacing w:after="0" w:line="221" w:lineRule="auto"/>
        <w:tabs>
          <w:tab w:leader="none" w:pos="1903" w:val="left"/>
        </w:tabs>
        <w:numPr>
          <w:ilvl w:val="1"/>
          <w:numId w:val="2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 any Subsidiary may merge, amalgamate, liquidate, dissolve or change its form if the Borrower determines in good faith that such merger, amalgamation, liquidation, dissolution or change in form (x) is in the best interests of the Borrower and (y) is not materially disadvantageous to the Lenders;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in the case of a merger, amalgamation, dissolution or liquidation of a Loan Party that results in a distribution of assets to a Subsidiary that is not a Loan Party, such distribution shall be treated as an Investment and shall comply with </w:t>
      </w:r>
      <w:r>
        <w:rPr>
          <w:rFonts w:ascii="Times New Roman" w:cs="Times New Roman" w:eastAsia="Times New Roman" w:hAnsi="Times New Roman"/>
          <w:sz w:val="21"/>
          <w:szCs w:val="21"/>
          <w:u w:val="single" w:color="auto"/>
          <w:color w:val="auto"/>
        </w:rPr>
        <w:t>Section 7.02</w:t>
      </w:r>
      <w:r>
        <w:rPr>
          <w:rFonts w:ascii="Times New Roman" w:cs="Times New Roman" w:eastAsia="Times New Roman" w:hAnsi="Times New Roman"/>
          <w:sz w:val="21"/>
          <w:szCs w:val="21"/>
          <w:color w:val="auto"/>
        </w:rPr>
        <w:t xml:space="preserve"> and (ii) any Subsidiary may merge, dissolve, liquidate or consolidate, so long as the purpose thereof is to effect a Disposition permitted pursuant to </w:t>
      </w:r>
      <w:r>
        <w:rPr>
          <w:rFonts w:ascii="Times New Roman" w:cs="Times New Roman" w:eastAsia="Times New Roman" w:hAnsi="Times New Roman"/>
          <w:sz w:val="21"/>
          <w:szCs w:val="21"/>
          <w:u w:val="single" w:color="auto"/>
          <w:color w:val="auto"/>
        </w:rPr>
        <w:t>Section 7.05 (</w:t>
      </w:r>
      <w:r>
        <w:rPr>
          <w:rFonts w:ascii="Times New Roman" w:cs="Times New Roman" w:eastAsia="Times New Roman" w:hAnsi="Times New Roman"/>
          <w:sz w:val="21"/>
          <w:szCs w:val="21"/>
          <w:color w:val="auto"/>
        </w:rPr>
        <w:t xml:space="preserve">other than </w:t>
      </w:r>
      <w:r>
        <w:rPr>
          <w:rFonts w:ascii="Times New Roman" w:cs="Times New Roman" w:eastAsia="Times New Roman" w:hAnsi="Times New Roman"/>
          <w:sz w:val="21"/>
          <w:szCs w:val="21"/>
          <w:u w:val="single" w:color="auto"/>
          <w:color w:val="auto"/>
        </w:rPr>
        <w:t>Section 7.05(d)</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(g)(A)</w:t>
      </w:r>
      <w:r>
        <w:rPr>
          <w:rFonts w:ascii="Times New Roman" w:cs="Times New Roman" w:eastAsia="Times New Roman" w:hAnsi="Times New Roman"/>
          <w:sz w:val="21"/>
          <w:szCs w:val="21"/>
          <w:color w:val="auto"/>
        </w:rPr>
        <w:t>);</w:t>
      </w:r>
    </w:p>
    <w:p>
      <w:pPr>
        <w:spacing w:after="0" w:line="149" w:lineRule="exact"/>
        <w:rPr>
          <w:rFonts w:ascii="Times New Roman" w:cs="Times New Roman" w:eastAsia="Times New Roman" w:hAnsi="Times New Roman"/>
          <w:sz w:val="21"/>
          <w:szCs w:val="21"/>
          <w:color w:val="auto"/>
        </w:rPr>
      </w:pPr>
    </w:p>
    <w:p>
      <w:pPr>
        <w:jc w:val="both"/>
        <w:ind w:firstLine="1278"/>
        <w:spacing w:after="0" w:line="232" w:lineRule="auto"/>
        <w:tabs>
          <w:tab w:leader="none" w:pos="1905" w:val="left"/>
        </w:tabs>
        <w:numPr>
          <w:ilvl w:val="1"/>
          <w:numId w:val="2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Borrower or any Restricted Subsidiary may consummate any Permitted Acquisition or any other Investment permitted by </w:t>
      </w:r>
      <w:r>
        <w:rPr>
          <w:rFonts w:ascii="Times New Roman" w:cs="Times New Roman" w:eastAsia="Times New Roman" w:hAnsi="Times New Roman"/>
          <w:sz w:val="21"/>
          <w:szCs w:val="21"/>
          <w:u w:val="single" w:color="auto"/>
          <w:color w:val="auto"/>
        </w:rPr>
        <w:t>Section 7.02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 in any such transaction involving the Borrower, the Borrower shall be the continuing or surviving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145</w:t>
      </w:r>
    </w:p>
    <w:p>
      <w:pPr>
        <w:sectPr>
          <w:pgSz w:w="11900" w:h="16838" w:orient="portrait"/>
          <w:cols w:equalWidth="0" w:num="1">
            <w:col w:w="11240"/>
          </w:cols>
          <w:pgMar w:left="320" w:top="1371" w:right="339" w:bottom="1440" w:gutter="0" w:footer="0" w:header="0"/>
        </w:sectPr>
      </w:pPr>
    </w:p>
    <w:bookmarkStart w:id="251" w:name="page252"/>
    <w:bookmarkEnd w:id="251"/>
    <w:p>
      <w:pPr>
        <w:spacing w:after="0" w:line="245" w:lineRule="auto"/>
        <w:rPr>
          <w:sz w:val="20"/>
          <w:szCs w:val="20"/>
          <w:color w:val="auto"/>
        </w:rPr>
      </w:pPr>
      <w:r>
        <w:rPr>
          <w:rFonts w:ascii="Times New Roman" w:cs="Times New Roman" w:eastAsia="Times New Roman" w:hAnsi="Times New Roman"/>
          <w:sz w:val="21"/>
          <w:szCs w:val="21"/>
          <w:color w:val="auto"/>
        </w:rPr>
        <w:t>Person; and (ii) in any such transaction involving a Guarantor, the continuing or surviving Person shall be a Guarantor or a Loan Party; and</w:t>
      </w:r>
    </w:p>
    <w:p>
      <w:pPr>
        <w:spacing w:after="0" w:line="143" w:lineRule="exact"/>
        <w:rPr>
          <w:sz w:val="20"/>
          <w:szCs w:val="20"/>
          <w:color w:val="auto"/>
        </w:rPr>
      </w:pPr>
    </w:p>
    <w:p>
      <w:pPr>
        <w:jc w:val="both"/>
        <w:ind w:firstLine="1278"/>
        <w:spacing w:after="0" w:line="217" w:lineRule="auto"/>
        <w:tabs>
          <w:tab w:leader="none" w:pos="1903" w:val="left"/>
        </w:tabs>
        <w:numPr>
          <w:ilvl w:val="0"/>
          <w:numId w:val="2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Restricted Subsidiary may Dispose of all or substantially all of its assets (upon voluntary liquidation, dissolution or otherwise) (i) to the Borrower or to a Guarantor; or (ii) if the transferor is not a Guarantor, to any other Restricted Subsidiary;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in each case that (A) if the transferor in such a transaction is a wholly-owned Subsidiary, then the transferee must either be the Borrower or one or more wholly-owned Subsidiaries, (B) if the transferor in such a transaction is a wholly-owned Restricted Subsidiary, then the transferee must either be the Borrower or one or more wholly-owned Restricted Subsidiaries and (C) to the extent that the transferee is not the Borrower or one or more wholly-owned Restricted Subsidiaries (based on the percentage of such transferee which is not owned directly or indirectly by the Borrower), the Disposition shall constitute a Disposition subject to </w:t>
      </w:r>
      <w:r>
        <w:rPr>
          <w:rFonts w:ascii="Times New Roman" w:cs="Times New Roman" w:eastAsia="Times New Roman" w:hAnsi="Times New Roman"/>
          <w:sz w:val="21"/>
          <w:szCs w:val="21"/>
          <w:u w:val="single" w:color="auto"/>
          <w:color w:val="auto"/>
        </w:rPr>
        <w:t>Section 7.05</w:t>
      </w:r>
      <w:r>
        <w:rPr>
          <w:rFonts w:ascii="Times New Roman" w:cs="Times New Roman" w:eastAsia="Times New Roman" w:hAnsi="Times New Roman"/>
          <w:sz w:val="21"/>
          <w:szCs w:val="21"/>
          <w:color w:val="auto"/>
        </w:rPr>
        <w:t xml:space="preserve"> and shall be permitted under this </w:t>
      </w:r>
      <w:r>
        <w:rPr>
          <w:rFonts w:ascii="Times New Roman" w:cs="Times New Roman" w:eastAsia="Times New Roman" w:hAnsi="Times New Roman"/>
          <w:sz w:val="21"/>
          <w:szCs w:val="21"/>
          <w:u w:val="single" w:color="auto"/>
          <w:color w:val="auto"/>
        </w:rPr>
        <w:t>Section 7.04</w:t>
      </w:r>
      <w:r>
        <w:rPr>
          <w:rFonts w:ascii="Times New Roman" w:cs="Times New Roman" w:eastAsia="Times New Roman" w:hAnsi="Times New Roman"/>
          <w:sz w:val="21"/>
          <w:szCs w:val="21"/>
          <w:color w:val="auto"/>
        </w:rPr>
        <w:t xml:space="preserve"> so long as it is permitted by any clause of </w:t>
      </w:r>
      <w:r>
        <w:rPr>
          <w:rFonts w:ascii="Times New Roman" w:cs="Times New Roman" w:eastAsia="Times New Roman" w:hAnsi="Times New Roman"/>
          <w:sz w:val="21"/>
          <w:szCs w:val="21"/>
          <w:u w:val="single" w:color="auto"/>
          <w:color w:val="auto"/>
        </w:rPr>
        <w:t>Section 7.05</w:t>
      </w:r>
      <w:r>
        <w:rPr>
          <w:rFonts w:ascii="Times New Roman" w:cs="Times New Roman" w:eastAsia="Times New Roman" w:hAnsi="Times New Roman"/>
          <w:sz w:val="21"/>
          <w:szCs w:val="21"/>
          <w:color w:val="auto"/>
        </w:rPr>
        <w:t xml:space="preserve"> (other than </w:t>
      </w:r>
      <w:r>
        <w:rPr>
          <w:rFonts w:ascii="Times New Roman" w:cs="Times New Roman" w:eastAsia="Times New Roman" w:hAnsi="Times New Roman"/>
          <w:sz w:val="21"/>
          <w:szCs w:val="21"/>
          <w:u w:val="single" w:color="auto"/>
          <w:color w:val="auto"/>
        </w:rPr>
        <w:t>Section 7.05(d)</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(g)(A).</w:t>
      </w:r>
    </w:p>
    <w:p>
      <w:pPr>
        <w:spacing w:after="0" w:line="153"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7.05</w:t>
      </w:r>
      <w:r>
        <w:rPr>
          <w:sz w:val="20"/>
          <w:szCs w:val="20"/>
          <w:color w:val="auto"/>
        </w:rPr>
        <w:tab/>
      </w:r>
      <w:r>
        <w:rPr>
          <w:rFonts w:ascii="Times New Roman" w:cs="Times New Roman" w:eastAsia="Times New Roman" w:hAnsi="Times New Roman"/>
          <w:sz w:val="21"/>
          <w:szCs w:val="21"/>
          <w:i w:val="1"/>
          <w:iCs w:val="1"/>
          <w:color w:val="auto"/>
        </w:rPr>
        <w:t>Dispositions</w:t>
      </w:r>
    </w:p>
    <w:p>
      <w:pPr>
        <w:spacing w:after="0" w:line="211" w:lineRule="exact"/>
        <w:rPr>
          <w:sz w:val="20"/>
          <w:szCs w:val="20"/>
          <w:color w:val="auto"/>
        </w:rPr>
      </w:pPr>
    </w:p>
    <w:p>
      <w:pPr>
        <w:jc w:val="both"/>
        <w:ind w:firstLine="642"/>
        <w:spacing w:after="0" w:line="267" w:lineRule="auto"/>
        <w:tabs>
          <w:tab w:leader="none" w:pos="755" w:val="left"/>
        </w:tabs>
        <w:numPr>
          <w:ilvl w:val="0"/>
          <w:numId w:val="2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Make any Disposition or enter into any agreement to make any Disposition, in each case, having a fair market value in excess of the greater of (i) $</w:t>
      </w:r>
      <w:r>
        <w:rPr>
          <w:rFonts w:ascii="Times New Roman" w:cs="Times New Roman" w:eastAsia="Times New Roman" w:hAnsi="Times New Roman"/>
          <w:sz w:val="21"/>
          <w:szCs w:val="21"/>
          <w:b w:val="1"/>
          <w:bCs w:val="1"/>
          <w:color w:val="FF0000"/>
          <w:strike w:val="1"/>
        </w:rPr>
        <w:t>10,000,000</w:t>
      </w:r>
      <w:r>
        <w:rPr>
          <w:rFonts w:ascii="Times New Roman" w:cs="Times New Roman" w:eastAsia="Times New Roman" w:hAnsi="Times New Roman"/>
          <w:sz w:val="21"/>
          <w:szCs w:val="21"/>
          <w:b w:val="1"/>
          <w:bCs w:val="1"/>
          <w:u w:val="single" w:color="auto"/>
          <w:color w:val="0000FF"/>
        </w:rPr>
        <w:t>20,000,000</w:t>
      </w:r>
      <w:r>
        <w:rPr>
          <w:rFonts w:ascii="Times New Roman" w:cs="Times New Roman" w:eastAsia="Times New Roman" w:hAnsi="Times New Roman"/>
          <w:sz w:val="21"/>
          <w:szCs w:val="21"/>
          <w:color w:val="auto"/>
        </w:rPr>
        <w:t xml:space="preserve"> and (ii) 4.00% of Consolidated EBITDA based on the Most Recent Financial Statements in a single transaction or in a related series of transactions, except:</w:t>
      </w:r>
    </w:p>
    <w:p>
      <w:pPr>
        <w:spacing w:after="0" w:line="148" w:lineRule="exact"/>
        <w:rPr>
          <w:rFonts w:ascii="Times New Roman" w:cs="Times New Roman" w:eastAsia="Times New Roman" w:hAnsi="Times New Roman"/>
          <w:sz w:val="21"/>
          <w:szCs w:val="21"/>
          <w:color w:val="auto"/>
        </w:rPr>
      </w:pPr>
    </w:p>
    <w:p>
      <w:pPr>
        <w:jc w:val="both"/>
        <w:ind w:firstLine="1278"/>
        <w:spacing w:after="0" w:line="226" w:lineRule="auto"/>
        <w:tabs>
          <w:tab w:leader="none" w:pos="1905" w:val="left"/>
        </w:tabs>
        <w:numPr>
          <w:ilvl w:val="1"/>
          <w:numId w:val="2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Dispositions of surplus, obsolete, used or worn out property, whether now owned or hereafter acquired in the ordinary course of business and Dispositions of property (including, without limitation, real estate and related improvements) no longer used or useful in the conduct of the business of the Borrower and its Restricted Subsidiaries (including allowing any registrations or any applications for registration of any immaterial intellectual property to lapse or go abandoned);</w:t>
      </w:r>
    </w:p>
    <w:p>
      <w:pPr>
        <w:spacing w:after="0" w:line="150" w:lineRule="exact"/>
        <w:rPr>
          <w:rFonts w:ascii="Times New Roman" w:cs="Times New Roman" w:eastAsia="Times New Roman" w:hAnsi="Times New Roman"/>
          <w:sz w:val="21"/>
          <w:szCs w:val="21"/>
          <w:color w:val="auto"/>
        </w:rPr>
      </w:pPr>
    </w:p>
    <w:p>
      <w:pPr>
        <w:ind w:firstLine="1278"/>
        <w:spacing w:after="0" w:line="245" w:lineRule="auto"/>
        <w:tabs>
          <w:tab w:leader="none" w:pos="1903" w:val="left"/>
        </w:tabs>
        <w:numPr>
          <w:ilvl w:val="1"/>
          <w:numId w:val="2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(x) Dispositions of inventory or equipment in the ordinary course of business and (y) the leasing or subleasing of real property in the ordinary course of business;</w:t>
      </w:r>
    </w:p>
    <w:p>
      <w:pPr>
        <w:spacing w:after="0" w:line="142" w:lineRule="exact"/>
        <w:rPr>
          <w:rFonts w:ascii="Times New Roman" w:cs="Times New Roman" w:eastAsia="Times New Roman" w:hAnsi="Times New Roman"/>
          <w:sz w:val="21"/>
          <w:szCs w:val="21"/>
          <w:color w:val="auto"/>
        </w:rPr>
      </w:pPr>
    </w:p>
    <w:p>
      <w:pPr>
        <w:jc w:val="both"/>
        <w:ind w:firstLine="1278"/>
        <w:spacing w:after="0" w:line="232" w:lineRule="auto"/>
        <w:tabs>
          <w:tab w:leader="none" w:pos="1905" w:val="left"/>
        </w:tabs>
        <w:numPr>
          <w:ilvl w:val="1"/>
          <w:numId w:val="2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Dispositions of property to the extent that (i) such property is exchanged for credit against the purchase price of other property or (ii) the proceeds of such Disposition are reasonably promptly applied to the purchase price of such replacement property;</w:t>
      </w:r>
    </w:p>
    <w:p>
      <w:pPr>
        <w:spacing w:after="0" w:line="147" w:lineRule="exact"/>
        <w:rPr>
          <w:rFonts w:ascii="Times New Roman" w:cs="Times New Roman" w:eastAsia="Times New Roman" w:hAnsi="Times New Roman"/>
          <w:sz w:val="21"/>
          <w:szCs w:val="21"/>
          <w:color w:val="auto"/>
        </w:rPr>
      </w:pPr>
    </w:p>
    <w:p>
      <w:pPr>
        <w:jc w:val="both"/>
        <w:ind w:firstLine="1278"/>
        <w:spacing w:after="0" w:line="232" w:lineRule="auto"/>
        <w:tabs>
          <w:tab w:leader="none" w:pos="1903" w:val="left"/>
        </w:tabs>
        <w:numPr>
          <w:ilvl w:val="1"/>
          <w:numId w:val="2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Dispositions of property by the Borrower to any Restricted Subsidiary, or by any Restricted Subsidiary to the Borrower or to a Restricted Subsidiary;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the transferor of such property is the Borrower or a Guarantor, the transferee thereof must either be the Borrower or a Guarantor;</w:t>
      </w:r>
    </w:p>
    <w:p>
      <w:pPr>
        <w:spacing w:after="0" w:line="147" w:lineRule="exact"/>
        <w:rPr>
          <w:rFonts w:ascii="Times New Roman" w:cs="Times New Roman" w:eastAsia="Times New Roman" w:hAnsi="Times New Roman"/>
          <w:sz w:val="21"/>
          <w:szCs w:val="21"/>
          <w:color w:val="auto"/>
        </w:rPr>
      </w:pPr>
    </w:p>
    <w:p>
      <w:pPr>
        <w:ind w:firstLine="1278"/>
        <w:spacing w:after="0" w:line="245" w:lineRule="auto"/>
        <w:tabs>
          <w:tab w:leader="none" w:pos="1905" w:val="left"/>
        </w:tabs>
        <w:numPr>
          <w:ilvl w:val="1"/>
          <w:numId w:val="2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Dispositions of accounts receivable for purposes of collection or forgiveness or discounting of accounts receivable in the ordinary course of business;</w:t>
      </w:r>
    </w:p>
    <w:p>
      <w:pPr>
        <w:spacing w:after="0" w:line="142" w:lineRule="exact"/>
        <w:rPr>
          <w:rFonts w:ascii="Times New Roman" w:cs="Times New Roman" w:eastAsia="Times New Roman" w:hAnsi="Times New Roman"/>
          <w:sz w:val="21"/>
          <w:szCs w:val="21"/>
          <w:color w:val="auto"/>
        </w:rPr>
      </w:pPr>
    </w:p>
    <w:p>
      <w:pPr>
        <w:ind w:left="1920" w:hanging="642"/>
        <w:spacing w:after="0"/>
        <w:tabs>
          <w:tab w:leader="none" w:pos="1920" w:val="left"/>
        </w:tabs>
        <w:numPr>
          <w:ilvl w:val="1"/>
          <w:numId w:val="2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Dispositions of investment securities, cash and Cash Equivalents in the ordinary course of business;</w:t>
      </w:r>
    </w:p>
    <w:p>
      <w:pPr>
        <w:spacing w:after="0" w:line="182" w:lineRule="exact"/>
        <w:rPr>
          <w:rFonts w:ascii="Times New Roman" w:cs="Times New Roman" w:eastAsia="Times New Roman" w:hAnsi="Times New Roman"/>
          <w:sz w:val="21"/>
          <w:szCs w:val="21"/>
          <w:color w:val="auto"/>
        </w:rPr>
      </w:pPr>
    </w:p>
    <w:p>
      <w:pPr>
        <w:jc w:val="both"/>
        <w:ind w:firstLine="1278"/>
        <w:spacing w:after="0" w:line="232" w:lineRule="auto"/>
        <w:tabs>
          <w:tab w:leader="none" w:pos="1903" w:val="left"/>
        </w:tabs>
        <w:numPr>
          <w:ilvl w:val="1"/>
          <w:numId w:val="2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Dispositions permitted by </w:t>
      </w:r>
      <w:r>
        <w:rPr>
          <w:rFonts w:ascii="Times New Roman" w:cs="Times New Roman" w:eastAsia="Times New Roman" w:hAnsi="Times New Roman"/>
          <w:sz w:val="21"/>
          <w:szCs w:val="21"/>
          <w:u w:val="single" w:color="auto"/>
          <w:color w:val="auto"/>
        </w:rPr>
        <w:t>Section 7.04</w:t>
      </w:r>
      <w:r>
        <w:rPr>
          <w:rFonts w:ascii="Times New Roman" w:cs="Times New Roman" w:eastAsia="Times New Roman" w:hAnsi="Times New Roman"/>
          <w:sz w:val="21"/>
          <w:szCs w:val="21"/>
          <w:color w:val="auto"/>
        </w:rPr>
        <w:t xml:space="preserve"> (other than </w:t>
      </w:r>
      <w:r>
        <w:rPr>
          <w:rFonts w:ascii="Times New Roman" w:cs="Times New Roman" w:eastAsia="Times New Roman" w:hAnsi="Times New Roman"/>
          <w:sz w:val="21"/>
          <w:szCs w:val="21"/>
          <w:u w:val="single" w:color="auto"/>
          <w:color w:val="auto"/>
        </w:rPr>
        <w:t>Section 7.04(a)(ii)(D)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7.04(b)</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7.04(d)(ii)(C)</w:t>
      </w:r>
      <w:r>
        <w:rPr>
          <w:rFonts w:ascii="Times New Roman" w:cs="Times New Roman" w:eastAsia="Times New Roman" w:hAnsi="Times New Roman"/>
          <w:sz w:val="21"/>
          <w:szCs w:val="21"/>
          <w:color w:val="auto"/>
        </w:rPr>
        <w:t xml:space="preserve">); (B) Dispositions that constitute Investments permitted by </w:t>
      </w:r>
      <w:r>
        <w:rPr>
          <w:rFonts w:ascii="Times New Roman" w:cs="Times New Roman" w:eastAsia="Times New Roman" w:hAnsi="Times New Roman"/>
          <w:sz w:val="21"/>
          <w:szCs w:val="21"/>
          <w:u w:val="single" w:color="auto"/>
          <w:color w:val="auto"/>
        </w:rPr>
        <w:t>Section 7.02</w:t>
      </w:r>
      <w:r>
        <w:rPr>
          <w:rFonts w:ascii="Times New Roman" w:cs="Times New Roman" w:eastAsia="Times New Roman" w:hAnsi="Times New Roman"/>
          <w:sz w:val="21"/>
          <w:szCs w:val="21"/>
          <w:color w:val="auto"/>
        </w:rPr>
        <w:t xml:space="preserve"> (other than </w:t>
      </w:r>
      <w:r>
        <w:rPr>
          <w:rFonts w:ascii="Times New Roman" w:cs="Times New Roman" w:eastAsia="Times New Roman" w:hAnsi="Times New Roman"/>
          <w:sz w:val="21"/>
          <w:szCs w:val="21"/>
          <w:u w:val="single" w:color="auto"/>
          <w:color w:val="auto"/>
        </w:rPr>
        <w:t>Section 7.02(g)</w:t>
      </w:r>
      <w:r>
        <w:rPr>
          <w:rFonts w:ascii="Times New Roman" w:cs="Times New Roman" w:eastAsia="Times New Roman" w:hAnsi="Times New Roman"/>
          <w:sz w:val="21"/>
          <w:szCs w:val="21"/>
          <w:color w:val="auto"/>
        </w:rPr>
        <w:t xml:space="preserve">); and (C) Dispositions that constitute Restricted Payments permitted by </w:t>
      </w:r>
      <w:r>
        <w:rPr>
          <w:rFonts w:ascii="Times New Roman" w:cs="Times New Roman" w:eastAsia="Times New Roman" w:hAnsi="Times New Roman"/>
          <w:sz w:val="21"/>
          <w:szCs w:val="21"/>
          <w:u w:val="single" w:color="auto"/>
          <w:color w:val="auto"/>
        </w:rPr>
        <w:t>Section 7.06</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146</w:t>
      </w:r>
    </w:p>
    <w:p>
      <w:pPr>
        <w:sectPr>
          <w:pgSz w:w="11900" w:h="16838" w:orient="portrait"/>
          <w:cols w:equalWidth="0" w:num="1">
            <w:col w:w="11240"/>
          </w:cols>
          <w:pgMar w:left="320" w:top="1371" w:right="339" w:bottom="1440" w:gutter="0" w:footer="0" w:header="0"/>
        </w:sectPr>
      </w:pPr>
    </w:p>
    <w:bookmarkStart w:id="252" w:name="page253"/>
    <w:bookmarkEnd w:id="252"/>
    <w:p>
      <w:pPr>
        <w:jc w:val="both"/>
        <w:ind w:firstLine="1278"/>
        <w:spacing w:after="0" w:line="216" w:lineRule="auto"/>
        <w:tabs>
          <w:tab w:leader="none" w:pos="1903" w:val="left"/>
        </w:tabs>
        <w:numPr>
          <w:ilvl w:val="0"/>
          <w:numId w:val="2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Dispositions, licensing, sublicensing and cross-licensing arrangements, in each case, involving any technology or IP Rights of the Borrower or any Restricted Subsidiary in each case, either entered into in the ordinary course of business or pursuant to a bona fide transaction intended to increase the revenue of the Borrower and its Restricted Subsidiaries and which could not reasonably be expected to have a Material Adverse Effect, (ii) the Disposition, abandonment, cancellation or lapse of IP Rights, or any issuances or registrations, or applications for issuances or registrations, of any IP Rights, which, in the reasonable good faith determination of the Borrower or its Restricted Subsidiaries are no longer economically practicable to maintain, worth the cost of maintaining, or used or useful in any material respect, (iii) Dispositions of IP Rights through expiration in accordance with their respective statutory terms, or (iv) Dispositions, licensing, sublicensing and cross-licensing arrangements involving any technology or IP Rights of (A) the Borrower or any Restricted Subsidiary that is a Loan Party to the Borrower or any Restricted Subsidiary that is a Loan Party, or (B) any Restricted Subsidiary that is not a Loan Party to the Borrower or any Restricted Subsidiary;</w:t>
      </w:r>
    </w:p>
    <w:p>
      <w:pPr>
        <w:spacing w:after="0" w:line="153" w:lineRule="exact"/>
        <w:rPr>
          <w:rFonts w:ascii="Times New Roman" w:cs="Times New Roman" w:eastAsia="Times New Roman" w:hAnsi="Times New Roman"/>
          <w:sz w:val="21"/>
          <w:szCs w:val="21"/>
          <w:color w:val="auto"/>
        </w:rPr>
      </w:pPr>
    </w:p>
    <w:p>
      <w:pPr>
        <w:jc w:val="both"/>
        <w:ind w:firstLine="1278"/>
        <w:spacing w:after="0" w:line="226" w:lineRule="auto"/>
        <w:tabs>
          <w:tab w:leader="none" w:pos="1896" w:val="left"/>
        </w:tabs>
        <w:numPr>
          <w:ilvl w:val="0"/>
          <w:numId w:val="2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transfers of condemned property as a result of the exercise of “eminent domain” or other similar policies to the respective Governmental Authority or agency that has condemned the same (whether by deed in lieu of condemnation or otherwise), and transfers of property that has been subject to a casualty to the respective insurer of such real property as part of an insurance settlement;</w:t>
      </w:r>
    </w:p>
    <w:p>
      <w:pPr>
        <w:spacing w:after="0" w:line="150" w:lineRule="exact"/>
        <w:rPr>
          <w:rFonts w:ascii="Times New Roman" w:cs="Times New Roman" w:eastAsia="Times New Roman" w:hAnsi="Times New Roman"/>
          <w:sz w:val="21"/>
          <w:szCs w:val="21"/>
          <w:color w:val="auto"/>
        </w:rPr>
      </w:pPr>
    </w:p>
    <w:p>
      <w:pPr>
        <w:jc w:val="both"/>
        <w:ind w:firstLine="1278"/>
        <w:spacing w:after="0" w:line="224" w:lineRule="auto"/>
        <w:tabs>
          <w:tab w:leader="none" w:pos="1896" w:val="left"/>
        </w:tabs>
        <w:numPr>
          <w:ilvl w:val="0"/>
          <w:numId w:val="2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Dispositions by the Borrower and its Restricted Subsidiaries of property not otherwise permitted under this </w:t>
      </w:r>
      <w:r>
        <w:rPr>
          <w:rFonts w:ascii="Times New Roman" w:cs="Times New Roman" w:eastAsia="Times New Roman" w:hAnsi="Times New Roman"/>
          <w:sz w:val="21"/>
          <w:szCs w:val="21"/>
          <w:u w:val="single" w:color="auto"/>
          <w:color w:val="auto"/>
        </w:rPr>
        <w:t>Section 7.05</w:t>
      </w:r>
      <w:r>
        <w:rPr>
          <w:rFonts w:ascii="Times New Roman" w:cs="Times New Roman" w:eastAsia="Times New Roman" w:hAnsi="Times New Roman"/>
          <w:sz w:val="21"/>
          <w:szCs w:val="21"/>
          <w:color w:val="auto"/>
        </w:rPr>
        <w:t xml:space="preserve"> (but in any event excluding Receivables Program Assets);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with respect to any Disposition with a purchase price in an aggregate amount (with respect to any single Disposition or series of related Dispositions) in excess of the greater of (i) $</w:t>
      </w:r>
      <w:r>
        <w:rPr>
          <w:rFonts w:ascii="Times New Roman" w:cs="Times New Roman" w:eastAsia="Times New Roman" w:hAnsi="Times New Roman"/>
          <w:sz w:val="21"/>
          <w:szCs w:val="21"/>
          <w:b w:val="1"/>
          <w:bCs w:val="1"/>
          <w:color w:val="FF0000"/>
          <w:strike w:val="1"/>
        </w:rPr>
        <w:t>17,500,000</w:t>
      </w:r>
      <w:r>
        <w:rPr>
          <w:rFonts w:ascii="Times New Roman" w:cs="Times New Roman" w:eastAsia="Times New Roman" w:hAnsi="Times New Roman"/>
          <w:sz w:val="21"/>
          <w:szCs w:val="21"/>
          <w:b w:val="1"/>
          <w:bCs w:val="1"/>
          <w:u w:val="single" w:color="auto"/>
          <w:color w:val="0000FF"/>
        </w:rPr>
        <w:t>35,000,000</w:t>
      </w:r>
      <w:r>
        <w:rPr>
          <w:rFonts w:ascii="Times New Roman" w:cs="Times New Roman" w:eastAsia="Times New Roman" w:hAnsi="Times New Roman"/>
          <w:sz w:val="21"/>
          <w:szCs w:val="21"/>
          <w:color w:val="auto"/>
        </w:rPr>
        <w:t xml:space="preserve"> and (ii) 7.00% of Consolidated EBITDA based on the Most Recent Financial Statements, (i) at the time of such Disposition and after giving effect thereto, no Event of Default shall exist or would result from such Disposition as of the date of the agreement governing such Disposition, (ii) the consideration received for such property shall be in an amount at least equal to the fair market value thereof and (iii) no less than 75% of such consideration shall be paid in cash;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xml:space="preserve">, that for the purposes of </w:t>
      </w:r>
      <w:r>
        <w:rPr>
          <w:rFonts w:ascii="Times New Roman" w:cs="Times New Roman" w:eastAsia="Times New Roman" w:hAnsi="Times New Roman"/>
          <w:sz w:val="21"/>
          <w:szCs w:val="21"/>
          <w:u w:val="single" w:color="auto"/>
          <w:color w:val="auto"/>
        </w:rPr>
        <w:t>clause (iii)</w:t>
      </w:r>
      <w:r>
        <w:rPr>
          <w:rFonts w:ascii="Times New Roman" w:cs="Times New Roman" w:eastAsia="Times New Roman" w:hAnsi="Times New Roman"/>
          <w:sz w:val="21"/>
          <w:szCs w:val="21"/>
          <w:color w:val="auto"/>
        </w:rPr>
        <w:t xml:space="preserve">, the following shall be deemed to be cash: (A) any liabilities (as shown on the Borrower’s or the applicable Restricted Subsidiary’s most recent balance sheet provided hereunder or in the footnotes thereto, or if incurred, accrued or increased subsequent to the date of such balance sheet, such liabilities that would have been reflected on the Borrower’s or such Restricted Subsidiary’s balance sheet if such incurrence had taken place on or prior to the date of such balance sheet, as determined in good faith by the Borrower, of the Borrower or such Restricted Subsidiary) (other than liabilities that are by their terms subordinated to the Obligations) that are assumed by the transferee with respect to the applicable Disposition and for which the Borrower and all of its Restricted Subsidiaries shall have been validly released by all applicable creditors in writing, (B) any securities received by the Borrower or the applicable Restricted Subsidiary from such transferee that are converted by the Borrower or such Restricted Subsidiary into cash or Cash Equivalents (to the extent of the cash or Cash Equivalents received) within 180 days (or such longer period as the Administrative Agent may agree) following the closing of the applicable Disposition and (C) any Designated Non-Cash Consideration received any in respect of such Disposition having an aggregate fair market value, taken together with all other Designated Non-Cash Consideration received during the term of this Agreement pursuant to this </w:t>
      </w:r>
      <w:r>
        <w:rPr>
          <w:rFonts w:ascii="Times New Roman" w:cs="Times New Roman" w:eastAsia="Times New Roman" w:hAnsi="Times New Roman"/>
          <w:sz w:val="21"/>
          <w:szCs w:val="21"/>
          <w:u w:val="single" w:color="auto"/>
          <w:color w:val="auto"/>
        </w:rPr>
        <w:t>clause (C)</w:t>
      </w:r>
      <w:r>
        <w:rPr>
          <w:rFonts w:ascii="Times New Roman" w:cs="Times New Roman" w:eastAsia="Times New Roman" w:hAnsi="Times New Roman"/>
          <w:sz w:val="21"/>
          <w:szCs w:val="21"/>
          <w:color w:val="auto"/>
        </w:rPr>
        <w:t>, not in excess of the greater of (i) $</w:t>
      </w:r>
      <w:r>
        <w:rPr>
          <w:rFonts w:ascii="Times New Roman" w:cs="Times New Roman" w:eastAsia="Times New Roman" w:hAnsi="Times New Roman"/>
          <w:sz w:val="21"/>
          <w:szCs w:val="21"/>
          <w:b w:val="1"/>
          <w:bCs w:val="1"/>
          <w:color w:val="FF0000"/>
          <w:strike w:val="1"/>
        </w:rPr>
        <w:t>25,000,000</w:t>
      </w:r>
      <w:r>
        <w:rPr>
          <w:rFonts w:ascii="Times New Roman" w:cs="Times New Roman" w:eastAsia="Times New Roman" w:hAnsi="Times New Roman"/>
          <w:sz w:val="21"/>
          <w:szCs w:val="21"/>
          <w:b w:val="1"/>
          <w:bCs w:val="1"/>
          <w:u w:val="single" w:color="auto"/>
          <w:color w:val="0000FF"/>
        </w:rPr>
        <w:t>50,000,000</w:t>
      </w:r>
      <w:r>
        <w:rPr>
          <w:rFonts w:ascii="Times New Roman" w:cs="Times New Roman" w:eastAsia="Times New Roman" w:hAnsi="Times New Roman"/>
          <w:sz w:val="21"/>
          <w:szCs w:val="21"/>
          <w:color w:val="auto"/>
        </w:rPr>
        <w:t xml:space="preserve"> and (ii) 10% of Consolidated EBITDA based on the Most Recent Financial Statements;</w:t>
      </w:r>
    </w:p>
    <w:p>
      <w:pPr>
        <w:spacing w:after="0" w:line="156" w:lineRule="exact"/>
        <w:rPr>
          <w:rFonts w:ascii="Times New Roman" w:cs="Times New Roman" w:eastAsia="Times New Roman" w:hAnsi="Times New Roman"/>
          <w:sz w:val="21"/>
          <w:szCs w:val="21"/>
          <w:color w:val="auto"/>
        </w:rPr>
      </w:pPr>
    </w:p>
    <w:p>
      <w:pPr>
        <w:jc w:val="both"/>
        <w:ind w:firstLine="1278"/>
        <w:spacing w:after="0" w:line="232" w:lineRule="auto"/>
        <w:tabs>
          <w:tab w:leader="none" w:pos="1903" w:val="left"/>
        </w:tabs>
        <w:numPr>
          <w:ilvl w:val="0"/>
          <w:numId w:val="2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Dispositions by the Borrower and its Restricted Subsidiaries of property acquired after the Closing Date in Permitted Acquisitions;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 the Borrower identifies any such assets to be divested in reasonable detail in writing to the Administrative Agent within 180 days (or such longer period as the Administrative Agent may agree)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147</w:t>
      </w:r>
    </w:p>
    <w:p>
      <w:pPr>
        <w:sectPr>
          <w:pgSz w:w="11900" w:h="16838" w:orient="portrait"/>
          <w:cols w:equalWidth="0" w:num="1">
            <w:col w:w="11240"/>
          </w:cols>
          <w:pgMar w:left="320" w:top="1371" w:right="339" w:bottom="1440" w:gutter="0" w:footer="0" w:header="0"/>
        </w:sectPr>
      </w:pPr>
    </w:p>
    <w:bookmarkStart w:id="253" w:name="page254"/>
    <w:bookmarkEnd w:id="253"/>
    <w:p>
      <w:pPr>
        <w:spacing w:after="0" w:line="245" w:lineRule="auto"/>
        <w:rPr>
          <w:sz w:val="20"/>
          <w:szCs w:val="20"/>
          <w:color w:val="auto"/>
        </w:rPr>
      </w:pPr>
      <w:r>
        <w:rPr>
          <w:rFonts w:ascii="Times New Roman" w:cs="Times New Roman" w:eastAsia="Times New Roman" w:hAnsi="Times New Roman"/>
          <w:sz w:val="21"/>
          <w:szCs w:val="21"/>
          <w:color w:val="auto"/>
        </w:rPr>
        <w:t>the closing of such Permitted Acquisition and (ii) the fair market value of the assets to be divested in connection with any Permitted Acquisition does not exceed an amount equal to 35% of the total cash and non-cash consideration for such Permitted Acquisition;</w:t>
      </w:r>
    </w:p>
    <w:p>
      <w:pPr>
        <w:spacing w:after="0" w:line="143" w:lineRule="exact"/>
        <w:rPr>
          <w:sz w:val="20"/>
          <w:szCs w:val="20"/>
          <w:color w:val="auto"/>
        </w:rPr>
      </w:pPr>
    </w:p>
    <w:p>
      <w:pPr>
        <w:jc w:val="both"/>
        <w:ind w:firstLine="1278"/>
        <w:spacing w:after="0" w:line="223" w:lineRule="auto"/>
        <w:tabs>
          <w:tab w:leader="none" w:pos="1896" w:val="left"/>
        </w:tabs>
        <w:numPr>
          <w:ilvl w:val="0"/>
          <w:numId w:val="2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Dispositions of Receivables Program Assets in connection with a Qualified Receivables Transaction; </w:t>
      </w: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21"/>
          <w:szCs w:val="21"/>
          <w:color w:val="auto"/>
        </w:rPr>
        <w:t>that (i) the consideration received for such assets shall be in an amount at least equal to the fair market value thereof, (ii)</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the outstanding principal amount of Indebtedness in respect of Receivables Program Obligations shall not exceed the maximum amount permitted to be outstanding under </w:t>
      </w:r>
      <w:r>
        <w:rPr>
          <w:rFonts w:ascii="Times New Roman" w:cs="Times New Roman" w:eastAsia="Times New Roman" w:hAnsi="Times New Roman"/>
          <w:sz w:val="21"/>
          <w:szCs w:val="21"/>
          <w:u w:val="single" w:color="auto"/>
          <w:color w:val="auto"/>
        </w:rPr>
        <w:t>Section 7.03(j)</w:t>
      </w:r>
      <w:r>
        <w:rPr>
          <w:rFonts w:ascii="Times New Roman" w:cs="Times New Roman" w:eastAsia="Times New Roman" w:hAnsi="Times New Roman"/>
          <w:sz w:val="21"/>
          <w:szCs w:val="21"/>
          <w:color w:val="auto"/>
        </w:rPr>
        <w:t>, and (iii) no Event of Default shall have occurred and be continuing at the time such Disposition is made;</w:t>
      </w:r>
    </w:p>
    <w:p>
      <w:pPr>
        <w:spacing w:after="0" w:line="150" w:lineRule="exact"/>
        <w:rPr>
          <w:rFonts w:ascii="Times New Roman" w:cs="Times New Roman" w:eastAsia="Times New Roman" w:hAnsi="Times New Roman"/>
          <w:sz w:val="21"/>
          <w:szCs w:val="21"/>
          <w:color w:val="auto"/>
        </w:rPr>
      </w:pPr>
    </w:p>
    <w:p>
      <w:pPr>
        <w:jc w:val="both"/>
        <w:ind w:firstLine="1278"/>
        <w:spacing w:after="0" w:line="232" w:lineRule="auto"/>
        <w:tabs>
          <w:tab w:leader="none" w:pos="1896" w:val="left"/>
        </w:tabs>
        <w:numPr>
          <w:ilvl w:val="0"/>
          <w:numId w:val="2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leases, licenses, subleases or sublicenses granted to others in the ordinary course of business or the termination thereof which (i) do not interfere in any material respect with the business of the Borrower or any Restricted Subsidiary or (ii) relate to closed branches or manufacturing facilities or the discontinuation of any product or service line;</w:t>
      </w:r>
    </w:p>
    <w:p>
      <w:pPr>
        <w:spacing w:after="0" w:line="147" w:lineRule="exact"/>
        <w:rPr>
          <w:rFonts w:ascii="Times New Roman" w:cs="Times New Roman" w:eastAsia="Times New Roman" w:hAnsi="Times New Roman"/>
          <w:sz w:val="21"/>
          <w:szCs w:val="21"/>
          <w:color w:val="auto"/>
        </w:rPr>
      </w:pPr>
    </w:p>
    <w:p>
      <w:pPr>
        <w:jc w:val="both"/>
        <w:ind w:firstLine="1278"/>
        <w:spacing w:after="0" w:line="232" w:lineRule="auto"/>
        <w:tabs>
          <w:tab w:leader="none" w:pos="1903" w:val="left"/>
        </w:tabs>
        <w:numPr>
          <w:ilvl w:val="0"/>
          <w:numId w:val="2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issuance or sale of Equity Interests in, or Indebtedness or other securities of, an Unrestricted Subsidiary (or a Restricted Subsidiary which owns an Unrestricted Subsidiary so long as such Restricted Subsidiary owns no assets other than the Equity Interests of such Unrestricted Subsidiary);</w:t>
      </w:r>
    </w:p>
    <w:p>
      <w:pPr>
        <w:spacing w:after="0" w:line="147" w:lineRule="exact"/>
        <w:rPr>
          <w:rFonts w:ascii="Times New Roman" w:cs="Times New Roman" w:eastAsia="Times New Roman" w:hAnsi="Times New Roman"/>
          <w:sz w:val="21"/>
          <w:szCs w:val="21"/>
          <w:color w:val="auto"/>
        </w:rPr>
      </w:pPr>
    </w:p>
    <w:p>
      <w:pPr>
        <w:jc w:val="both"/>
        <w:ind w:firstLine="1278"/>
        <w:spacing w:after="0" w:line="232" w:lineRule="auto"/>
        <w:tabs>
          <w:tab w:leader="none" w:pos="1903" w:val="left"/>
        </w:tabs>
        <w:numPr>
          <w:ilvl w:val="0"/>
          <w:numId w:val="2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Dispositions of Investments in joint ventures or any Subsidiary that is not a wholly-owned Subsidiary to the extent required by, or made pursuant to, buy/sell arrangements between the joint venture or similar parties set forth in joint venture arrangements and similar binding arrangements;</w:t>
      </w:r>
    </w:p>
    <w:p>
      <w:pPr>
        <w:spacing w:after="0" w:line="147" w:lineRule="exact"/>
        <w:rPr>
          <w:rFonts w:ascii="Times New Roman" w:cs="Times New Roman" w:eastAsia="Times New Roman" w:hAnsi="Times New Roman"/>
          <w:sz w:val="21"/>
          <w:szCs w:val="21"/>
          <w:color w:val="auto"/>
        </w:rPr>
      </w:pPr>
    </w:p>
    <w:p>
      <w:pPr>
        <w:jc w:val="both"/>
        <w:ind w:firstLine="1278"/>
        <w:spacing w:after="0" w:line="232" w:lineRule="auto"/>
        <w:tabs>
          <w:tab w:leader="none" w:pos="1903" w:val="left"/>
        </w:tabs>
        <w:numPr>
          <w:ilvl w:val="0"/>
          <w:numId w:val="2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termination of leases in the ordinary course of business, (ii) the expiration of any option agreement in respect of real or personal property and (iii) any surrender or waiver of contractual rights or the settlement, release or surrender of contractual rights or other litigation claims (including in tort) in the ordinary course of business;</w:t>
      </w:r>
    </w:p>
    <w:p>
      <w:pPr>
        <w:spacing w:after="0" w:line="147" w:lineRule="exact"/>
        <w:rPr>
          <w:rFonts w:ascii="Times New Roman" w:cs="Times New Roman" w:eastAsia="Times New Roman" w:hAnsi="Times New Roman"/>
          <w:sz w:val="21"/>
          <w:szCs w:val="21"/>
          <w:color w:val="auto"/>
        </w:rPr>
      </w:pPr>
    </w:p>
    <w:p>
      <w:pPr>
        <w:jc w:val="both"/>
        <w:ind w:firstLine="1278"/>
        <w:spacing w:after="0" w:line="232" w:lineRule="auto"/>
        <w:tabs>
          <w:tab w:leader="none" w:pos="1903" w:val="left"/>
        </w:tabs>
        <w:numPr>
          <w:ilvl w:val="0"/>
          <w:numId w:val="2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merger, consolidation, Disposition or conveyance the sole purpose of which is to reincorporate or reorganize (i) any Domestic Subsidiary in another jurisdiction in the United States. or (ii) any Foreign Subsidiary in the United States or any other jurisdiction;</w:t>
      </w:r>
    </w:p>
    <w:p>
      <w:pPr>
        <w:spacing w:after="0" w:line="147" w:lineRule="exact"/>
        <w:rPr>
          <w:rFonts w:ascii="Times New Roman" w:cs="Times New Roman" w:eastAsia="Times New Roman" w:hAnsi="Times New Roman"/>
          <w:sz w:val="21"/>
          <w:szCs w:val="21"/>
          <w:color w:val="auto"/>
        </w:rPr>
      </w:pPr>
    </w:p>
    <w:p>
      <w:pPr>
        <w:jc w:val="both"/>
        <w:ind w:firstLine="1278"/>
        <w:spacing w:after="0" w:line="221" w:lineRule="auto"/>
        <w:tabs>
          <w:tab w:leader="none" w:pos="1908" w:val="left"/>
        </w:tabs>
        <w:numPr>
          <w:ilvl w:val="0"/>
          <w:numId w:val="2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Dispositions of assets in connection with the closing or sale of an office in the ordinary course of business of the Borrower and its Restricted Subsidiaries, which consist of leasehold interests in the premises of such office, the equipment and fixtures located at such premises and the books and records relating exclusively and directly to the operations of such office; </w:t>
      </w: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21"/>
          <w:szCs w:val="21"/>
          <w:color w:val="auto"/>
        </w:rPr>
        <w:t>that as to each and all such sales and closings, (i) on the date on which the agreement governing such Disposition is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executed, no Event of Default shall result and (ii) such sale shall be on commercially reasonable prices and terms in a bona fide arm’s-length transaction;</w:t>
      </w:r>
    </w:p>
    <w:p>
      <w:pPr>
        <w:spacing w:after="0" w:line="149" w:lineRule="exact"/>
        <w:rPr>
          <w:rFonts w:ascii="Times New Roman" w:cs="Times New Roman" w:eastAsia="Times New Roman" w:hAnsi="Times New Roman"/>
          <w:sz w:val="21"/>
          <w:szCs w:val="21"/>
          <w:color w:val="auto"/>
        </w:rPr>
      </w:pPr>
    </w:p>
    <w:p>
      <w:pPr>
        <w:ind w:left="1920" w:hanging="642"/>
        <w:spacing w:after="0"/>
        <w:tabs>
          <w:tab w:leader="none" w:pos="1920" w:val="left"/>
        </w:tabs>
        <w:numPr>
          <w:ilvl w:val="0"/>
          <w:numId w:val="2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Disposition of aircrafts, motor vehicles, trailers, cabs, and information technology equipment;</w:t>
      </w:r>
    </w:p>
    <w:p>
      <w:pPr>
        <w:spacing w:after="0" w:line="182" w:lineRule="exact"/>
        <w:rPr>
          <w:rFonts w:ascii="Times New Roman" w:cs="Times New Roman" w:eastAsia="Times New Roman" w:hAnsi="Times New Roman"/>
          <w:sz w:val="21"/>
          <w:szCs w:val="21"/>
          <w:color w:val="auto"/>
        </w:rPr>
      </w:pPr>
    </w:p>
    <w:p>
      <w:pPr>
        <w:ind w:left="1900" w:hanging="622"/>
        <w:spacing w:after="0"/>
        <w:tabs>
          <w:tab w:leader="none" w:pos="1900" w:val="left"/>
        </w:tabs>
        <w:numPr>
          <w:ilvl w:val="0"/>
          <w:numId w:val="2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sale and leaseback transactions permitted pursuant to </w:t>
      </w:r>
      <w:r>
        <w:rPr>
          <w:rFonts w:ascii="Times New Roman" w:cs="Times New Roman" w:eastAsia="Times New Roman" w:hAnsi="Times New Roman"/>
          <w:sz w:val="21"/>
          <w:szCs w:val="21"/>
          <w:u w:val="single" w:color="auto"/>
          <w:color w:val="auto"/>
        </w:rPr>
        <w:t>Section 7.15</w:t>
      </w:r>
      <w:r>
        <w:rPr>
          <w:rFonts w:ascii="Times New Roman" w:cs="Times New Roman" w:eastAsia="Times New Roman" w:hAnsi="Times New Roman"/>
          <w:sz w:val="21"/>
          <w:szCs w:val="21"/>
          <w:color w:val="auto"/>
        </w:rPr>
        <w:t>;</w:t>
      </w:r>
    </w:p>
    <w:p>
      <w:pPr>
        <w:spacing w:after="0" w:line="182" w:lineRule="exact"/>
        <w:rPr>
          <w:rFonts w:ascii="Times New Roman" w:cs="Times New Roman" w:eastAsia="Times New Roman" w:hAnsi="Times New Roman"/>
          <w:sz w:val="21"/>
          <w:szCs w:val="21"/>
          <w:color w:val="auto"/>
        </w:rPr>
      </w:pPr>
    </w:p>
    <w:p>
      <w:pPr>
        <w:jc w:val="both"/>
        <w:ind w:firstLine="1278"/>
        <w:spacing w:after="0" w:line="226" w:lineRule="auto"/>
        <w:tabs>
          <w:tab w:leader="none" w:pos="1903" w:val="left"/>
        </w:tabs>
        <w:numPr>
          <w:ilvl w:val="0"/>
          <w:numId w:val="2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exchanges or swaps, including transactions covered by Section 1031 of the Code (or any comparable provision of any foreign jurisdiction), of property or assets so long as the exchange or swap is made for fair value (as reasonably determined by the Borrower) for like property or assets;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within 90 days of any such exchange or swap, in the case of any Loan Party and to the extent such property does not constitute an "Excluded Asset",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148</w:t>
      </w:r>
    </w:p>
    <w:p>
      <w:pPr>
        <w:sectPr>
          <w:pgSz w:w="11900" w:h="16838" w:orient="portrait"/>
          <w:cols w:equalWidth="0" w:num="1">
            <w:col w:w="11240"/>
          </w:cols>
          <w:pgMar w:left="320" w:top="1371" w:right="33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21"/>
          <w:szCs w:val="21"/>
          <w:color w:val="auto"/>
        </w:rPr>
        <w:t>Administrative Agent has a perfected Lien having the same priority as any Lien held on the assets so exchanged or swapped;</w:t>
      </w:r>
    </w:p>
    <w:p>
      <w:pPr>
        <w:spacing w:after="0" w:line="183" w:lineRule="exact"/>
        <w:rPr>
          <w:sz w:val="20"/>
          <w:szCs w:val="20"/>
          <w:color w:val="auto"/>
        </w:rPr>
      </w:pPr>
    </w:p>
    <w:p>
      <w:pPr>
        <w:jc w:val="both"/>
        <w:ind w:firstLine="1278"/>
        <w:spacing w:after="0"/>
        <w:tabs>
          <w:tab w:leader="none" w:pos="1903" w:val="left"/>
        </w:tabs>
        <w:numPr>
          <w:ilvl w:val="0"/>
          <w:numId w:val="2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Disposition of Equity Interests of a Restricted Subsidiary pursuant to an agreement or other obligation with or to a Person (other than the Borrower or a Restricted Subsidiary) from whom such Restricted Subsidiary was acquired, or from whom such Restricted Subsidiary acquired its business and assets (having been newly formed in connection with such acquisition), made as part of such acquisition and in each case comprising all or a portion of the consideration in respect of such acquisition; and</w:t>
      </w:r>
    </w:p>
    <w:p>
      <w:pPr>
        <w:spacing w:after="0" w:line="306" w:lineRule="exact"/>
        <w:rPr>
          <w:rFonts w:ascii="Times New Roman" w:cs="Times New Roman" w:eastAsia="Times New Roman" w:hAnsi="Times New Roman"/>
          <w:sz w:val="21"/>
          <w:szCs w:val="21"/>
          <w:color w:val="auto"/>
        </w:rPr>
      </w:pPr>
    </w:p>
    <w:p>
      <w:pPr>
        <w:ind w:left="1900" w:hanging="622"/>
        <w:spacing w:after="0"/>
        <w:tabs>
          <w:tab w:leader="none" w:pos="1900" w:val="left"/>
        </w:tabs>
        <w:numPr>
          <w:ilvl w:val="0"/>
          <w:numId w:val="2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terminations of Swap Contracts.</w:t>
      </w:r>
    </w:p>
    <w:p>
      <w:pPr>
        <w:spacing w:after="0" w:line="181"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7.06</w:t>
      </w:r>
      <w:r>
        <w:rPr>
          <w:sz w:val="20"/>
          <w:szCs w:val="20"/>
          <w:color w:val="auto"/>
        </w:rPr>
        <w:tab/>
      </w:r>
      <w:r>
        <w:rPr>
          <w:rFonts w:ascii="Times New Roman" w:cs="Times New Roman" w:eastAsia="Times New Roman" w:hAnsi="Times New Roman"/>
          <w:sz w:val="21"/>
          <w:szCs w:val="21"/>
          <w:i w:val="1"/>
          <w:iCs w:val="1"/>
          <w:color w:val="auto"/>
        </w:rPr>
        <w:t>Restricted Payments</w:t>
      </w:r>
    </w:p>
    <w:p>
      <w:pPr>
        <w:spacing w:after="0" w:line="211" w:lineRule="exact"/>
        <w:rPr>
          <w:sz w:val="20"/>
          <w:szCs w:val="20"/>
          <w:color w:val="auto"/>
        </w:rPr>
      </w:pPr>
    </w:p>
    <w:p>
      <w:pPr>
        <w:ind w:firstLine="642"/>
        <w:spacing w:after="0" w:line="285" w:lineRule="auto"/>
        <w:tabs>
          <w:tab w:leader="none" w:pos="742" w:val="left"/>
        </w:tabs>
        <w:numPr>
          <w:ilvl w:val="0"/>
          <w:numId w:val="2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Declare or make, directly or indirectly, any Restricted Payment, or incur any obligation (contingent or otherwise) to do so, except that:</w:t>
      </w:r>
    </w:p>
    <w:p>
      <w:pPr>
        <w:spacing w:after="0" w:line="115" w:lineRule="exact"/>
        <w:rPr>
          <w:rFonts w:ascii="Times New Roman" w:cs="Times New Roman" w:eastAsia="Times New Roman" w:hAnsi="Times New Roman"/>
          <w:sz w:val="21"/>
          <w:szCs w:val="21"/>
          <w:color w:val="auto"/>
        </w:rPr>
      </w:pPr>
    </w:p>
    <w:p>
      <w:pPr>
        <w:jc w:val="both"/>
        <w:ind w:firstLine="1278"/>
        <w:spacing w:after="0" w:line="232" w:lineRule="auto"/>
        <w:tabs>
          <w:tab w:leader="none" w:pos="1905" w:val="left"/>
        </w:tabs>
        <w:numPr>
          <w:ilvl w:val="1"/>
          <w:numId w:val="2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Restricted Subsidiary may make Restricted Payments to the Borrower, the Guarantors and any other Person (including any other Restricted Subsidiary) that owns an Equity Interest in such Restricted Subsidiary ratably according to their respective holdings of the relevant class of Equity Interest in respect of which such Restricted Payment is being made;</w:t>
      </w:r>
    </w:p>
    <w:p>
      <w:pPr>
        <w:spacing w:after="0" w:line="147" w:lineRule="exact"/>
        <w:rPr>
          <w:rFonts w:ascii="Times New Roman" w:cs="Times New Roman" w:eastAsia="Times New Roman" w:hAnsi="Times New Roman"/>
          <w:sz w:val="21"/>
          <w:szCs w:val="21"/>
          <w:color w:val="auto"/>
        </w:rPr>
      </w:pPr>
    </w:p>
    <w:p>
      <w:pPr>
        <w:jc w:val="both"/>
        <w:ind w:firstLine="1278"/>
        <w:spacing w:after="0"/>
        <w:tabs>
          <w:tab w:leader="none" w:pos="1903" w:val="left"/>
        </w:tabs>
        <w:numPr>
          <w:ilvl w:val="1"/>
          <w:numId w:val="2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and each Restricted Subsidiary may declare and make dividend payments or other distributions payable solely in Qualified Equity Interests of such Person, in the case of a Restricted Subsidiary, ratably to each Person that owns an Equity Interest in such Restricted Subsidiary of the class of Equity Interest in respect of which the Restricted Payment is being made;</w:t>
      </w:r>
    </w:p>
    <w:p>
      <w:pPr>
        <w:spacing w:after="0" w:line="335" w:lineRule="exact"/>
        <w:rPr>
          <w:rFonts w:ascii="Times New Roman" w:cs="Times New Roman" w:eastAsia="Times New Roman" w:hAnsi="Times New Roman"/>
          <w:sz w:val="21"/>
          <w:szCs w:val="21"/>
          <w:color w:val="auto"/>
        </w:rPr>
      </w:pPr>
    </w:p>
    <w:p>
      <w:pPr>
        <w:jc w:val="both"/>
        <w:ind w:firstLine="1278"/>
        <w:spacing w:after="0" w:line="232" w:lineRule="auto"/>
        <w:tabs>
          <w:tab w:leader="none" w:pos="1905" w:val="left"/>
        </w:tabs>
        <w:numPr>
          <w:ilvl w:val="1"/>
          <w:numId w:val="2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and each Restricted Subsidiary may purchase, redeem or otherwise acquire or retire Equity Interests issued by it with the proceeds (whether in cash or Equity Interests) received from the substantially concurrent issue of new Qualified Equity Interests issued by it or Equity Interests of any Parent Company;</w:t>
      </w:r>
    </w:p>
    <w:p>
      <w:pPr>
        <w:spacing w:after="0" w:line="147" w:lineRule="exact"/>
        <w:rPr>
          <w:rFonts w:ascii="Times New Roman" w:cs="Times New Roman" w:eastAsia="Times New Roman" w:hAnsi="Times New Roman"/>
          <w:sz w:val="21"/>
          <w:szCs w:val="21"/>
          <w:color w:val="auto"/>
        </w:rPr>
      </w:pPr>
    </w:p>
    <w:p>
      <w:pPr>
        <w:jc w:val="both"/>
        <w:ind w:firstLine="1278"/>
        <w:spacing w:after="0" w:line="226" w:lineRule="auto"/>
        <w:tabs>
          <w:tab w:leader="none" w:pos="1903" w:val="left"/>
        </w:tabs>
        <w:numPr>
          <w:ilvl w:val="1"/>
          <w:numId w:val="2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and each Restricted Subsidiary may make Restricted Payments pursuant to and in accordance with their (or any Parent Company’s) stock option, stock purchase and other benefit plans of general application to management, directors, employees or other individual services providers of the Borrower (or any Parent Company) and its Restricted Subsidiaries, as adopted or implemented in the ordinary course of business;</w:t>
      </w:r>
    </w:p>
    <w:p>
      <w:pPr>
        <w:spacing w:after="0" w:line="150" w:lineRule="exact"/>
        <w:rPr>
          <w:rFonts w:ascii="Times New Roman" w:cs="Times New Roman" w:eastAsia="Times New Roman" w:hAnsi="Times New Roman"/>
          <w:sz w:val="21"/>
          <w:szCs w:val="21"/>
          <w:color w:val="auto"/>
        </w:rPr>
      </w:pPr>
    </w:p>
    <w:p>
      <w:pPr>
        <w:jc w:val="both"/>
        <w:ind w:firstLine="1278"/>
        <w:spacing w:after="0" w:line="217" w:lineRule="auto"/>
        <w:tabs>
          <w:tab w:leader="none" w:pos="1905" w:val="left"/>
        </w:tabs>
        <w:numPr>
          <w:ilvl w:val="1"/>
          <w:numId w:val="2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Borrower may (i) declare and make dividends or distributions to its shareholders, partners or members in respect of Qualified Equity Interests and (ii) purchase, redeem, retire or otherwise acquire for </w:t>
      </w:r>
      <w:r>
        <w:rPr>
          <w:rFonts w:ascii="Times New Roman" w:cs="Times New Roman" w:eastAsia="Times New Roman" w:hAnsi="Times New Roman"/>
          <w:sz w:val="21"/>
          <w:szCs w:val="21"/>
          <w:b w:val="1"/>
          <w:bCs w:val="1"/>
          <w:color w:val="0000FF"/>
        </w:rPr>
        <w:t>value</w:t>
      </w:r>
      <w:r>
        <w:rPr>
          <w:rFonts w:ascii="Times New Roman" w:cs="Times New Roman" w:eastAsia="Times New Roman" w:hAnsi="Times New Roman"/>
          <w:sz w:val="21"/>
          <w:szCs w:val="21"/>
          <w:color w:val="auto"/>
        </w:rPr>
        <w:t xml:space="preserve"> Qualified Equity Interests issued by it in an aggregate amount with respect to </w:t>
      </w:r>
      <w:r>
        <w:rPr>
          <w:rFonts w:ascii="Times New Roman" w:cs="Times New Roman" w:eastAsia="Times New Roman" w:hAnsi="Times New Roman"/>
          <w:sz w:val="21"/>
          <w:szCs w:val="21"/>
          <w:u w:val="single" w:color="auto"/>
          <w:color w:val="auto"/>
        </w:rPr>
        <w:t>clauses (i)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(ii)</w:t>
      </w:r>
      <w:r>
        <w:rPr>
          <w:rFonts w:ascii="Times New Roman" w:cs="Times New Roman" w:eastAsia="Times New Roman" w:hAnsi="Times New Roman"/>
          <w:sz w:val="21"/>
          <w:szCs w:val="21"/>
          <w:color w:val="auto"/>
        </w:rPr>
        <w:t xml:space="preserve"> collectively during the term of this Agreement not to exceed the sum of (1) so long as no Event of Default under </w:t>
      </w:r>
      <w:r>
        <w:rPr>
          <w:rFonts w:ascii="Times New Roman" w:cs="Times New Roman" w:eastAsia="Times New Roman" w:hAnsi="Times New Roman"/>
          <w:sz w:val="21"/>
          <w:szCs w:val="21"/>
          <w:u w:val="single" w:color="auto"/>
          <w:color w:val="auto"/>
        </w:rPr>
        <w:t>Sections 8.01(a)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8.01(f)</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8.01(g)</w:t>
      </w:r>
      <w:r>
        <w:rPr>
          <w:rFonts w:ascii="Times New Roman" w:cs="Times New Roman" w:eastAsia="Times New Roman" w:hAnsi="Times New Roman"/>
          <w:sz w:val="21"/>
          <w:szCs w:val="21"/>
          <w:color w:val="auto"/>
        </w:rPr>
        <w:t xml:space="preserve"> shall have occurred and be continuing at the time of any action described in this </w:t>
      </w:r>
      <w:r>
        <w:rPr>
          <w:rFonts w:ascii="Times New Roman" w:cs="Times New Roman" w:eastAsia="Times New Roman" w:hAnsi="Times New Roman"/>
          <w:sz w:val="21"/>
          <w:szCs w:val="21"/>
          <w:u w:val="single" w:color="auto"/>
          <w:color w:val="auto"/>
        </w:rPr>
        <w:t>clause (e)(1)</w:t>
      </w:r>
      <w:r>
        <w:rPr>
          <w:rFonts w:ascii="Times New Roman" w:cs="Times New Roman" w:eastAsia="Times New Roman" w:hAnsi="Times New Roman"/>
          <w:sz w:val="21"/>
          <w:szCs w:val="21"/>
          <w:color w:val="auto"/>
        </w:rPr>
        <w:t xml:space="preserve"> or would result therefrom, the greater of $</w:t>
      </w:r>
      <w:r>
        <w:rPr>
          <w:rFonts w:ascii="Times New Roman" w:cs="Times New Roman" w:eastAsia="Times New Roman" w:hAnsi="Times New Roman"/>
          <w:sz w:val="21"/>
          <w:szCs w:val="21"/>
          <w:b w:val="1"/>
          <w:bCs w:val="1"/>
          <w:color w:val="FF0000"/>
          <w:strike w:val="1"/>
        </w:rPr>
        <w:t>50,000,000</w:t>
      </w:r>
      <w:r>
        <w:rPr>
          <w:rFonts w:ascii="Times New Roman" w:cs="Times New Roman" w:eastAsia="Times New Roman" w:hAnsi="Times New Roman"/>
          <w:sz w:val="21"/>
          <w:szCs w:val="21"/>
          <w:b w:val="1"/>
          <w:bCs w:val="1"/>
          <w:u w:val="single" w:color="auto"/>
          <w:color w:val="0000FF"/>
        </w:rPr>
        <w:t>200,000,000</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b w:val="1"/>
          <w:bCs w:val="1"/>
          <w:color w:val="FF0000"/>
          <w:strike w:val="1"/>
        </w:rPr>
        <w:t>20</w:t>
      </w:r>
      <w:r>
        <w:rPr>
          <w:rFonts w:ascii="Times New Roman" w:cs="Times New Roman" w:eastAsia="Times New Roman" w:hAnsi="Times New Roman"/>
          <w:sz w:val="21"/>
          <w:szCs w:val="21"/>
          <w:b w:val="1"/>
          <w:bCs w:val="1"/>
          <w:u w:val="single" w:color="auto"/>
          <w:color w:val="0000FF"/>
        </w:rPr>
        <w:t>40</w:t>
      </w:r>
      <w:r>
        <w:rPr>
          <w:rFonts w:ascii="Times New Roman" w:cs="Times New Roman" w:eastAsia="Times New Roman" w:hAnsi="Times New Roman"/>
          <w:sz w:val="21"/>
          <w:szCs w:val="21"/>
          <w:color w:val="auto"/>
        </w:rPr>
        <w:t xml:space="preserve">% of Consolidated EBITDA based on the Most Recent Financial Statements, plus (2) an amount not to exceed the Available Amount at the time of the making of such dividend, distribution, retirement, purchase, redemption or acquisition;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(x) the portion of the Available Amount attributed to </w:t>
      </w:r>
      <w:r>
        <w:rPr>
          <w:rFonts w:ascii="Times New Roman" w:cs="Times New Roman" w:eastAsia="Times New Roman" w:hAnsi="Times New Roman"/>
          <w:sz w:val="21"/>
          <w:szCs w:val="21"/>
          <w:u w:val="single" w:color="auto"/>
          <w:color w:val="auto"/>
        </w:rPr>
        <w:t>clause (a)(1)</w:t>
      </w:r>
      <w:r>
        <w:rPr>
          <w:rFonts w:ascii="Times New Roman" w:cs="Times New Roman" w:eastAsia="Times New Roman" w:hAnsi="Times New Roman"/>
          <w:sz w:val="21"/>
          <w:szCs w:val="21"/>
          <w:color w:val="auto"/>
        </w:rPr>
        <w:t xml:space="preserve"> of the definition thereof shall not be available for any such Restricted Payment made pursuant to this </w:t>
      </w:r>
      <w:r>
        <w:rPr>
          <w:rFonts w:ascii="Times New Roman" w:cs="Times New Roman" w:eastAsia="Times New Roman" w:hAnsi="Times New Roman"/>
          <w:sz w:val="21"/>
          <w:szCs w:val="21"/>
          <w:u w:val="single" w:color="auto"/>
          <w:color w:val="auto"/>
        </w:rPr>
        <w:t>clause (e)(2)</w:t>
      </w:r>
      <w:r>
        <w:rPr>
          <w:rFonts w:ascii="Times New Roman" w:cs="Times New Roman" w:eastAsia="Times New Roman" w:hAnsi="Times New Roman"/>
          <w:sz w:val="21"/>
          <w:szCs w:val="21"/>
          <w:color w:val="auto"/>
        </w:rPr>
        <w:t xml:space="preserve"> if an Event of Default under </w:t>
      </w:r>
      <w:r>
        <w:rPr>
          <w:rFonts w:ascii="Times New Roman" w:cs="Times New Roman" w:eastAsia="Times New Roman" w:hAnsi="Times New Roman"/>
          <w:sz w:val="21"/>
          <w:szCs w:val="21"/>
          <w:u w:val="single" w:color="auto"/>
          <w:color w:val="auto"/>
        </w:rPr>
        <w:t>Sections 8.01(a)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8.01(f)</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8.01(g)</w:t>
      </w:r>
      <w:r>
        <w:rPr>
          <w:rFonts w:ascii="Times New Roman" w:cs="Times New Roman" w:eastAsia="Times New Roman" w:hAnsi="Times New Roman"/>
          <w:sz w:val="21"/>
          <w:szCs w:val="21"/>
          <w:color w:val="auto"/>
        </w:rPr>
        <w:t xml:space="preserve"> shall have occurred and be continuing at the time of any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5292090</wp:posOffset>
            </wp:positionH>
            <wp:positionV relativeFrom="paragraph">
              <wp:posOffset>-1107440</wp:posOffset>
            </wp:positionV>
            <wp:extent cx="35687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3">
                      <a:extLst>
                        <a:ext uri="{28A0092B-C50C-407E-A947-70E740481C1C}"/>
                      </a:extLst>
                    </a:blip>
                    <a:srcRect/>
                    <a:stretch>
                      <a:fillRect/>
                    </a:stretch>
                  </pic:blipFill>
                  <pic:spPr bwMode="auto">
                    <a:xfrm>
                      <a:off x="0" y="0"/>
                      <a:ext cx="3568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149</w:t>
      </w:r>
    </w:p>
    <w:p>
      <w:pPr>
        <w:sectPr>
          <w:pgSz w:w="11900" w:h="16838" w:orient="portrait"/>
          <w:cols w:equalWidth="0" w:num="1">
            <w:col w:w="11240"/>
          </w:cols>
          <w:pgMar w:left="320" w:top="1371" w:right="339" w:bottom="1440" w:gutter="0" w:footer="0" w:header="0"/>
        </w:sectPr>
      </w:pPr>
    </w:p>
    <w:bookmarkStart w:id="255" w:name="page256"/>
    <w:bookmarkEnd w:id="255"/>
    <w:p>
      <w:pPr>
        <w:jc w:val="both"/>
        <w:spacing w:after="0" w:line="226" w:lineRule="auto"/>
        <w:rPr>
          <w:sz w:val="20"/>
          <w:szCs w:val="20"/>
          <w:color w:val="auto"/>
        </w:rPr>
      </w:pPr>
      <w:r>
        <w:rPr>
          <w:rFonts w:ascii="Times New Roman" w:cs="Times New Roman" w:eastAsia="Times New Roman" w:hAnsi="Times New Roman"/>
          <w:sz w:val="21"/>
          <w:szCs w:val="21"/>
          <w:color w:val="auto"/>
        </w:rPr>
        <w:t xml:space="preserve">described in this </w:t>
      </w:r>
      <w:r>
        <w:rPr>
          <w:rFonts w:ascii="Times New Roman" w:cs="Times New Roman" w:eastAsia="Times New Roman" w:hAnsi="Times New Roman"/>
          <w:sz w:val="21"/>
          <w:szCs w:val="21"/>
          <w:u w:val="single" w:color="auto"/>
          <w:color w:val="auto"/>
        </w:rPr>
        <w:t>clause (e)</w:t>
      </w:r>
      <w:r>
        <w:rPr>
          <w:rFonts w:ascii="Times New Roman" w:cs="Times New Roman" w:eastAsia="Times New Roman" w:hAnsi="Times New Roman"/>
          <w:sz w:val="21"/>
          <w:szCs w:val="21"/>
          <w:color w:val="auto"/>
        </w:rPr>
        <w:t xml:space="preserve"> or would result therefrom and (y) the portion of the Available Amount attributed to </w:t>
      </w:r>
      <w:r>
        <w:rPr>
          <w:rFonts w:ascii="Times New Roman" w:cs="Times New Roman" w:eastAsia="Times New Roman" w:hAnsi="Times New Roman"/>
          <w:sz w:val="21"/>
          <w:szCs w:val="21"/>
          <w:u w:val="single" w:color="auto"/>
          <w:color w:val="auto"/>
        </w:rPr>
        <w:t>clause (a)(2)</w:t>
      </w:r>
      <w:r>
        <w:rPr>
          <w:rFonts w:ascii="Times New Roman" w:cs="Times New Roman" w:eastAsia="Times New Roman" w:hAnsi="Times New Roman"/>
          <w:sz w:val="21"/>
          <w:szCs w:val="21"/>
          <w:color w:val="auto"/>
        </w:rPr>
        <w:t xml:space="preserve"> of the definition thereof shall not be available for any such Restricted Payment made pursuant to this </w:t>
      </w:r>
      <w:r>
        <w:rPr>
          <w:rFonts w:ascii="Times New Roman" w:cs="Times New Roman" w:eastAsia="Times New Roman" w:hAnsi="Times New Roman"/>
          <w:sz w:val="21"/>
          <w:szCs w:val="21"/>
          <w:u w:val="single" w:color="auto"/>
          <w:color w:val="auto"/>
        </w:rPr>
        <w:t>clause (e)(2)</w:t>
      </w:r>
      <w:r>
        <w:rPr>
          <w:rFonts w:ascii="Times New Roman" w:cs="Times New Roman" w:eastAsia="Times New Roman" w:hAnsi="Times New Roman"/>
          <w:sz w:val="21"/>
          <w:szCs w:val="21"/>
          <w:color w:val="auto"/>
        </w:rPr>
        <w:t xml:space="preserve"> if (i) the pro forma Total Net Leverage Ratio would be greater than 4.75:1.00, or (ii) an Event of Default under </w:t>
      </w:r>
      <w:r>
        <w:rPr>
          <w:rFonts w:ascii="Times New Roman" w:cs="Times New Roman" w:eastAsia="Times New Roman" w:hAnsi="Times New Roman"/>
          <w:sz w:val="21"/>
          <w:szCs w:val="21"/>
          <w:u w:val="single" w:color="auto"/>
          <w:color w:val="auto"/>
        </w:rPr>
        <w:t>Sections 8.01(a)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8.01(f)</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8.01(g)</w:t>
      </w:r>
      <w:r>
        <w:rPr>
          <w:rFonts w:ascii="Times New Roman" w:cs="Times New Roman" w:eastAsia="Times New Roman" w:hAnsi="Times New Roman"/>
          <w:sz w:val="21"/>
          <w:szCs w:val="21"/>
          <w:color w:val="auto"/>
        </w:rPr>
        <w:t xml:space="preserve"> shall have occurred and be continuing at the time of any action described in this </w:t>
      </w:r>
      <w:r>
        <w:rPr>
          <w:rFonts w:ascii="Times New Roman" w:cs="Times New Roman" w:eastAsia="Times New Roman" w:hAnsi="Times New Roman"/>
          <w:sz w:val="21"/>
          <w:szCs w:val="21"/>
          <w:u w:val="single" w:color="auto"/>
          <w:color w:val="auto"/>
        </w:rPr>
        <w:t>clause (e)</w:t>
      </w:r>
      <w:r>
        <w:rPr>
          <w:rFonts w:ascii="Times New Roman" w:cs="Times New Roman" w:eastAsia="Times New Roman" w:hAnsi="Times New Roman"/>
          <w:sz w:val="21"/>
          <w:szCs w:val="21"/>
          <w:color w:val="auto"/>
        </w:rPr>
        <w:t xml:space="preserve"> or would result therefrom;</w:t>
      </w:r>
    </w:p>
    <w:p>
      <w:pPr>
        <w:spacing w:after="0" w:line="150" w:lineRule="exact"/>
        <w:rPr>
          <w:sz w:val="20"/>
          <w:szCs w:val="20"/>
          <w:color w:val="auto"/>
        </w:rPr>
      </w:pPr>
    </w:p>
    <w:p>
      <w:pPr>
        <w:jc w:val="both"/>
        <w:ind w:firstLine="1278"/>
        <w:spacing w:after="0" w:line="232" w:lineRule="auto"/>
        <w:tabs>
          <w:tab w:leader="none" w:pos="1908" w:val="left"/>
        </w:tabs>
        <w:numPr>
          <w:ilvl w:val="0"/>
          <w:numId w:val="2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so long as no Event of Default under </w:t>
      </w:r>
      <w:r>
        <w:rPr>
          <w:rFonts w:ascii="Times New Roman" w:cs="Times New Roman" w:eastAsia="Times New Roman" w:hAnsi="Times New Roman"/>
          <w:sz w:val="21"/>
          <w:szCs w:val="21"/>
          <w:u w:val="single" w:color="auto"/>
          <w:color w:val="auto"/>
        </w:rPr>
        <w:t>Sections 8.01(a)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8.01(f)</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8.01(g)</w:t>
      </w:r>
      <w:r>
        <w:rPr>
          <w:rFonts w:ascii="Times New Roman" w:cs="Times New Roman" w:eastAsia="Times New Roman" w:hAnsi="Times New Roman"/>
          <w:sz w:val="21"/>
          <w:szCs w:val="21"/>
          <w:color w:val="auto"/>
        </w:rPr>
        <w:t xml:space="preserve"> shall have occurred and be continuing at the time of any action described in this </w:t>
      </w:r>
      <w:r>
        <w:rPr>
          <w:rFonts w:ascii="Times New Roman" w:cs="Times New Roman" w:eastAsia="Times New Roman" w:hAnsi="Times New Roman"/>
          <w:sz w:val="21"/>
          <w:szCs w:val="21"/>
          <w:u w:val="single" w:color="auto"/>
          <w:color w:val="auto"/>
        </w:rPr>
        <w:t>clause (f)</w:t>
      </w:r>
      <w:r>
        <w:rPr>
          <w:rFonts w:ascii="Times New Roman" w:cs="Times New Roman" w:eastAsia="Times New Roman" w:hAnsi="Times New Roman"/>
          <w:sz w:val="21"/>
          <w:szCs w:val="21"/>
          <w:color w:val="auto"/>
        </w:rPr>
        <w:t xml:space="preserve"> or would result therefrom, the Borrower may declare and make cash dividends or distributions to its shareholders, partners or members in respect of Disqualified Equity Interests;</w:t>
      </w:r>
    </w:p>
    <w:p>
      <w:pPr>
        <w:spacing w:after="0" w:line="147" w:lineRule="exact"/>
        <w:rPr>
          <w:rFonts w:ascii="Times New Roman" w:cs="Times New Roman" w:eastAsia="Times New Roman" w:hAnsi="Times New Roman"/>
          <w:sz w:val="21"/>
          <w:szCs w:val="21"/>
          <w:color w:val="auto"/>
        </w:rPr>
      </w:pPr>
    </w:p>
    <w:p>
      <w:pPr>
        <w:ind w:left="1900" w:hanging="622"/>
        <w:spacing w:after="0"/>
        <w:tabs>
          <w:tab w:leader="none" w:pos="1900" w:val="left"/>
        </w:tabs>
        <w:numPr>
          <w:ilvl w:val="0"/>
          <w:numId w:val="2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Investments pursuant to </w:t>
      </w:r>
      <w:r>
        <w:rPr>
          <w:rFonts w:ascii="Times New Roman" w:cs="Times New Roman" w:eastAsia="Times New Roman" w:hAnsi="Times New Roman"/>
          <w:sz w:val="21"/>
          <w:szCs w:val="21"/>
          <w:u w:val="single" w:color="auto"/>
          <w:color w:val="auto"/>
        </w:rPr>
        <w:t>Section 7.02(c)</w:t>
      </w:r>
      <w:r>
        <w:rPr>
          <w:rFonts w:ascii="Times New Roman" w:cs="Times New Roman" w:eastAsia="Times New Roman" w:hAnsi="Times New Roman"/>
          <w:sz w:val="21"/>
          <w:szCs w:val="21"/>
          <w:color w:val="auto"/>
        </w:rPr>
        <w:t xml:space="preserve"> shall be permitted;</w:t>
      </w:r>
    </w:p>
    <w:p>
      <w:pPr>
        <w:spacing w:after="0" w:line="182" w:lineRule="exact"/>
        <w:rPr>
          <w:rFonts w:ascii="Times New Roman" w:cs="Times New Roman" w:eastAsia="Times New Roman" w:hAnsi="Times New Roman"/>
          <w:sz w:val="21"/>
          <w:szCs w:val="21"/>
          <w:color w:val="auto"/>
        </w:rPr>
      </w:pPr>
    </w:p>
    <w:p>
      <w:pPr>
        <w:jc w:val="both"/>
        <w:ind w:firstLine="1278"/>
        <w:spacing w:after="0" w:line="226" w:lineRule="auto"/>
        <w:tabs>
          <w:tab w:leader="none" w:pos="1903" w:val="left"/>
        </w:tabs>
        <w:numPr>
          <w:ilvl w:val="0"/>
          <w:numId w:val="2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non-cash repurchases of Equity Interests of the Borrower deemed to occur (i) upon the non-cash exercise of stock options and warrants or similar equity incentive awards, and (ii) in connection with the withholding of a portion of the Equity Interests granted or awarded to a director or an employee to pay for the taxes payable by such director or employee upon such grant or award shall be permitted;</w:t>
      </w:r>
    </w:p>
    <w:p>
      <w:pPr>
        <w:spacing w:after="0" w:line="150" w:lineRule="exact"/>
        <w:rPr>
          <w:rFonts w:ascii="Times New Roman" w:cs="Times New Roman" w:eastAsia="Times New Roman" w:hAnsi="Times New Roman"/>
          <w:sz w:val="21"/>
          <w:szCs w:val="21"/>
          <w:color w:val="auto"/>
        </w:rPr>
      </w:pPr>
    </w:p>
    <w:p>
      <w:pPr>
        <w:jc w:val="both"/>
        <w:ind w:firstLine="1278"/>
        <w:spacing w:after="0" w:line="232" w:lineRule="auto"/>
        <w:tabs>
          <w:tab w:leader="none" w:pos="1896" w:val="left"/>
        </w:tabs>
        <w:numPr>
          <w:ilvl w:val="0"/>
          <w:numId w:val="2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or any of its Restricted Subsidiaries may (i) pay cash in lieu of fractional shares in connection with any dividend, distribution, split or combination thereof or any Permitted Acquisition and (ii) honor any conversion request by a holder of convertible Indebtedness and make cash payments in lieu of fractional shares in connection with any such conversion;</w:t>
      </w:r>
    </w:p>
    <w:p>
      <w:pPr>
        <w:spacing w:after="0" w:line="147" w:lineRule="exact"/>
        <w:rPr>
          <w:rFonts w:ascii="Times New Roman" w:cs="Times New Roman" w:eastAsia="Times New Roman" w:hAnsi="Times New Roman"/>
          <w:sz w:val="21"/>
          <w:szCs w:val="21"/>
          <w:color w:val="auto"/>
        </w:rPr>
      </w:pPr>
    </w:p>
    <w:p>
      <w:pPr>
        <w:jc w:val="both"/>
        <w:ind w:firstLine="1278"/>
        <w:spacing w:after="0" w:line="232" w:lineRule="auto"/>
        <w:tabs>
          <w:tab w:leader="none" w:pos="1896" w:val="left"/>
        </w:tabs>
        <w:numPr>
          <w:ilvl w:val="0"/>
          <w:numId w:val="2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payment of dividends and distributions within ninety (90) days after the date of declaration thereof, if at the date of declaration of such payment, such payment would have complied with the other provisions of this </w:t>
      </w:r>
      <w:r>
        <w:rPr>
          <w:rFonts w:ascii="Times New Roman" w:cs="Times New Roman" w:eastAsia="Times New Roman" w:hAnsi="Times New Roman"/>
          <w:sz w:val="21"/>
          <w:szCs w:val="21"/>
          <w:u w:val="single" w:color="auto"/>
          <w:color w:val="auto"/>
        </w:rPr>
        <w:t>Section 7.06</w:t>
      </w:r>
      <w:r>
        <w:rPr>
          <w:rFonts w:ascii="Times New Roman" w:cs="Times New Roman" w:eastAsia="Times New Roman" w:hAnsi="Times New Roman"/>
          <w:sz w:val="21"/>
          <w:szCs w:val="21"/>
          <w:color w:val="auto"/>
        </w:rPr>
        <w:t xml:space="preserve"> shall be permitted;</w:t>
      </w:r>
    </w:p>
    <w:p>
      <w:pPr>
        <w:spacing w:after="0" w:line="147" w:lineRule="exact"/>
        <w:rPr>
          <w:rFonts w:ascii="Times New Roman" w:cs="Times New Roman" w:eastAsia="Times New Roman" w:hAnsi="Times New Roman"/>
          <w:sz w:val="21"/>
          <w:szCs w:val="21"/>
          <w:color w:val="auto"/>
        </w:rPr>
      </w:pPr>
    </w:p>
    <w:p>
      <w:pPr>
        <w:jc w:val="both"/>
        <w:ind w:firstLine="1278"/>
        <w:spacing w:after="0" w:line="223" w:lineRule="auto"/>
        <w:tabs>
          <w:tab w:leader="none" w:pos="1903" w:val="left"/>
        </w:tabs>
        <w:numPr>
          <w:ilvl w:val="0"/>
          <w:numId w:val="2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purchase, redemption, acquisition, cancellation or other retirement for a nominal value per right of any rights granted to all holders of Equity Interests of the Borrower or any Parent Company pursuant to any shareholders’ or members’ rights plan adopted for the purpose of protecting shareholders from unfair takeover tactics shall be permitted;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any such purchase, redemption, acquisition, cancellation or other retirement of such rights is not for the purpose of evading the limitations of this covenant (all as determined in good faith by a Responsible Officer that is a senior financial officer of the Borrower);</w:t>
      </w:r>
    </w:p>
    <w:p>
      <w:pPr>
        <w:spacing w:after="0" w:line="150" w:lineRule="exact"/>
        <w:rPr>
          <w:rFonts w:ascii="Times New Roman" w:cs="Times New Roman" w:eastAsia="Times New Roman" w:hAnsi="Times New Roman"/>
          <w:sz w:val="21"/>
          <w:szCs w:val="21"/>
          <w:color w:val="auto"/>
        </w:rPr>
      </w:pPr>
    </w:p>
    <w:p>
      <w:pPr>
        <w:ind w:left="1900" w:hanging="622"/>
        <w:spacing w:after="0"/>
        <w:tabs>
          <w:tab w:leader="none" w:pos="1900" w:val="left"/>
        </w:tabs>
        <w:numPr>
          <w:ilvl w:val="0"/>
          <w:numId w:val="2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[reserved];</w:t>
      </w:r>
    </w:p>
    <w:p>
      <w:pPr>
        <w:spacing w:after="0" w:line="182" w:lineRule="exact"/>
        <w:rPr>
          <w:rFonts w:ascii="Times New Roman" w:cs="Times New Roman" w:eastAsia="Times New Roman" w:hAnsi="Times New Roman"/>
          <w:sz w:val="21"/>
          <w:szCs w:val="21"/>
          <w:color w:val="auto"/>
        </w:rPr>
      </w:pPr>
    </w:p>
    <w:p>
      <w:pPr>
        <w:ind w:firstLine="1278"/>
        <w:spacing w:after="0" w:line="245" w:lineRule="auto"/>
        <w:tabs>
          <w:tab w:leader="none" w:pos="1896" w:val="left"/>
        </w:tabs>
        <w:numPr>
          <w:ilvl w:val="0"/>
          <w:numId w:val="2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payment of dividends or distributions on, or share repurchases of, the Borrower’s Common Stock in any fiscal year not to exceed an amount equal to </w:t>
      </w:r>
      <w:r>
        <w:rPr>
          <w:rFonts w:ascii="Times New Roman" w:cs="Times New Roman" w:eastAsia="Times New Roman" w:hAnsi="Times New Roman"/>
          <w:sz w:val="21"/>
          <w:szCs w:val="21"/>
          <w:b w:val="1"/>
          <w:bCs w:val="1"/>
          <w:color w:val="FF0000"/>
          <w:strike w:val="1"/>
        </w:rPr>
        <w:t>3.00</w:t>
      </w:r>
      <w:r>
        <w:rPr>
          <w:rFonts w:ascii="Times New Roman" w:cs="Times New Roman" w:eastAsia="Times New Roman" w:hAnsi="Times New Roman"/>
          <w:sz w:val="21"/>
          <w:szCs w:val="21"/>
          <w:b w:val="1"/>
          <w:bCs w:val="1"/>
          <w:u w:val="single" w:color="auto"/>
          <w:color w:val="0000FF"/>
        </w:rPr>
        <w:t>six percent (6.00</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0000FF"/>
        </w:rPr>
        <w:t>)</w:t>
      </w:r>
      <w:r>
        <w:rPr>
          <w:rFonts w:ascii="Times New Roman" w:cs="Times New Roman" w:eastAsia="Times New Roman" w:hAnsi="Times New Roman"/>
          <w:sz w:val="21"/>
          <w:szCs w:val="21"/>
          <w:color w:val="auto"/>
        </w:rPr>
        <w:t xml:space="preserve"> of the Borrower’s Market Capitalization;</w:t>
      </w:r>
    </w:p>
    <w:p>
      <w:pPr>
        <w:spacing w:after="0" w:line="142" w:lineRule="exact"/>
        <w:rPr>
          <w:rFonts w:ascii="Times New Roman" w:cs="Times New Roman" w:eastAsia="Times New Roman" w:hAnsi="Times New Roman"/>
          <w:sz w:val="21"/>
          <w:szCs w:val="21"/>
          <w:color w:val="auto"/>
        </w:rPr>
      </w:pPr>
    </w:p>
    <w:p>
      <w:pPr>
        <w:ind w:firstLine="1278"/>
        <w:spacing w:after="0" w:line="245" w:lineRule="auto"/>
        <w:tabs>
          <w:tab w:leader="none" w:pos="1903" w:val="left"/>
        </w:tabs>
        <w:numPr>
          <w:ilvl w:val="0"/>
          <w:numId w:val="2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unlimited Restricted Payments shall be permitted so long as (i) no Event of Default shall exist before or after giving effect to such Restricted Payment and (ii) the pro forma Total Net Leverage Ratio would be less than 3.50:1.00;</w:t>
      </w:r>
    </w:p>
    <w:p>
      <w:pPr>
        <w:spacing w:after="0" w:line="142" w:lineRule="exact"/>
        <w:rPr>
          <w:rFonts w:ascii="Times New Roman" w:cs="Times New Roman" w:eastAsia="Times New Roman" w:hAnsi="Times New Roman"/>
          <w:sz w:val="21"/>
          <w:szCs w:val="21"/>
          <w:color w:val="auto"/>
        </w:rPr>
      </w:pPr>
    </w:p>
    <w:p>
      <w:pPr>
        <w:ind w:left="1900" w:hanging="622"/>
        <w:spacing w:after="0"/>
        <w:tabs>
          <w:tab w:leader="none" w:pos="1900" w:val="left"/>
        </w:tabs>
        <w:numPr>
          <w:ilvl w:val="0"/>
          <w:numId w:val="2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and each Restricted Subsidiary may make Tax and Related Distributions;</w:t>
      </w:r>
    </w:p>
    <w:p>
      <w:pPr>
        <w:spacing w:after="0" w:line="182" w:lineRule="exact"/>
        <w:rPr>
          <w:rFonts w:ascii="Times New Roman" w:cs="Times New Roman" w:eastAsia="Times New Roman" w:hAnsi="Times New Roman"/>
          <w:sz w:val="21"/>
          <w:szCs w:val="21"/>
          <w:color w:val="auto"/>
        </w:rPr>
      </w:pPr>
    </w:p>
    <w:p>
      <w:pPr>
        <w:jc w:val="both"/>
        <w:ind w:firstLine="1278"/>
        <w:spacing w:after="0" w:line="232" w:lineRule="auto"/>
        <w:tabs>
          <w:tab w:leader="none" w:pos="1903" w:val="left"/>
        </w:tabs>
        <w:numPr>
          <w:ilvl w:val="0"/>
          <w:numId w:val="2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may repurchase (or make Restricted Payments to any Parent Company to enable it to repurchase) its Equity Interests upon the exercise of options or warrants or other securities convertible into or exchangeable for Equity Interests if such Equity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150</w:t>
      </w:r>
    </w:p>
    <w:p>
      <w:pPr>
        <w:sectPr>
          <w:pgSz w:w="11900" w:h="16838" w:orient="portrait"/>
          <w:cols w:equalWidth="0" w:num="1">
            <w:col w:w="11240"/>
          </w:cols>
          <w:pgMar w:left="320" w:top="1371" w:right="33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21"/>
          <w:szCs w:val="21"/>
          <w:color w:val="auto"/>
        </w:rPr>
        <w:t>represent all or a portion of the exercise price of such options or warrants or other securities as part of a “cashless” exercise;</w:t>
      </w:r>
    </w:p>
    <w:p>
      <w:pPr>
        <w:spacing w:after="0" w:line="183" w:lineRule="exact"/>
        <w:rPr>
          <w:sz w:val="20"/>
          <w:szCs w:val="20"/>
          <w:color w:val="auto"/>
        </w:rPr>
      </w:pPr>
    </w:p>
    <w:p>
      <w:pPr>
        <w:jc w:val="both"/>
        <w:ind w:firstLine="1278"/>
        <w:spacing w:after="0" w:line="225" w:lineRule="auto"/>
        <w:tabs>
          <w:tab w:leader="none" w:pos="1903" w:val="left"/>
        </w:tabs>
        <w:numPr>
          <w:ilvl w:val="1"/>
          <w:numId w:val="2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Borrower may make Restricted Payments to the extent necessary to permit any Parent Company to pay (i) general administrative fees, costs and expenses (including corporate overhead, corporate maintenance, insurance premiums, audit and other accounting and reporting fees, costs and expenses, SEC fees, costs and expenses, legal or similar fees, costs and expenses and customary wages, salary, bonus and other benefits payable to directors, officers, employees, members of management, consultants and/or independent contractors of any Parent Company, fees, costs and expenses in connection with debt or equity offerings (whether or not consummated), and fees, costs and expenses in connection with Investments (whether or not consummated), in the case of such Investments or debt or equity offerings, so long as and to the extent that such Investments or the proceeds of such debt or equity offerings are contributed or were intended to be contributed (if such Investment, debt or equity offerings were not consummated) to the Borrower or its Restricted Subsidiaries), in each case, which are reasonable and customary and incurred in the ordinary course of business by such Parent Company, and (ii) any reasonable and customary indemnification claims made by current or former directors, officers, members of management, employees or consultants of any Parent Company, in the case of each of clauses (i) and (ii), solely to the extent (1) attributable to the ownership by such Parent Company of the Borrower and/or its Subsidiaries or to the payment by such Parent Company of any of such expenses on behalf of the Borrower and its Subsidiaries and (2) that the Borrower and its Restricted Subsidiaries have not otherwise made payments to such Parent Company or any of its Affiliates in respect of such fees, costs and expenses; provided that Restricted Payments under this clause (q) that are attributable to any Unrestricted Subsidiary shall be permitted only to the extent that either (x) such Unrestricted Subsidiary has made one or more cash distributions, advances or loans to the Borrower or any of its Restricted Subsidiaries for such purpose in an amount up to the amount of such Unrestricted Subsidiary’s proportionate share of such fees, costs and expenses or (y) the amount of such Restricted Payments made by the Borrower on behalf of such Unrestricted Subsidiary is treated as an Investment subject to </w:t>
      </w:r>
      <w:r>
        <w:rPr>
          <w:rFonts w:ascii="Times New Roman" w:cs="Times New Roman" w:eastAsia="Times New Roman" w:hAnsi="Times New Roman"/>
          <w:sz w:val="21"/>
          <w:szCs w:val="21"/>
          <w:u w:val="single" w:color="auto"/>
          <w:color w:val="auto"/>
        </w:rPr>
        <w:t>Section 7.02</w:t>
      </w:r>
      <w:r>
        <w:rPr>
          <w:rFonts w:ascii="Times New Roman" w:cs="Times New Roman" w:eastAsia="Times New Roman" w:hAnsi="Times New Roman"/>
          <w:sz w:val="21"/>
          <w:szCs w:val="21"/>
          <w:color w:val="auto"/>
        </w:rPr>
        <w:t xml:space="preserve"> hereof;</w:t>
      </w:r>
    </w:p>
    <w:p>
      <w:pPr>
        <w:spacing w:after="0" w:line="150" w:lineRule="exact"/>
        <w:rPr>
          <w:rFonts w:ascii="Times New Roman" w:cs="Times New Roman" w:eastAsia="Times New Roman" w:hAnsi="Times New Roman"/>
          <w:sz w:val="21"/>
          <w:szCs w:val="21"/>
          <w:color w:val="auto"/>
        </w:rPr>
      </w:pPr>
    </w:p>
    <w:p>
      <w:pPr>
        <w:jc w:val="both"/>
        <w:ind w:firstLine="1278"/>
        <w:spacing w:after="0" w:line="218" w:lineRule="auto"/>
        <w:tabs>
          <w:tab w:leader="none" w:pos="1908" w:val="left"/>
        </w:tabs>
        <w:numPr>
          <w:ilvl w:val="1"/>
          <w:numId w:val="2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may make Restricted Payments to any Parent Company to enable such Parent Company to make Restricted Payments consisting of (1) cash payments in lieu of the issuance of fractional shares in connection with the exercise of warrants, options or other securities convertible into or exchangeable for Equity Interests of such Parent Company or (2)</w:t>
      </w:r>
    </w:p>
    <w:p>
      <w:pPr>
        <w:spacing w:after="0" w:line="1" w:lineRule="exact"/>
        <w:rPr>
          <w:rFonts w:ascii="Times New Roman" w:cs="Times New Roman" w:eastAsia="Times New Roman" w:hAnsi="Times New Roman"/>
          <w:sz w:val="21"/>
          <w:szCs w:val="21"/>
          <w:color w:val="auto"/>
        </w:rPr>
      </w:pPr>
    </w:p>
    <w:p>
      <w:pPr>
        <w:jc w:val="both"/>
        <w:ind w:firstLine="6"/>
        <w:spacing w:after="0" w:line="217" w:lineRule="auto"/>
        <w:tabs>
          <w:tab w:leader="none" w:pos="370" w:val="left"/>
        </w:tabs>
        <w:numPr>
          <w:ilvl w:val="0"/>
          <w:numId w:val="2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payments made or expected to be made in respect of withholding or similar Taxes payable by any future, present or former officers, directors, employees, members of management, managers or consultants of the Borrower, any Subsidiary or Parent Company or any of their respective Immediate Family Members in respect of their purchase of Equity Interests of such Parent Company and/or (B) repurchases of Equity Interests in consideration of the payments described in clause (A), including demand repurchases in connection with the exercise of stock options; provided that, for purposes of this clause (r), Restricted Payments shall only be made to a Parent Company that owns no Equity Interests in any other Person other than the Borrower and its Subsidiaries;</w:t>
      </w:r>
    </w:p>
    <w:p>
      <w:pPr>
        <w:spacing w:after="0" w:line="149" w:lineRule="exact"/>
        <w:rPr>
          <w:rFonts w:ascii="Times New Roman" w:cs="Times New Roman" w:eastAsia="Times New Roman" w:hAnsi="Times New Roman"/>
          <w:sz w:val="21"/>
          <w:szCs w:val="21"/>
          <w:color w:val="auto"/>
        </w:rPr>
      </w:pPr>
    </w:p>
    <w:p>
      <w:pPr>
        <w:jc w:val="both"/>
        <w:ind w:firstLine="1278"/>
        <w:spacing w:after="0" w:line="219" w:lineRule="auto"/>
        <w:tabs>
          <w:tab w:leader="none" w:pos="1906" w:val="left"/>
        </w:tabs>
        <w:numPr>
          <w:ilvl w:val="1"/>
          <w:numId w:val="2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may make Restricted Payments the proceeds of which are applied (A) on or prior to the date that is 60 days after the Closing Date, solely to effect the consummation of the Transactions and (B) on or prior to the date that is 60 days after the Closing Date, to satisfy any payment obligations owing in connection with the Transactions (including, without limitation, (i) cash payments to holders of Equity Interests under any management equity plan, stock option plan or any other management or employee benefit plan or agreement of Old BRBR and (ii) Restricted Payments to holders of Equity Interests of Old BRBR (immediately prior to giving effect to the Transactions)) pursuant to the Transaction Agreement (as in effect on the Closing Date) and the Transaction Merger Consideration;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151</w:t>
      </w:r>
    </w:p>
    <w:p>
      <w:pPr>
        <w:sectPr>
          <w:pgSz w:w="11900" w:h="16838" w:orient="portrait"/>
          <w:cols w:equalWidth="0" w:num="1">
            <w:col w:w="11240"/>
          </w:cols>
          <w:pgMar w:left="320" w:top="1371" w:right="339" w:bottom="1440" w:gutter="0" w:footer="0" w:header="0"/>
        </w:sectPr>
      </w:pPr>
    </w:p>
    <w:bookmarkStart w:id="257" w:name="page258"/>
    <w:bookmarkEnd w:id="257"/>
    <w:p>
      <w:pPr>
        <w:jc w:val="both"/>
        <w:ind w:firstLine="1278"/>
        <w:spacing w:after="0" w:line="218" w:lineRule="auto"/>
        <w:tabs>
          <w:tab w:leader="none" w:pos="1896" w:val="left"/>
        </w:tabs>
        <w:numPr>
          <w:ilvl w:val="0"/>
          <w:numId w:val="2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constituting Restricted Payments, the Borrower or any Restricted Subsidiary may make payments (other than any Tax and Related Distributions) pursuant to the Formation Documents (as in effect on the date of this Agreement, or as amended, modified or restated from time to time in a manner not materially adverse to the interests of the Lenders), including, without limitation, all indemnity payments thereunder, all fees, costs and expenses thereunder, and all other payments and reimbursements owed thereunder, in each case whether currently due or paid in respect of accruals from prior periods, and with respect to any of the foregoing, may pay such amounts to or on behalf of any Parent Company, provided, however, that Restricted Payments made pursuant to Article IV of the Tax Receivable Agreement and made in reliance on this clause (t) shall not exceed $1,500,000 in the aggregate.</w:t>
      </w:r>
    </w:p>
    <w:p>
      <w:pPr>
        <w:spacing w:after="0" w:line="151"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7.07</w:t>
      </w:r>
      <w:r>
        <w:rPr>
          <w:sz w:val="20"/>
          <w:szCs w:val="20"/>
          <w:color w:val="auto"/>
        </w:rPr>
        <w:tab/>
      </w:r>
      <w:r>
        <w:rPr>
          <w:rFonts w:ascii="Times New Roman" w:cs="Times New Roman" w:eastAsia="Times New Roman" w:hAnsi="Times New Roman"/>
          <w:sz w:val="21"/>
          <w:szCs w:val="21"/>
          <w:i w:val="1"/>
          <w:iCs w:val="1"/>
          <w:color w:val="auto"/>
        </w:rPr>
        <w:t>Change in Nature of Business</w:t>
      </w:r>
    </w:p>
    <w:p>
      <w:pPr>
        <w:spacing w:after="0" w:line="211" w:lineRule="exact"/>
        <w:rPr>
          <w:sz w:val="20"/>
          <w:szCs w:val="20"/>
          <w:color w:val="auto"/>
        </w:rPr>
      </w:pPr>
    </w:p>
    <w:p>
      <w:pPr>
        <w:ind w:left="640" w:right="2740" w:firstLine="2"/>
        <w:spacing w:after="0" w:line="441" w:lineRule="auto"/>
        <w:tabs>
          <w:tab w:leader="none" w:pos="746" w:val="left"/>
        </w:tabs>
        <w:numPr>
          <w:ilvl w:val="0"/>
          <w:numId w:val="2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Engage in any material line of business substantially different from the Permitted Business. Section 7.08 </w:t>
      </w:r>
      <w:r>
        <w:rPr>
          <w:rFonts w:ascii="Times New Roman" w:cs="Times New Roman" w:eastAsia="Times New Roman" w:hAnsi="Times New Roman"/>
          <w:sz w:val="21"/>
          <w:szCs w:val="21"/>
          <w:i w:val="1"/>
          <w:iCs w:val="1"/>
          <w:color w:val="auto"/>
        </w:rPr>
        <w:t>Transactions with Affiliates</w:t>
      </w:r>
    </w:p>
    <w:p>
      <w:pPr>
        <w:jc w:val="both"/>
        <w:ind w:firstLine="642"/>
        <w:spacing w:after="0" w:line="258" w:lineRule="auto"/>
        <w:tabs>
          <w:tab w:leader="none" w:pos="742" w:val="left"/>
        </w:tabs>
        <w:numPr>
          <w:ilvl w:val="0"/>
          <w:numId w:val="2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Enter into any transaction of any kind involving, pursuant to any such transaction, payments in excess of the greater of (i) $</w:t>
      </w:r>
      <w:r>
        <w:rPr>
          <w:rFonts w:ascii="Times New Roman" w:cs="Times New Roman" w:eastAsia="Times New Roman" w:hAnsi="Times New Roman"/>
          <w:sz w:val="21"/>
          <w:szCs w:val="21"/>
          <w:b w:val="1"/>
          <w:bCs w:val="1"/>
          <w:color w:val="FF0000"/>
          <w:strike w:val="1"/>
        </w:rPr>
        <w:t>12,500,000</w:t>
      </w:r>
      <w:r>
        <w:rPr>
          <w:rFonts w:ascii="Times New Roman" w:cs="Times New Roman" w:eastAsia="Times New Roman" w:hAnsi="Times New Roman"/>
          <w:sz w:val="21"/>
          <w:szCs w:val="21"/>
          <w:b w:val="1"/>
          <w:bCs w:val="1"/>
          <w:u w:val="single" w:color="auto"/>
          <w:color w:val="0000FF"/>
        </w:rPr>
        <w:t>25,000,000</w:t>
      </w:r>
      <w:r>
        <w:rPr>
          <w:rFonts w:ascii="Times New Roman" w:cs="Times New Roman" w:eastAsia="Times New Roman" w:hAnsi="Times New Roman"/>
          <w:sz w:val="21"/>
          <w:szCs w:val="21"/>
          <w:color w:val="auto"/>
        </w:rPr>
        <w:t xml:space="preserve"> and (ii) 5.00% of Consolidated EBITDA based on the Most Recent Financial Statements in any Fiscal Year based on the Most Recent Financial Statements with any Affiliate of the Borrower, whether or not in the ordinary course of business, other than on fair and reasonable terms not materially less favorable to the Borrower or such Restricted Subsidiary than would be obtainable by the Borrower or such Restricted Subsidiary at the time in a comparable arm’s length transaction with a Person other than an Affiliate (or, if in the good faith judgment of the Borrower, no comparable transaction is available with which to compare such transaction, such transaction is otherwise fair to the Borrower or such Restricted Subsidiary from a financial point of view and when such transaction is taken in its entirety),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foregoing restriction shall not apply to:</w:t>
      </w:r>
    </w:p>
    <w:p>
      <w:pPr>
        <w:spacing w:after="0" w:line="143" w:lineRule="exact"/>
        <w:rPr>
          <w:rFonts w:ascii="Times New Roman" w:cs="Times New Roman" w:eastAsia="Times New Roman" w:hAnsi="Times New Roman"/>
          <w:sz w:val="21"/>
          <w:szCs w:val="21"/>
          <w:color w:val="auto"/>
        </w:rPr>
      </w:pPr>
    </w:p>
    <w:p>
      <w:pPr>
        <w:ind w:left="1920" w:hanging="642"/>
        <w:spacing w:after="0"/>
        <w:tabs>
          <w:tab w:leader="none" w:pos="1920" w:val="left"/>
        </w:tabs>
        <w:numPr>
          <w:ilvl w:val="1"/>
          <w:numId w:val="2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transactions between or among Loan Parties or between and among Restricted Subsidiaries that are not Loan</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Parties;</w:t>
      </w:r>
    </w:p>
    <w:p>
      <w:pPr>
        <w:spacing w:after="0" w:line="158" w:lineRule="exact"/>
        <w:rPr>
          <w:rFonts w:ascii="Times New Roman" w:cs="Times New Roman" w:eastAsia="Times New Roman" w:hAnsi="Times New Roman"/>
          <w:sz w:val="21"/>
          <w:szCs w:val="21"/>
          <w:color w:val="auto"/>
        </w:rPr>
      </w:pPr>
    </w:p>
    <w:p>
      <w:pPr>
        <w:ind w:left="1900" w:hanging="622"/>
        <w:spacing w:after="0"/>
        <w:tabs>
          <w:tab w:leader="none" w:pos="1900" w:val="left"/>
        </w:tabs>
        <w:numPr>
          <w:ilvl w:val="1"/>
          <w:numId w:val="2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Qualified Receivables Transactions otherwise permitted hereunder;</w:t>
      </w:r>
    </w:p>
    <w:p>
      <w:pPr>
        <w:spacing w:after="0" w:line="182" w:lineRule="exact"/>
        <w:rPr>
          <w:rFonts w:ascii="Times New Roman" w:cs="Times New Roman" w:eastAsia="Times New Roman" w:hAnsi="Times New Roman"/>
          <w:sz w:val="21"/>
          <w:szCs w:val="21"/>
          <w:color w:val="auto"/>
        </w:rPr>
      </w:pPr>
    </w:p>
    <w:p>
      <w:pPr>
        <w:jc w:val="both"/>
        <w:ind w:firstLine="1278"/>
        <w:spacing w:after="0" w:line="232" w:lineRule="auto"/>
        <w:tabs>
          <w:tab w:leader="none" w:pos="1905" w:val="left"/>
        </w:tabs>
        <w:numPr>
          <w:ilvl w:val="1"/>
          <w:numId w:val="2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payment of reasonable fees, expenses, indemnities, and compensation (including equity compensation) to and insurance provided on behalf of current, former and future officers, employees, managers, and directors of the Borrower or any of its Restricted Subsidiaries and indemnification agreements entered into by the Borrower or any of its Restricted Subsidiaries;</w:t>
      </w:r>
    </w:p>
    <w:p>
      <w:pPr>
        <w:spacing w:after="0" w:line="147" w:lineRule="exact"/>
        <w:rPr>
          <w:rFonts w:ascii="Times New Roman" w:cs="Times New Roman" w:eastAsia="Times New Roman" w:hAnsi="Times New Roman"/>
          <w:sz w:val="21"/>
          <w:szCs w:val="21"/>
          <w:color w:val="auto"/>
        </w:rPr>
      </w:pPr>
    </w:p>
    <w:p>
      <w:pPr>
        <w:ind w:firstLine="1278"/>
        <w:spacing w:after="0" w:line="245" w:lineRule="auto"/>
        <w:tabs>
          <w:tab w:leader="none" w:pos="1903" w:val="left"/>
        </w:tabs>
        <w:numPr>
          <w:ilvl w:val="1"/>
          <w:numId w:val="2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employment and severance arrangements with current, former and future officers and employees and transactions pursuant to stock option plans and employee benefit plans and arrangements in the ordinary course of business;</w:t>
      </w:r>
    </w:p>
    <w:p>
      <w:pPr>
        <w:spacing w:after="0" w:line="142" w:lineRule="exact"/>
        <w:rPr>
          <w:rFonts w:ascii="Times New Roman" w:cs="Times New Roman" w:eastAsia="Times New Roman" w:hAnsi="Times New Roman"/>
          <w:sz w:val="21"/>
          <w:szCs w:val="21"/>
          <w:color w:val="auto"/>
        </w:rPr>
      </w:pPr>
    </w:p>
    <w:p>
      <w:pPr>
        <w:ind w:firstLine="1278"/>
        <w:spacing w:after="0" w:line="245" w:lineRule="auto"/>
        <w:tabs>
          <w:tab w:leader="none" w:pos="1905" w:val="left"/>
        </w:tabs>
        <w:numPr>
          <w:ilvl w:val="1"/>
          <w:numId w:val="2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transactions pursuant to agreements in existence on the Closing Date and set forth on </w:t>
      </w:r>
      <w:r>
        <w:rPr>
          <w:rFonts w:ascii="Times New Roman" w:cs="Times New Roman" w:eastAsia="Times New Roman" w:hAnsi="Times New Roman"/>
          <w:sz w:val="21"/>
          <w:szCs w:val="21"/>
          <w:u w:val="single" w:color="auto"/>
          <w:color w:val="auto"/>
        </w:rPr>
        <w:t>Schedule 7.08</w:t>
      </w:r>
      <w:r>
        <w:rPr>
          <w:rFonts w:ascii="Times New Roman" w:cs="Times New Roman" w:eastAsia="Times New Roman" w:hAnsi="Times New Roman"/>
          <w:sz w:val="21"/>
          <w:szCs w:val="21"/>
          <w:color w:val="auto"/>
        </w:rPr>
        <w:t xml:space="preserve"> or any amendment thereto to the extent such an amendment is not adverse to the Lenders in any material respect;</w:t>
      </w:r>
    </w:p>
    <w:p>
      <w:pPr>
        <w:spacing w:after="0" w:line="142" w:lineRule="exact"/>
        <w:rPr>
          <w:rFonts w:ascii="Times New Roman" w:cs="Times New Roman" w:eastAsia="Times New Roman" w:hAnsi="Times New Roman"/>
          <w:sz w:val="21"/>
          <w:szCs w:val="21"/>
          <w:color w:val="auto"/>
        </w:rPr>
      </w:pPr>
    </w:p>
    <w:p>
      <w:pPr>
        <w:ind w:left="1920" w:hanging="642"/>
        <w:spacing w:after="0"/>
        <w:tabs>
          <w:tab w:leader="none" w:pos="1920" w:val="left"/>
        </w:tabs>
        <w:numPr>
          <w:ilvl w:val="1"/>
          <w:numId w:val="2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Restricted Payments made pursuant to </w:t>
      </w:r>
      <w:r>
        <w:rPr>
          <w:rFonts w:ascii="Times New Roman" w:cs="Times New Roman" w:eastAsia="Times New Roman" w:hAnsi="Times New Roman"/>
          <w:sz w:val="21"/>
          <w:szCs w:val="21"/>
          <w:u w:val="single" w:color="auto"/>
          <w:color w:val="auto"/>
        </w:rPr>
        <w:t>Section 7.06</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152</w:t>
      </w:r>
    </w:p>
    <w:p>
      <w:pPr>
        <w:sectPr>
          <w:pgSz w:w="11900" w:h="16838" w:orient="portrait"/>
          <w:cols w:equalWidth="0" w:num="1">
            <w:col w:w="11240"/>
          </w:cols>
          <w:pgMar w:left="320" w:top="1371" w:right="339" w:bottom="1440" w:gutter="0" w:footer="0" w:header="0"/>
        </w:sectPr>
      </w:pPr>
    </w:p>
    <w:bookmarkStart w:id="258" w:name="page259"/>
    <w:bookmarkEnd w:id="258"/>
    <w:p>
      <w:pPr>
        <w:jc w:val="both"/>
        <w:ind w:firstLine="1278"/>
        <w:spacing w:after="0" w:line="221" w:lineRule="auto"/>
        <w:tabs>
          <w:tab w:leader="none" w:pos="1903" w:val="left"/>
        </w:tabs>
        <w:numPr>
          <w:ilvl w:val="0"/>
          <w:numId w:val="2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transactions between or among Loan Parties and Restricted Subsidiaries who are not Loan Parties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any such transaction does not adversely impact the Collateral securing the Obligations or the guarantees of the Obligations, impair the rights of or benefits or remedies available to the Secured Parties under any Loan Document or result in (and are not reasonably expected to result in) a Material Adverse Effect;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during the continuance of an Event of Default, any amounts payable by a Loan Party to a Restricted Subsidiary that is not a Loan Party in connection with any such transactions shall be subordinated to the payment of the Obligations;</w:t>
      </w:r>
    </w:p>
    <w:p>
      <w:pPr>
        <w:spacing w:after="0" w:line="151" w:lineRule="exact"/>
        <w:rPr>
          <w:rFonts w:ascii="Times New Roman" w:cs="Times New Roman" w:eastAsia="Times New Roman" w:hAnsi="Times New Roman"/>
          <w:sz w:val="21"/>
          <w:szCs w:val="21"/>
          <w:color w:val="auto"/>
        </w:rPr>
      </w:pPr>
    </w:p>
    <w:p>
      <w:pPr>
        <w:ind w:left="1900" w:hanging="622"/>
        <w:spacing w:after="0"/>
        <w:tabs>
          <w:tab w:leader="none" w:pos="1900" w:val="left"/>
        </w:tabs>
        <w:numPr>
          <w:ilvl w:val="0"/>
          <w:numId w:val="2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pledge of Equity Interests of Unrestricted Subsidiaries;</w:t>
      </w:r>
    </w:p>
    <w:p>
      <w:pPr>
        <w:spacing w:after="0" w:line="182" w:lineRule="exact"/>
        <w:rPr>
          <w:rFonts w:ascii="Times New Roman" w:cs="Times New Roman" w:eastAsia="Times New Roman" w:hAnsi="Times New Roman"/>
          <w:sz w:val="21"/>
          <w:szCs w:val="21"/>
          <w:color w:val="auto"/>
        </w:rPr>
      </w:pPr>
    </w:p>
    <w:p>
      <w:pPr>
        <w:jc w:val="both"/>
        <w:ind w:firstLine="1278"/>
        <w:spacing w:after="0" w:line="232" w:lineRule="auto"/>
        <w:tabs>
          <w:tab w:leader="none" w:pos="1896" w:val="left"/>
        </w:tabs>
        <w:numPr>
          <w:ilvl w:val="0"/>
          <w:numId w:val="2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issuance, sale or grant of securities or other payments, awards or grants in cash, securities or otherwise pursuant to, or the funding of, employment arrangements, stock options and stock ownership plans approved by the board of directors (or equivalent governing body) of the Borrower or any Restricted Subsidiary;</w:t>
      </w:r>
    </w:p>
    <w:p>
      <w:pPr>
        <w:spacing w:after="0" w:line="147" w:lineRule="exact"/>
        <w:rPr>
          <w:rFonts w:ascii="Times New Roman" w:cs="Times New Roman" w:eastAsia="Times New Roman" w:hAnsi="Times New Roman"/>
          <w:sz w:val="21"/>
          <w:szCs w:val="21"/>
          <w:color w:val="auto"/>
        </w:rPr>
      </w:pPr>
    </w:p>
    <w:p>
      <w:pPr>
        <w:jc w:val="both"/>
        <w:ind w:firstLine="1278"/>
        <w:spacing w:after="0" w:line="218" w:lineRule="auto"/>
        <w:tabs>
          <w:tab w:leader="none" w:pos="1896" w:val="left"/>
        </w:tabs>
        <w:numPr>
          <w:ilvl w:val="0"/>
          <w:numId w:val="2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any collective bargaining agreements, employment agreements or arrangements, severance agreements or compensatory (including profit sharing) arrangements entered into by the Borrower or any of its Restricted Subsidiaries with their respective current or former officers, directors, members of management, managers, employees, consultants or independent contractors or those of any Parent Company, (ii) any subscription agreement or similar agreement pertaining to the repurchase of Equity Interests pursuant to put/call rights or similar rights with current or former officers, directors, members of management, managers, employees, consultants or independent contractors and (iii) transactions pursuant to any employee compensation arrangement, benefit plan, stock option plan or arrangement, or any health, disability or similar insurance plan which covers current or former officers, directors, members of management, employees, consultants or independent contractors;</w:t>
      </w:r>
    </w:p>
    <w:p>
      <w:pPr>
        <w:spacing w:after="0" w:line="147" w:lineRule="exact"/>
        <w:rPr>
          <w:rFonts w:ascii="Times New Roman" w:cs="Times New Roman" w:eastAsia="Times New Roman" w:hAnsi="Times New Roman"/>
          <w:sz w:val="21"/>
          <w:szCs w:val="21"/>
          <w:color w:val="auto"/>
        </w:rPr>
      </w:pPr>
    </w:p>
    <w:p>
      <w:pPr>
        <w:ind w:left="1900" w:hanging="622"/>
        <w:spacing w:after="0"/>
        <w:tabs>
          <w:tab w:leader="none" w:pos="1900" w:val="left"/>
        </w:tabs>
        <w:numPr>
          <w:ilvl w:val="0"/>
          <w:numId w:val="2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Transactions, including the payment of any fees, costs, expenses, indemnity or similar obligations with</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respect thereto;</w:t>
      </w:r>
    </w:p>
    <w:p>
      <w:pPr>
        <w:spacing w:after="0" w:line="158" w:lineRule="exact"/>
        <w:rPr>
          <w:rFonts w:ascii="Times New Roman" w:cs="Times New Roman" w:eastAsia="Times New Roman" w:hAnsi="Times New Roman"/>
          <w:sz w:val="21"/>
          <w:szCs w:val="21"/>
          <w:color w:val="auto"/>
        </w:rPr>
      </w:pPr>
    </w:p>
    <w:p>
      <w:pPr>
        <w:ind w:left="1900" w:hanging="622"/>
        <w:spacing w:after="0"/>
        <w:tabs>
          <w:tab w:leader="none" w:pos="1900" w:val="left"/>
        </w:tabs>
        <w:numPr>
          <w:ilvl w:val="0"/>
          <w:numId w:val="2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Guarantees permitted by this Agreement;</w:t>
      </w:r>
    </w:p>
    <w:p>
      <w:pPr>
        <w:spacing w:after="0" w:line="182" w:lineRule="exact"/>
        <w:rPr>
          <w:rFonts w:ascii="Times New Roman" w:cs="Times New Roman" w:eastAsia="Times New Roman" w:hAnsi="Times New Roman"/>
          <w:sz w:val="21"/>
          <w:szCs w:val="21"/>
          <w:color w:val="auto"/>
        </w:rPr>
      </w:pPr>
    </w:p>
    <w:p>
      <w:pPr>
        <w:ind w:firstLine="1278"/>
        <w:spacing w:after="0" w:line="245" w:lineRule="auto"/>
        <w:tabs>
          <w:tab w:leader="none" w:pos="1896" w:val="left"/>
        </w:tabs>
        <w:numPr>
          <w:ilvl w:val="0"/>
          <w:numId w:val="2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non-exclusive Licenses or sublicenses of IP Rights in the ordinary course of business with Post or any of its Subsidiaries or any of the Borrower’s Subsidiaries; and</w:t>
      </w:r>
    </w:p>
    <w:p>
      <w:pPr>
        <w:spacing w:after="0" w:line="142" w:lineRule="exact"/>
        <w:rPr>
          <w:rFonts w:ascii="Times New Roman" w:cs="Times New Roman" w:eastAsia="Times New Roman" w:hAnsi="Times New Roman"/>
          <w:sz w:val="21"/>
          <w:szCs w:val="21"/>
          <w:color w:val="auto"/>
        </w:rPr>
      </w:pPr>
    </w:p>
    <w:p>
      <w:pPr>
        <w:jc w:val="both"/>
        <w:ind w:firstLine="1278"/>
        <w:spacing w:after="0" w:line="226" w:lineRule="auto"/>
        <w:tabs>
          <w:tab w:leader="none" w:pos="1903" w:val="left"/>
        </w:tabs>
        <w:numPr>
          <w:ilvl w:val="0"/>
          <w:numId w:val="2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transactions pursuant to the Formation Documents (as in effect on the date of this Agreement, or as amended, modified or restated from time to time in a manner not materially adverse to the interests of the Lenders);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the payments made pursuant to Article IV of the Tax Receivables Agreement and made in reliance on this clause (n) shall not exceed $1,500,000 in the aggregate.</w:t>
      </w:r>
    </w:p>
    <w:p>
      <w:pPr>
        <w:spacing w:after="0" w:line="148"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7.09</w:t>
      </w:r>
      <w:r>
        <w:rPr>
          <w:sz w:val="20"/>
          <w:szCs w:val="20"/>
          <w:color w:val="auto"/>
        </w:rPr>
        <w:tab/>
      </w:r>
      <w:r>
        <w:rPr>
          <w:rFonts w:ascii="Times New Roman" w:cs="Times New Roman" w:eastAsia="Times New Roman" w:hAnsi="Times New Roman"/>
          <w:sz w:val="20"/>
          <w:szCs w:val="20"/>
          <w:i w:val="1"/>
          <w:iCs w:val="1"/>
          <w:color w:val="auto"/>
        </w:rPr>
        <w:t>Restrictive Agreements</w:t>
      </w:r>
    </w:p>
    <w:p>
      <w:pPr>
        <w:spacing w:after="0" w:line="211" w:lineRule="exact"/>
        <w:rPr>
          <w:sz w:val="20"/>
          <w:szCs w:val="20"/>
          <w:color w:val="auto"/>
        </w:rPr>
      </w:pPr>
    </w:p>
    <w:p>
      <w:pPr>
        <w:jc w:val="both"/>
        <w:ind w:firstLine="642"/>
        <w:spacing w:after="0" w:line="259" w:lineRule="auto"/>
        <w:tabs>
          <w:tab w:leader="none" w:pos="742" w:val="left"/>
        </w:tabs>
        <w:numPr>
          <w:ilvl w:val="0"/>
          <w:numId w:val="2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Enter into any Contractual Obligation (other than this Agreement or any other Loan Document) that limits the ability (i) of any Restricted Subsidiary to make Restricted Payments to the Borrower or any Guarantor or to otherwise transfer property to the Borrower or any Guarantor, (ii) of any Restricted Subsidiary to Guarantee the Indebtedness of the Borrower hereunder or (iii) of the Borrower or any Restricted Subsidiary to create, incur, assume or suffer to exist Liens on property of such Person to secure the Obligations;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w:t>
      </w:r>
      <w:r>
        <w:rPr>
          <w:rFonts w:ascii="Times New Roman" w:cs="Times New Roman" w:eastAsia="Times New Roman" w:hAnsi="Times New Roman"/>
          <w:sz w:val="21"/>
          <w:szCs w:val="21"/>
          <w:u w:val="single" w:color="auto"/>
          <w:color w:val="auto"/>
        </w:rPr>
        <w:t>clauses (i)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(iii)</w:t>
      </w:r>
      <w:r>
        <w:rPr>
          <w:rFonts w:ascii="Times New Roman" w:cs="Times New Roman" w:eastAsia="Times New Roman" w:hAnsi="Times New Roman"/>
          <w:sz w:val="21"/>
          <w:szCs w:val="21"/>
          <w:color w:val="auto"/>
        </w:rPr>
        <w:t xml:space="preserve"> shall not prohibit any negative pledge or similar provision, or restriction on transfer of property, incurred or provided in favor of any holder of Indebtedness permitted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153</w:t>
      </w:r>
    </w:p>
    <w:p>
      <w:pPr>
        <w:sectPr>
          <w:pgSz w:w="11900" w:h="16838" w:orient="portrait"/>
          <w:cols w:equalWidth="0" w:num="1">
            <w:col w:w="11240"/>
          </w:cols>
          <w:pgMar w:left="320" w:top="1369" w:right="339" w:bottom="1440" w:gutter="0" w:footer="0" w:header="0"/>
        </w:sectPr>
      </w:pPr>
    </w:p>
    <w:bookmarkStart w:id="259" w:name="page260"/>
    <w:bookmarkEnd w:id="259"/>
    <w:p>
      <w:pPr>
        <w:jc w:val="both"/>
        <w:spacing w:after="0" w:line="267" w:lineRule="auto"/>
        <w:rPr>
          <w:sz w:val="20"/>
          <w:szCs w:val="20"/>
          <w:color w:val="auto"/>
        </w:rPr>
      </w:pPr>
      <w:r>
        <w:rPr>
          <w:rFonts w:ascii="Times New Roman" w:cs="Times New Roman" w:eastAsia="Times New Roman" w:hAnsi="Times New Roman"/>
          <w:sz w:val="21"/>
          <w:szCs w:val="21"/>
          <w:u w:val="single" w:color="auto"/>
          <w:color w:val="auto"/>
        </w:rPr>
        <w:t>Section 7.03(e)</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7.15</w:t>
      </w:r>
      <w:r>
        <w:rPr>
          <w:rFonts w:ascii="Times New Roman" w:cs="Times New Roman" w:eastAsia="Times New Roman" w:hAnsi="Times New Roman"/>
          <w:sz w:val="21"/>
          <w:szCs w:val="21"/>
          <w:color w:val="auto"/>
        </w:rPr>
        <w:t xml:space="preserve"> solely to the extent any such negative pledge relates to the property financed by or the subject of such Indebtedness or transaction or any other property securing any other Indebtedness permitted under </w:t>
      </w:r>
      <w:r>
        <w:rPr>
          <w:rFonts w:ascii="Times New Roman" w:cs="Times New Roman" w:eastAsia="Times New Roman" w:hAnsi="Times New Roman"/>
          <w:sz w:val="21"/>
          <w:szCs w:val="21"/>
          <w:u w:val="single" w:color="auto"/>
          <w:color w:val="auto"/>
        </w:rPr>
        <w:t>Section 7.03(e)</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7.15</w:t>
      </w:r>
      <w:r>
        <w:rPr>
          <w:rFonts w:ascii="Times New Roman" w:cs="Times New Roman" w:eastAsia="Times New Roman" w:hAnsi="Times New Roman"/>
          <w:sz w:val="21"/>
          <w:szCs w:val="21"/>
          <w:color w:val="auto"/>
        </w:rPr>
        <w:t xml:space="preserve"> to the extent permitted thereunder. Notwithstanding the foregoing, this </w:t>
      </w:r>
      <w:r>
        <w:rPr>
          <w:rFonts w:ascii="Times New Roman" w:cs="Times New Roman" w:eastAsia="Times New Roman" w:hAnsi="Times New Roman"/>
          <w:sz w:val="21"/>
          <w:szCs w:val="21"/>
          <w:u w:val="single" w:color="auto"/>
          <w:color w:val="auto"/>
        </w:rPr>
        <w:t>Section 7.09</w:t>
      </w:r>
      <w:r>
        <w:rPr>
          <w:rFonts w:ascii="Times New Roman" w:cs="Times New Roman" w:eastAsia="Times New Roman" w:hAnsi="Times New Roman"/>
          <w:sz w:val="21"/>
          <w:szCs w:val="21"/>
          <w:color w:val="auto"/>
        </w:rPr>
        <w:t xml:space="preserve"> will not restrict or prohibit:</w:t>
      </w:r>
    </w:p>
    <w:p>
      <w:pPr>
        <w:spacing w:after="0" w:line="148" w:lineRule="exact"/>
        <w:rPr>
          <w:sz w:val="20"/>
          <w:szCs w:val="20"/>
          <w:color w:val="auto"/>
        </w:rPr>
      </w:pPr>
    </w:p>
    <w:p>
      <w:pPr>
        <w:jc w:val="both"/>
        <w:ind w:firstLine="1278"/>
        <w:spacing w:after="0" w:line="232" w:lineRule="auto"/>
        <w:tabs>
          <w:tab w:leader="none" w:pos="1905" w:val="left"/>
        </w:tabs>
        <w:numPr>
          <w:ilvl w:val="1"/>
          <w:numId w:val="2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the extent constituting a limitation described in </w:t>
      </w:r>
      <w:r>
        <w:rPr>
          <w:rFonts w:ascii="Times New Roman" w:cs="Times New Roman" w:eastAsia="Times New Roman" w:hAnsi="Times New Roman"/>
          <w:sz w:val="21"/>
          <w:szCs w:val="21"/>
          <w:u w:val="single" w:color="auto"/>
          <w:color w:val="auto"/>
        </w:rPr>
        <w:t>Section 7.09(i)</w:t>
      </w:r>
      <w:r>
        <w:rPr>
          <w:rFonts w:ascii="Times New Roman" w:cs="Times New Roman" w:eastAsia="Times New Roman" w:hAnsi="Times New Roman"/>
          <w:sz w:val="21"/>
          <w:szCs w:val="21"/>
          <w:color w:val="auto"/>
        </w:rPr>
        <w:t xml:space="preserve"> above, restrictions imposed pursuant to an agreement that has been entered into in connection with a transaction permitted pursuant to </w:t>
      </w:r>
      <w:r>
        <w:rPr>
          <w:rFonts w:ascii="Times New Roman" w:cs="Times New Roman" w:eastAsia="Times New Roman" w:hAnsi="Times New Roman"/>
          <w:sz w:val="21"/>
          <w:szCs w:val="21"/>
          <w:u w:val="single" w:color="auto"/>
          <w:color w:val="auto"/>
        </w:rPr>
        <w:t>Section 7.05</w:t>
      </w:r>
      <w:r>
        <w:rPr>
          <w:rFonts w:ascii="Times New Roman" w:cs="Times New Roman" w:eastAsia="Times New Roman" w:hAnsi="Times New Roman"/>
          <w:sz w:val="21"/>
          <w:szCs w:val="21"/>
          <w:color w:val="auto"/>
        </w:rPr>
        <w:t xml:space="preserve"> with respect to the property that is subject to that transaction;</w:t>
      </w:r>
    </w:p>
    <w:p>
      <w:pPr>
        <w:spacing w:after="0" w:line="147" w:lineRule="exact"/>
        <w:rPr>
          <w:rFonts w:ascii="Times New Roman" w:cs="Times New Roman" w:eastAsia="Times New Roman" w:hAnsi="Times New Roman"/>
          <w:sz w:val="21"/>
          <w:szCs w:val="21"/>
          <w:color w:val="auto"/>
        </w:rPr>
      </w:pPr>
    </w:p>
    <w:p>
      <w:pPr>
        <w:jc w:val="both"/>
        <w:ind w:firstLine="1278"/>
        <w:spacing w:after="0" w:line="232" w:lineRule="auto"/>
        <w:tabs>
          <w:tab w:leader="none" w:pos="1903" w:val="left"/>
        </w:tabs>
        <w:numPr>
          <w:ilvl w:val="1"/>
          <w:numId w:val="2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restrictions imposed by any agreement relating to secured Indebtedness permitted pursuant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7.03(b)</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(d)</w:t>
      </w:r>
      <w:r>
        <w:rPr>
          <w:rFonts w:ascii="Times New Roman" w:cs="Times New Roman" w:eastAsia="Times New Roman" w:hAnsi="Times New Roman"/>
          <w:sz w:val="21"/>
          <w:szCs w:val="21"/>
          <w:color w:val="auto"/>
        </w:rPr>
        <w:t xml:space="preserve"> (to the extent secured under </w:t>
      </w:r>
      <w:r>
        <w:rPr>
          <w:rFonts w:ascii="Times New Roman" w:cs="Times New Roman" w:eastAsia="Times New Roman" w:hAnsi="Times New Roman"/>
          <w:sz w:val="21"/>
          <w:szCs w:val="21"/>
          <w:u w:val="single" w:color="auto"/>
          <w:color w:val="auto"/>
        </w:rPr>
        <w:t>Section 7.01(x)</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(j), (k)</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(t)</w:t>
      </w:r>
      <w:r>
        <w:rPr>
          <w:rFonts w:ascii="Times New Roman" w:cs="Times New Roman" w:eastAsia="Times New Roman" w:hAnsi="Times New Roman"/>
          <w:sz w:val="21"/>
          <w:szCs w:val="21"/>
          <w:color w:val="auto"/>
        </w:rPr>
        <w:t xml:space="preserve">, in each case in respect of the limitation described in </w:t>
      </w:r>
      <w:r>
        <w:rPr>
          <w:rFonts w:ascii="Times New Roman" w:cs="Times New Roman" w:eastAsia="Times New Roman" w:hAnsi="Times New Roman"/>
          <w:sz w:val="21"/>
          <w:szCs w:val="21"/>
          <w:u w:val="single" w:color="auto"/>
          <w:color w:val="auto"/>
        </w:rPr>
        <w:t>Section 7.09(iii)</w:t>
      </w:r>
      <w:r>
        <w:rPr>
          <w:rFonts w:ascii="Times New Roman" w:cs="Times New Roman" w:eastAsia="Times New Roman" w:hAnsi="Times New Roman"/>
          <w:sz w:val="21"/>
          <w:szCs w:val="21"/>
          <w:color w:val="auto"/>
        </w:rPr>
        <w:t xml:space="preserve"> to the extent that such restrictions apply only to the property or assets securing such Indebtedness;</w:t>
      </w:r>
    </w:p>
    <w:p>
      <w:pPr>
        <w:spacing w:after="0" w:line="147" w:lineRule="exact"/>
        <w:rPr>
          <w:rFonts w:ascii="Times New Roman" w:cs="Times New Roman" w:eastAsia="Times New Roman" w:hAnsi="Times New Roman"/>
          <w:sz w:val="21"/>
          <w:szCs w:val="21"/>
          <w:color w:val="auto"/>
        </w:rPr>
      </w:pPr>
    </w:p>
    <w:p>
      <w:pPr>
        <w:ind w:left="1920" w:hanging="642"/>
        <w:spacing w:after="0"/>
        <w:tabs>
          <w:tab w:leader="none" w:pos="1920" w:val="left"/>
        </w:tabs>
        <w:numPr>
          <w:ilvl w:val="1"/>
          <w:numId w:val="2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provisions restricting subletting or assignment of Contractual Obligations;</w:t>
      </w:r>
    </w:p>
    <w:p>
      <w:pPr>
        <w:spacing w:after="0" w:line="182" w:lineRule="exact"/>
        <w:rPr>
          <w:rFonts w:ascii="Times New Roman" w:cs="Times New Roman" w:eastAsia="Times New Roman" w:hAnsi="Times New Roman"/>
          <w:sz w:val="21"/>
          <w:szCs w:val="21"/>
          <w:color w:val="auto"/>
        </w:rPr>
      </w:pPr>
    </w:p>
    <w:p>
      <w:pPr>
        <w:jc w:val="both"/>
        <w:ind w:firstLine="1278"/>
        <w:spacing w:after="0" w:line="226" w:lineRule="auto"/>
        <w:tabs>
          <w:tab w:leader="none" w:pos="1903" w:val="left"/>
        </w:tabs>
        <w:numPr>
          <w:ilvl w:val="1"/>
          <w:numId w:val="2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the extent constituting a limitation described in </w:t>
      </w:r>
      <w:r>
        <w:rPr>
          <w:rFonts w:ascii="Times New Roman" w:cs="Times New Roman" w:eastAsia="Times New Roman" w:hAnsi="Times New Roman"/>
          <w:sz w:val="21"/>
          <w:szCs w:val="21"/>
          <w:u w:val="single" w:color="auto"/>
          <w:color w:val="auto"/>
        </w:rPr>
        <w:t>Section 7.09(i)</w:t>
      </w:r>
      <w:r>
        <w:rPr>
          <w:rFonts w:ascii="Times New Roman" w:cs="Times New Roman" w:eastAsia="Times New Roman" w:hAnsi="Times New Roman"/>
          <w:sz w:val="21"/>
          <w:szCs w:val="21"/>
          <w:color w:val="auto"/>
        </w:rPr>
        <w:t xml:space="preserve"> above, restrictions contained in Indebtedness permitted under (x) </w:t>
      </w:r>
      <w:r>
        <w:rPr>
          <w:rFonts w:ascii="Times New Roman" w:cs="Times New Roman" w:eastAsia="Times New Roman" w:hAnsi="Times New Roman"/>
          <w:sz w:val="21"/>
          <w:szCs w:val="21"/>
          <w:u w:val="single" w:color="auto"/>
          <w:color w:val="auto"/>
        </w:rPr>
        <w:t>Section 7.03(g)</w:t>
      </w:r>
      <w:r>
        <w:rPr>
          <w:rFonts w:ascii="Times New Roman" w:cs="Times New Roman" w:eastAsia="Times New Roman" w:hAnsi="Times New Roman"/>
          <w:sz w:val="21"/>
          <w:szCs w:val="21"/>
          <w:color w:val="auto"/>
        </w:rPr>
        <w:t xml:space="preserve"> or (y) </w:t>
      </w:r>
      <w:r>
        <w:rPr>
          <w:rFonts w:ascii="Times New Roman" w:cs="Times New Roman" w:eastAsia="Times New Roman" w:hAnsi="Times New Roman"/>
          <w:sz w:val="21"/>
          <w:szCs w:val="21"/>
          <w:u w:val="single" w:color="auto"/>
          <w:color w:val="auto"/>
        </w:rPr>
        <w:t>Sections 7.03(i), (s)</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(t)</w:t>
      </w:r>
      <w:r>
        <w:rPr>
          <w:rFonts w:ascii="Times New Roman" w:cs="Times New Roman" w:eastAsia="Times New Roman" w:hAnsi="Times New Roman"/>
          <w:sz w:val="21"/>
          <w:szCs w:val="21"/>
          <w:color w:val="auto"/>
        </w:rPr>
        <w:t xml:space="preserve">, in the case of this </w:t>
      </w:r>
      <w:r>
        <w:rPr>
          <w:rFonts w:ascii="Times New Roman" w:cs="Times New Roman" w:eastAsia="Times New Roman" w:hAnsi="Times New Roman"/>
          <w:sz w:val="21"/>
          <w:szCs w:val="21"/>
          <w:u w:val="single" w:color="auto"/>
          <w:color w:val="auto"/>
        </w:rPr>
        <w:t>clause (y)</w:t>
      </w:r>
      <w:r>
        <w:rPr>
          <w:rFonts w:ascii="Times New Roman" w:cs="Times New Roman" w:eastAsia="Times New Roman" w:hAnsi="Times New Roman"/>
          <w:sz w:val="21"/>
          <w:szCs w:val="21"/>
          <w:color w:val="auto"/>
        </w:rPr>
        <w:t xml:space="preserve"> so long as such restrictions are no more restrictive, taken as a whole, to the Borrower and its Restricted Subsidiaries than the restrictions or covenants contained in this Agreement;</w:t>
      </w:r>
    </w:p>
    <w:p>
      <w:pPr>
        <w:spacing w:after="0" w:line="150" w:lineRule="exact"/>
        <w:rPr>
          <w:rFonts w:ascii="Times New Roman" w:cs="Times New Roman" w:eastAsia="Times New Roman" w:hAnsi="Times New Roman"/>
          <w:sz w:val="21"/>
          <w:szCs w:val="21"/>
          <w:color w:val="auto"/>
        </w:rPr>
      </w:pPr>
    </w:p>
    <w:p>
      <w:pPr>
        <w:jc w:val="both"/>
        <w:ind w:firstLine="1278"/>
        <w:spacing w:after="0" w:line="232" w:lineRule="auto"/>
        <w:tabs>
          <w:tab w:leader="none" w:pos="1905" w:val="left"/>
        </w:tabs>
        <w:numPr>
          <w:ilvl w:val="1"/>
          <w:numId w:val="2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the extent constituting a limitation described in </w:t>
      </w:r>
      <w:r>
        <w:rPr>
          <w:rFonts w:ascii="Times New Roman" w:cs="Times New Roman" w:eastAsia="Times New Roman" w:hAnsi="Times New Roman"/>
          <w:sz w:val="21"/>
          <w:szCs w:val="21"/>
          <w:u w:val="single" w:color="auto"/>
          <w:color w:val="auto"/>
        </w:rPr>
        <w:t>Section 7.09(i)</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7.09(ii)</w:t>
      </w:r>
      <w:r>
        <w:rPr>
          <w:rFonts w:ascii="Times New Roman" w:cs="Times New Roman" w:eastAsia="Times New Roman" w:hAnsi="Times New Roman"/>
          <w:sz w:val="21"/>
          <w:szCs w:val="21"/>
          <w:color w:val="auto"/>
        </w:rPr>
        <w:t xml:space="preserve"> above, provisions with respect to the disposition or distribution of assets or property in joint venture agreements and other similar agreements entered into by the Borrower and its Restricted Subsidiaries in the ordinary course of business;</w:t>
      </w:r>
    </w:p>
    <w:p>
      <w:pPr>
        <w:spacing w:after="0" w:line="147" w:lineRule="exact"/>
        <w:rPr>
          <w:rFonts w:ascii="Times New Roman" w:cs="Times New Roman" w:eastAsia="Times New Roman" w:hAnsi="Times New Roman"/>
          <w:sz w:val="21"/>
          <w:szCs w:val="21"/>
          <w:color w:val="auto"/>
        </w:rPr>
      </w:pPr>
    </w:p>
    <w:p>
      <w:pPr>
        <w:ind w:right="20" w:firstLine="1278"/>
        <w:spacing w:after="0" w:line="245" w:lineRule="auto"/>
        <w:tabs>
          <w:tab w:leader="none" w:pos="1908" w:val="left"/>
        </w:tabs>
        <w:numPr>
          <w:ilvl w:val="1"/>
          <w:numId w:val="2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the extent constituting the limitation described in </w:t>
      </w:r>
      <w:r>
        <w:rPr>
          <w:rFonts w:ascii="Times New Roman" w:cs="Times New Roman" w:eastAsia="Times New Roman" w:hAnsi="Times New Roman"/>
          <w:sz w:val="21"/>
          <w:szCs w:val="21"/>
          <w:u w:val="single" w:color="auto"/>
          <w:color w:val="auto"/>
        </w:rPr>
        <w:t>Section 7.09(i)</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7.09(ii)</w:t>
      </w:r>
      <w:r>
        <w:rPr>
          <w:rFonts w:ascii="Times New Roman" w:cs="Times New Roman" w:eastAsia="Times New Roman" w:hAnsi="Times New Roman"/>
          <w:sz w:val="21"/>
          <w:szCs w:val="21"/>
          <w:color w:val="auto"/>
        </w:rPr>
        <w:t xml:space="preserve"> above, customary restrictions on a Receivables Subsidiary and Receivables Program Assets effected in connection with a Qualified Receivables Transaction;</w:t>
      </w:r>
    </w:p>
    <w:p>
      <w:pPr>
        <w:spacing w:after="0" w:line="142" w:lineRule="exact"/>
        <w:rPr>
          <w:rFonts w:ascii="Times New Roman" w:cs="Times New Roman" w:eastAsia="Times New Roman" w:hAnsi="Times New Roman"/>
          <w:sz w:val="21"/>
          <w:szCs w:val="21"/>
          <w:color w:val="auto"/>
        </w:rPr>
      </w:pPr>
    </w:p>
    <w:p>
      <w:pPr>
        <w:jc w:val="both"/>
        <w:ind w:firstLine="1278"/>
        <w:spacing w:after="0" w:line="232" w:lineRule="auto"/>
        <w:tabs>
          <w:tab w:leader="none" w:pos="1903" w:val="left"/>
        </w:tabs>
        <w:numPr>
          <w:ilvl w:val="1"/>
          <w:numId w:val="2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the extent constituting a limitation described in </w:t>
      </w:r>
      <w:r>
        <w:rPr>
          <w:rFonts w:ascii="Times New Roman" w:cs="Times New Roman" w:eastAsia="Times New Roman" w:hAnsi="Times New Roman"/>
          <w:sz w:val="21"/>
          <w:szCs w:val="21"/>
          <w:u w:val="single" w:color="auto"/>
          <w:color w:val="auto"/>
        </w:rPr>
        <w:t>Section 7.09(i)</w:t>
      </w:r>
      <w:r>
        <w:rPr>
          <w:rFonts w:ascii="Times New Roman" w:cs="Times New Roman" w:eastAsia="Times New Roman" w:hAnsi="Times New Roman"/>
          <w:sz w:val="21"/>
          <w:szCs w:val="21"/>
          <w:color w:val="auto"/>
        </w:rPr>
        <w:t xml:space="preserve"> above, restrictions on cash or other deposits or net worth imposed by customers on the Borrower and its Restricted Subsidiaries under contracts entered into in the ordinary course of business;</w:t>
      </w:r>
    </w:p>
    <w:p>
      <w:pPr>
        <w:spacing w:after="0" w:line="147" w:lineRule="exact"/>
        <w:rPr>
          <w:rFonts w:ascii="Times New Roman" w:cs="Times New Roman" w:eastAsia="Times New Roman" w:hAnsi="Times New Roman"/>
          <w:sz w:val="21"/>
          <w:szCs w:val="21"/>
          <w:color w:val="auto"/>
        </w:rPr>
      </w:pPr>
    </w:p>
    <w:p>
      <w:pPr>
        <w:jc w:val="both"/>
        <w:ind w:firstLine="1278"/>
        <w:spacing w:after="0" w:line="226" w:lineRule="auto"/>
        <w:tabs>
          <w:tab w:leader="none" w:pos="1903" w:val="left"/>
        </w:tabs>
        <w:numPr>
          <w:ilvl w:val="1"/>
          <w:numId w:val="2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the extent constituting a limitation described in </w:t>
      </w:r>
      <w:r>
        <w:rPr>
          <w:rFonts w:ascii="Times New Roman" w:cs="Times New Roman" w:eastAsia="Times New Roman" w:hAnsi="Times New Roman"/>
          <w:sz w:val="21"/>
          <w:szCs w:val="21"/>
          <w:u w:val="single" w:color="auto"/>
          <w:color w:val="auto"/>
        </w:rPr>
        <w:t>Section 7.09(i)</w:t>
      </w:r>
      <w:r>
        <w:rPr>
          <w:rFonts w:ascii="Times New Roman" w:cs="Times New Roman" w:eastAsia="Times New Roman" w:hAnsi="Times New Roman"/>
          <w:sz w:val="21"/>
          <w:szCs w:val="21"/>
          <w:color w:val="auto"/>
        </w:rPr>
        <w:t xml:space="preserve"> above, encumbrances or restrictions arising or agreed to in the ordinary course of business, not relating to any Indebtedness, and that do not, individually or in the aggregate, detract from the value of property or assets of the Borrower or any of its Restricted Subsidiaries in any manner material to the Borrower or any of its Restricted Subsidiaries;</w:t>
      </w:r>
    </w:p>
    <w:p>
      <w:pPr>
        <w:spacing w:after="0" w:line="150" w:lineRule="exact"/>
        <w:rPr>
          <w:rFonts w:ascii="Times New Roman" w:cs="Times New Roman" w:eastAsia="Times New Roman" w:hAnsi="Times New Roman"/>
          <w:sz w:val="21"/>
          <w:szCs w:val="21"/>
          <w:color w:val="auto"/>
        </w:rPr>
      </w:pPr>
    </w:p>
    <w:p>
      <w:pPr>
        <w:jc w:val="both"/>
        <w:ind w:firstLine="1278"/>
        <w:spacing w:after="0" w:line="218" w:lineRule="auto"/>
        <w:tabs>
          <w:tab w:leader="none" w:pos="1896" w:val="left"/>
        </w:tabs>
        <w:numPr>
          <w:ilvl w:val="1"/>
          <w:numId w:val="2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(x) to the extent constituting a limitation described in </w:t>
      </w:r>
      <w:r>
        <w:rPr>
          <w:rFonts w:ascii="Times New Roman" w:cs="Times New Roman" w:eastAsia="Times New Roman" w:hAnsi="Times New Roman"/>
          <w:sz w:val="21"/>
          <w:szCs w:val="21"/>
          <w:u w:val="single" w:color="auto"/>
          <w:color w:val="auto"/>
        </w:rPr>
        <w:t>Section 7.09(i)</w:t>
      </w:r>
      <w:r>
        <w:rPr>
          <w:rFonts w:ascii="Times New Roman" w:cs="Times New Roman" w:eastAsia="Times New Roman" w:hAnsi="Times New Roman"/>
          <w:sz w:val="21"/>
          <w:szCs w:val="21"/>
          <w:color w:val="auto"/>
        </w:rPr>
        <w:t xml:space="preserve"> above, encumbrances or restrictions existing under, by reason of or with respect to customary provisions contained in leases, licenses of intellectual property and other agreements, in each case, entered into by the Borrower or any of its Restricted Subsidiaries in the ordinary course of business and</w:t>
      </w:r>
    </w:p>
    <w:p>
      <w:pPr>
        <w:spacing w:after="0" w:line="1" w:lineRule="exact"/>
        <w:rPr>
          <w:rFonts w:ascii="Times New Roman" w:cs="Times New Roman" w:eastAsia="Times New Roman" w:hAnsi="Times New Roman"/>
          <w:sz w:val="21"/>
          <w:szCs w:val="21"/>
          <w:color w:val="auto"/>
        </w:rPr>
      </w:pPr>
    </w:p>
    <w:p>
      <w:pPr>
        <w:jc w:val="both"/>
        <w:ind w:firstLine="6"/>
        <w:spacing w:after="0" w:line="220" w:lineRule="auto"/>
        <w:tabs>
          <w:tab w:leader="none" w:pos="300" w:val="left"/>
        </w:tabs>
        <w:numPr>
          <w:ilvl w:val="0"/>
          <w:numId w:val="2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the extent constituting a limitation described in </w:t>
      </w:r>
      <w:r>
        <w:rPr>
          <w:rFonts w:ascii="Times New Roman" w:cs="Times New Roman" w:eastAsia="Times New Roman" w:hAnsi="Times New Roman"/>
          <w:sz w:val="21"/>
          <w:szCs w:val="21"/>
          <w:u w:val="single" w:color="auto"/>
          <w:color w:val="auto"/>
        </w:rPr>
        <w:t>Section 7.09(iii) above</w:t>
      </w:r>
      <w:r>
        <w:rPr>
          <w:rFonts w:ascii="Times New Roman" w:cs="Times New Roman" w:eastAsia="Times New Roman" w:hAnsi="Times New Roman"/>
          <w:sz w:val="21"/>
          <w:szCs w:val="21"/>
          <w:color w:val="auto"/>
        </w:rPr>
        <w:t>, encumbrances or restrictions existing under, by reason of or with respect to customary provisions contained in licenses of intellectual property or leases which prohibit the granting of a Lien on such intellectual property licensed to the Borrower or any of its Restricted Subsidiaries pursuant to the lease or license agreement, in each case, (i) entered into by the Borrower or any of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154</w:t>
      </w:r>
    </w:p>
    <w:p>
      <w:pPr>
        <w:sectPr>
          <w:pgSz w:w="11900" w:h="16838" w:orient="portrait"/>
          <w:cols w:equalWidth="0" w:num="1">
            <w:col w:w="11240"/>
          </w:cols>
          <w:pgMar w:left="320" w:top="1397" w:right="339" w:bottom="1440" w:gutter="0" w:footer="0" w:header="0"/>
        </w:sectPr>
      </w:pPr>
    </w:p>
    <w:bookmarkStart w:id="260" w:name="page261"/>
    <w:bookmarkEnd w:id="260"/>
    <w:p>
      <w:pPr>
        <w:spacing w:after="0" w:line="245" w:lineRule="auto"/>
        <w:rPr>
          <w:sz w:val="20"/>
          <w:szCs w:val="20"/>
          <w:color w:val="auto"/>
        </w:rPr>
      </w:pPr>
      <w:r>
        <w:rPr>
          <w:rFonts w:ascii="Times New Roman" w:cs="Times New Roman" w:eastAsia="Times New Roman" w:hAnsi="Times New Roman"/>
          <w:sz w:val="21"/>
          <w:szCs w:val="21"/>
          <w:color w:val="auto"/>
        </w:rPr>
        <w:t>Restricted Subsidiaries with parties that are not the Borrower or any of its Restricted Subsidiaries and (ii) entered into in the ordinary course of business; or</w:t>
      </w:r>
    </w:p>
    <w:p>
      <w:pPr>
        <w:spacing w:after="0" w:line="143" w:lineRule="exact"/>
        <w:rPr>
          <w:sz w:val="20"/>
          <w:szCs w:val="20"/>
          <w:color w:val="auto"/>
        </w:rPr>
      </w:pPr>
    </w:p>
    <w:p>
      <w:pPr>
        <w:jc w:val="both"/>
        <w:ind w:firstLine="1278"/>
        <w:spacing w:after="0" w:line="223" w:lineRule="auto"/>
        <w:tabs>
          <w:tab w:leader="none" w:pos="1896" w:val="left"/>
        </w:tabs>
        <w:numPr>
          <w:ilvl w:val="0"/>
          <w:numId w:val="2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(x) restrictions set forth in any of the Senior Notes, in each case as in effect on the Closing Date or as amended, modified, refinanced, replaced, renewed or extended in a manner that is not more restrictive, taken as a whole, than any of the Senior Notes as in effect on the Closing Date and (y) similar restrictions set forth in any similar Indebtedness permitted to be incurred hereunder after the Closing Date, provided that such restrictions are no more restrictive, taken as a whole, than those set forth in any of the Senior Notes as in effect on the Closing Date.</w:t>
      </w:r>
    </w:p>
    <w:p>
      <w:pPr>
        <w:spacing w:after="0" w:line="148"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7.10</w:t>
      </w:r>
      <w:r>
        <w:rPr>
          <w:sz w:val="20"/>
          <w:szCs w:val="20"/>
          <w:color w:val="auto"/>
        </w:rPr>
        <w:tab/>
      </w:r>
      <w:r>
        <w:rPr>
          <w:rFonts w:ascii="Times New Roman" w:cs="Times New Roman" w:eastAsia="Times New Roman" w:hAnsi="Times New Roman"/>
          <w:sz w:val="21"/>
          <w:szCs w:val="21"/>
          <w:i w:val="1"/>
          <w:iCs w:val="1"/>
          <w:color w:val="auto"/>
        </w:rPr>
        <w:t>Use of Proceeds</w:t>
      </w:r>
    </w:p>
    <w:p>
      <w:pPr>
        <w:spacing w:after="0" w:line="211" w:lineRule="exact"/>
        <w:rPr>
          <w:sz w:val="20"/>
          <w:szCs w:val="20"/>
          <w:color w:val="auto"/>
        </w:rPr>
      </w:pPr>
    </w:p>
    <w:p>
      <w:pPr>
        <w:ind w:left="740" w:hanging="98"/>
        <w:spacing w:after="0"/>
        <w:tabs>
          <w:tab w:leader="none" w:pos="740" w:val="left"/>
        </w:tabs>
        <w:numPr>
          <w:ilvl w:val="1"/>
          <w:numId w:val="2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Request any Credit Extension, use, or allow any of its Restricted Subsidiaries to use, the proceeds of any Credit Extension,</w:t>
      </w:r>
    </w:p>
    <w:p>
      <w:pPr>
        <w:spacing w:after="0" w:line="34" w:lineRule="exact"/>
        <w:rPr>
          <w:rFonts w:ascii="Times New Roman" w:cs="Times New Roman" w:eastAsia="Times New Roman" w:hAnsi="Times New Roman"/>
          <w:sz w:val="21"/>
          <w:szCs w:val="21"/>
          <w:color w:val="auto"/>
        </w:rPr>
      </w:pPr>
    </w:p>
    <w:p>
      <w:pPr>
        <w:jc w:val="both"/>
        <w:ind w:firstLine="6"/>
        <w:spacing w:after="0" w:line="254" w:lineRule="auto"/>
        <w:tabs>
          <w:tab w:leader="none" w:pos="289" w:val="left"/>
        </w:tabs>
        <w:numPr>
          <w:ilvl w:val="0"/>
          <w:numId w:val="2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furtherance of an offer, payment, promise to pay or authorization of the payment or giving of money, or anything else of value to any Person in violation of Anti-Corruption Laws, (b) for the purpose of funding, financing or facilitating any activities, business or transaction of, or with, any Sanctioned Person or in any Sanctioned Country, </w:t>
      </w:r>
      <w:r>
        <w:rPr>
          <w:rFonts w:ascii="Times New Roman" w:cs="Times New Roman" w:eastAsia="Times New Roman" w:hAnsi="Times New Roman"/>
          <w:sz w:val="21"/>
          <w:szCs w:val="21"/>
          <w:b w:val="1"/>
          <w:bCs w:val="1"/>
          <w:u w:val="single" w:color="auto"/>
          <w:color w:val="0000FF"/>
        </w:rPr>
        <w:t>or in any other manner that will result in any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0000FF"/>
        </w:rPr>
        <w:t>violation in any material respect by any Loan Party or any Lender or Arranger, the Administrative Agent or any L/C Issuer of any Anti-Terrorism Laws or Sanctions</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or (c) to purchase or carry margin stock (within the meaning of Regulation U of the</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FRB) or to extend credit to others for the purpose of purchasing or carrying margin stock or to refund indebtedness originally incurred for such purpose.</w:t>
      </w:r>
    </w:p>
    <w:p>
      <w:pPr>
        <w:spacing w:after="0" w:line="159" w:lineRule="exact"/>
        <w:rPr>
          <w:sz w:val="20"/>
          <w:szCs w:val="20"/>
          <w:color w:val="auto"/>
        </w:rPr>
      </w:pPr>
    </w:p>
    <w:p>
      <w:pPr>
        <w:ind w:left="640"/>
        <w:spacing w:after="0"/>
        <w:tabs>
          <w:tab w:leader="none" w:pos="1880" w:val="left"/>
        </w:tabs>
        <w:rPr>
          <w:sz w:val="20"/>
          <w:szCs w:val="20"/>
          <w:color w:val="auto"/>
        </w:rPr>
      </w:pPr>
      <w:r>
        <w:rPr>
          <w:rFonts w:ascii="Times New Roman" w:cs="Times New Roman" w:eastAsia="Times New Roman" w:hAnsi="Times New Roman"/>
          <w:sz w:val="21"/>
          <w:szCs w:val="21"/>
          <w:color w:val="auto"/>
        </w:rPr>
        <w:t>Section 7.11</w:t>
      </w:r>
      <w:r>
        <w:rPr>
          <w:sz w:val="20"/>
          <w:szCs w:val="20"/>
          <w:color w:val="auto"/>
        </w:rPr>
        <w:tab/>
      </w:r>
      <w:r>
        <w:rPr>
          <w:rFonts w:ascii="Times New Roman" w:cs="Times New Roman" w:eastAsia="Times New Roman" w:hAnsi="Times New Roman"/>
          <w:sz w:val="21"/>
          <w:szCs w:val="21"/>
          <w:i w:val="1"/>
          <w:iCs w:val="1"/>
          <w:color w:val="auto"/>
        </w:rPr>
        <w:t>Total Net Leverage Ratio</w:t>
      </w:r>
    </w:p>
    <w:p>
      <w:pPr>
        <w:spacing w:after="0" w:line="211" w:lineRule="exact"/>
        <w:rPr>
          <w:sz w:val="20"/>
          <w:szCs w:val="20"/>
          <w:color w:val="auto"/>
        </w:rPr>
      </w:pPr>
    </w:p>
    <w:p>
      <w:pPr>
        <w:ind w:firstLine="642"/>
        <w:spacing w:after="0" w:line="285" w:lineRule="auto"/>
        <w:tabs>
          <w:tab w:leader="none" w:pos="755" w:val="left"/>
        </w:tabs>
        <w:numPr>
          <w:ilvl w:val="0"/>
          <w:numId w:val="2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Commencing with the fiscal quarter ending June 30, 2022, permit the Total Net Leverage Ratio at the end of any fiscal quarter to be greater than 6.00:1.00.</w:t>
      </w:r>
    </w:p>
    <w:p>
      <w:pPr>
        <w:spacing w:after="0" w:line="113"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7.12</w:t>
      </w:r>
      <w:r>
        <w:rPr>
          <w:sz w:val="20"/>
          <w:szCs w:val="20"/>
          <w:color w:val="auto"/>
        </w:rPr>
        <w:tab/>
      </w:r>
      <w:r>
        <w:rPr>
          <w:rFonts w:ascii="Times New Roman" w:cs="Times New Roman" w:eastAsia="Times New Roman" w:hAnsi="Times New Roman"/>
          <w:sz w:val="21"/>
          <w:szCs w:val="21"/>
          <w:i w:val="1"/>
          <w:iCs w:val="1"/>
          <w:color w:val="auto"/>
        </w:rPr>
        <w:t>Amendments of Organization Documents</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Amend any of its Organization Documents in a manner materially adverse to the Lenders.</w:t>
      </w:r>
    </w:p>
    <w:p>
      <w:pPr>
        <w:spacing w:after="0" w:line="194"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7.13</w:t>
      </w:r>
      <w:r>
        <w:rPr>
          <w:sz w:val="20"/>
          <w:szCs w:val="20"/>
          <w:color w:val="auto"/>
        </w:rPr>
        <w:tab/>
      </w:r>
      <w:r>
        <w:rPr>
          <w:rFonts w:ascii="Times New Roman" w:cs="Times New Roman" w:eastAsia="Times New Roman" w:hAnsi="Times New Roman"/>
          <w:sz w:val="20"/>
          <w:szCs w:val="20"/>
          <w:i w:val="1"/>
          <w:iCs w:val="1"/>
          <w:color w:val="auto"/>
        </w:rPr>
        <w:t>Fiscal Year</w:t>
      </w:r>
    </w:p>
    <w:p>
      <w:pPr>
        <w:spacing w:after="0" w:line="211" w:lineRule="exact"/>
        <w:rPr>
          <w:sz w:val="20"/>
          <w:szCs w:val="20"/>
          <w:color w:val="auto"/>
        </w:rPr>
      </w:pPr>
    </w:p>
    <w:p>
      <w:pPr>
        <w:ind w:left="640" w:right="6840" w:firstLine="2"/>
        <w:spacing w:after="0" w:line="441" w:lineRule="auto"/>
        <w:tabs>
          <w:tab w:leader="none" w:pos="746" w:val="left"/>
        </w:tabs>
        <w:numPr>
          <w:ilvl w:val="0"/>
          <w:numId w:val="2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Make any change in its Fiscal Year. Section 7.14 </w:t>
      </w:r>
      <w:r>
        <w:rPr>
          <w:rFonts w:ascii="Times New Roman" w:cs="Times New Roman" w:eastAsia="Times New Roman" w:hAnsi="Times New Roman"/>
          <w:sz w:val="21"/>
          <w:szCs w:val="21"/>
          <w:i w:val="1"/>
          <w:iCs w:val="1"/>
          <w:color w:val="auto"/>
        </w:rPr>
        <w:t>Prepayments of Indebtedness</w:t>
      </w:r>
    </w:p>
    <w:p>
      <w:pPr>
        <w:jc w:val="both"/>
        <w:ind w:firstLine="642"/>
        <w:spacing w:after="0" w:line="262" w:lineRule="auto"/>
        <w:tabs>
          <w:tab w:leader="none" w:pos="742" w:val="left"/>
        </w:tabs>
        <w:numPr>
          <w:ilvl w:val="0"/>
          <w:numId w:val="2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Prepay, redeem, purchase, defease or otherwise satisfy more than ninety (90) days prior to the scheduled maturity thereof in any manner, or make any payment in violation of any subordination terms of, any subordinated, unsecured or junior secured Indebtedness in an aggregate principal amount during the term of this Agreement in excess of the greater of (x) $</w:t>
      </w:r>
      <w:r>
        <w:rPr>
          <w:rFonts w:ascii="Times New Roman" w:cs="Times New Roman" w:eastAsia="Times New Roman" w:hAnsi="Times New Roman"/>
          <w:sz w:val="21"/>
          <w:szCs w:val="21"/>
          <w:b w:val="1"/>
          <w:bCs w:val="1"/>
          <w:color w:val="FF0000"/>
          <w:strike w:val="1"/>
        </w:rPr>
        <w:t>37,500,000</w:t>
      </w:r>
      <w:r>
        <w:rPr>
          <w:rFonts w:ascii="Times New Roman" w:cs="Times New Roman" w:eastAsia="Times New Roman" w:hAnsi="Times New Roman"/>
          <w:sz w:val="21"/>
          <w:szCs w:val="21"/>
          <w:b w:val="1"/>
          <w:bCs w:val="1"/>
          <w:u w:val="single" w:color="auto"/>
          <w:color w:val="0000FF"/>
        </w:rPr>
        <w:t>75,000,000</w:t>
      </w:r>
      <w:r>
        <w:rPr>
          <w:rFonts w:ascii="Times New Roman" w:cs="Times New Roman" w:eastAsia="Times New Roman" w:hAnsi="Times New Roman"/>
          <w:sz w:val="21"/>
          <w:szCs w:val="21"/>
          <w:color w:val="auto"/>
        </w:rPr>
        <w:t xml:space="preserve"> and (y) 15.00% of Consolidated EBITDA based on the Most Recent Financial Statements (such Indebtedness, the “</w:t>
      </w:r>
      <w:r>
        <w:rPr>
          <w:rFonts w:ascii="Times New Roman" w:cs="Times New Roman" w:eastAsia="Times New Roman" w:hAnsi="Times New Roman"/>
          <w:sz w:val="21"/>
          <w:szCs w:val="21"/>
          <w:b w:val="1"/>
          <w:bCs w:val="1"/>
          <w:color w:val="auto"/>
        </w:rPr>
        <w:t>Restricted Indebtedness</w:t>
      </w:r>
      <w:r>
        <w:rPr>
          <w:rFonts w:ascii="Times New Roman" w:cs="Times New Roman" w:eastAsia="Times New Roman" w:hAnsi="Times New Roman"/>
          <w:sz w:val="21"/>
          <w:szCs w:val="21"/>
          <w:color w:val="auto"/>
        </w:rPr>
        <w:t>”), except, in each case,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155</w:t>
      </w:r>
    </w:p>
    <w:p>
      <w:pPr>
        <w:sectPr>
          <w:pgSz w:w="11900" w:h="16838" w:orient="portrait"/>
          <w:cols w:equalWidth="0" w:num="1">
            <w:col w:w="11240"/>
          </w:cols>
          <w:pgMar w:left="320" w:top="1371" w:right="339" w:bottom="1440" w:gutter="0" w:footer="0" w:header="0"/>
        </w:sectPr>
      </w:pPr>
    </w:p>
    <w:bookmarkStart w:id="261" w:name="page262"/>
    <w:bookmarkEnd w:id="261"/>
    <w:p>
      <w:pPr>
        <w:ind w:left="1920" w:hanging="642"/>
        <w:spacing w:after="0"/>
        <w:tabs>
          <w:tab w:leader="none" w:pos="1920" w:val="left"/>
        </w:tabs>
        <w:numPr>
          <w:ilvl w:val="0"/>
          <w:numId w:val="2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refinancing thereof with the proceeds of any Permitted Refinancing permitted by </w:t>
      </w:r>
      <w:r>
        <w:rPr>
          <w:rFonts w:ascii="Times New Roman" w:cs="Times New Roman" w:eastAsia="Times New Roman" w:hAnsi="Times New Roman"/>
          <w:sz w:val="21"/>
          <w:szCs w:val="21"/>
          <w:u w:val="single" w:color="auto"/>
          <w:color w:val="auto"/>
        </w:rPr>
        <w:t>Section 7.03</w:t>
      </w:r>
      <w:r>
        <w:rPr>
          <w:rFonts w:ascii="Times New Roman" w:cs="Times New Roman" w:eastAsia="Times New Roman" w:hAnsi="Times New Roman"/>
          <w:sz w:val="21"/>
          <w:szCs w:val="21"/>
          <w:color w:val="auto"/>
        </w:rPr>
        <w:t>,</w:t>
      </w:r>
    </w:p>
    <w:p>
      <w:pPr>
        <w:spacing w:after="0" w:line="182" w:lineRule="exact"/>
        <w:rPr>
          <w:rFonts w:ascii="Times New Roman" w:cs="Times New Roman" w:eastAsia="Times New Roman" w:hAnsi="Times New Roman"/>
          <w:sz w:val="21"/>
          <w:szCs w:val="21"/>
          <w:color w:val="auto"/>
        </w:rPr>
      </w:pPr>
    </w:p>
    <w:p>
      <w:pPr>
        <w:ind w:firstLine="1278"/>
        <w:spacing w:after="0" w:line="245" w:lineRule="auto"/>
        <w:tabs>
          <w:tab w:leader="none" w:pos="1903" w:val="left"/>
        </w:tabs>
        <w:numPr>
          <w:ilvl w:val="0"/>
          <w:numId w:val="2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prepayment of Indebtedness of the Borrower or any Restricted Subsidiary owed to the Borrower or any Restricted Subsidiary to the extent not prohibited by the subordination provisions applicable thereto,</w:t>
      </w:r>
    </w:p>
    <w:p>
      <w:pPr>
        <w:spacing w:after="0" w:line="142" w:lineRule="exact"/>
        <w:rPr>
          <w:rFonts w:ascii="Times New Roman" w:cs="Times New Roman" w:eastAsia="Times New Roman" w:hAnsi="Times New Roman"/>
          <w:sz w:val="21"/>
          <w:szCs w:val="21"/>
          <w:color w:val="auto"/>
        </w:rPr>
      </w:pPr>
    </w:p>
    <w:p>
      <w:pPr>
        <w:jc w:val="both"/>
        <w:ind w:firstLine="1278"/>
        <w:spacing w:after="0" w:line="223" w:lineRule="auto"/>
        <w:tabs>
          <w:tab w:leader="none" w:pos="1905" w:val="left"/>
        </w:tabs>
        <w:numPr>
          <w:ilvl w:val="0"/>
          <w:numId w:val="2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so long as no Event of Default under </w:t>
      </w:r>
      <w:r>
        <w:rPr>
          <w:rFonts w:ascii="Times New Roman" w:cs="Times New Roman" w:eastAsia="Times New Roman" w:hAnsi="Times New Roman"/>
          <w:sz w:val="21"/>
          <w:szCs w:val="21"/>
          <w:u w:val="single" w:color="auto"/>
          <w:color w:val="auto"/>
        </w:rPr>
        <w:t>Sections 8.01(a)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8.01(f)</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8.01(g)</w:t>
      </w:r>
      <w:r>
        <w:rPr>
          <w:rFonts w:ascii="Times New Roman" w:cs="Times New Roman" w:eastAsia="Times New Roman" w:hAnsi="Times New Roman"/>
          <w:sz w:val="21"/>
          <w:szCs w:val="21"/>
          <w:color w:val="auto"/>
        </w:rPr>
        <w:t xml:space="preserve"> has occurred and is continuing or would be caused thereby, </w:t>
      </w:r>
      <w:r>
        <w:rPr>
          <w:rFonts w:ascii="Times New Roman" w:cs="Times New Roman" w:eastAsia="Times New Roman" w:hAnsi="Times New Roman"/>
          <w:sz w:val="21"/>
          <w:szCs w:val="21"/>
          <w:b w:val="1"/>
          <w:bCs w:val="1"/>
          <w:color w:val="FF0000"/>
          <w:strike w:val="1"/>
        </w:rPr>
        <w:t>during</w:t>
      </w:r>
      <w:r>
        <w:rPr>
          <w:rFonts w:ascii="Times New Roman" w:cs="Times New Roman" w:eastAsia="Times New Roman" w:hAnsi="Times New Roman"/>
          <w:sz w:val="21"/>
          <w:szCs w:val="21"/>
          <w:b w:val="1"/>
          <w:bCs w:val="1"/>
          <w:u w:val="single" w:color="auto"/>
          <w:color w:val="0000FF"/>
        </w:rPr>
        <w:t>from and after</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b w:val="1"/>
          <w:bCs w:val="1"/>
          <w:color w:val="FF0000"/>
          <w:strike w:val="1"/>
        </w:rPr>
        <w:t>term of this Agreement</w:t>
      </w:r>
      <w:r>
        <w:rPr>
          <w:rFonts w:ascii="Times New Roman" w:cs="Times New Roman" w:eastAsia="Times New Roman" w:hAnsi="Times New Roman"/>
          <w:sz w:val="21"/>
          <w:szCs w:val="21"/>
          <w:b w:val="1"/>
          <w:bCs w:val="1"/>
          <w:u w:val="single" w:color="auto"/>
          <w:color w:val="0000FF"/>
        </w:rPr>
        <w:t>First Amendment Effect Date</w:t>
      </w:r>
      <w:r>
        <w:rPr>
          <w:rFonts w:ascii="Times New Roman" w:cs="Times New Roman" w:eastAsia="Times New Roman" w:hAnsi="Times New Roman"/>
          <w:sz w:val="21"/>
          <w:szCs w:val="21"/>
          <w:color w:val="auto"/>
        </w:rPr>
        <w:t>, prepayments, redemptions, purchases or other payments made to satisfy Restricted Indebtedness (not in violation of any subordination terms in respect thereof) in an amount not to exceed the greater of $</w:t>
      </w:r>
      <w:r>
        <w:rPr>
          <w:rFonts w:ascii="Times New Roman" w:cs="Times New Roman" w:eastAsia="Times New Roman" w:hAnsi="Times New Roman"/>
          <w:sz w:val="21"/>
          <w:szCs w:val="21"/>
          <w:b w:val="1"/>
          <w:bCs w:val="1"/>
          <w:color w:val="FF0000"/>
          <w:strike w:val="1"/>
        </w:rPr>
        <w:t>75,000,000</w:t>
      </w:r>
      <w:r>
        <w:rPr>
          <w:rFonts w:ascii="Times New Roman" w:cs="Times New Roman" w:eastAsia="Times New Roman" w:hAnsi="Times New Roman"/>
          <w:sz w:val="21"/>
          <w:szCs w:val="21"/>
          <w:b w:val="1"/>
          <w:bCs w:val="1"/>
          <w:u w:val="single" w:color="auto"/>
          <w:color w:val="0000FF"/>
        </w:rPr>
        <w:t>150,000,000</w:t>
      </w:r>
      <w:r>
        <w:rPr>
          <w:rFonts w:ascii="Times New Roman" w:cs="Times New Roman" w:eastAsia="Times New Roman" w:hAnsi="Times New Roman"/>
          <w:sz w:val="21"/>
          <w:szCs w:val="21"/>
          <w:color w:val="auto"/>
        </w:rPr>
        <w:t xml:space="preserve"> and 30% of Consolidated EBITDA based on the Most Recent Financial Statements,</w:t>
      </w:r>
    </w:p>
    <w:p>
      <w:pPr>
        <w:spacing w:after="0" w:line="150" w:lineRule="exact"/>
        <w:rPr>
          <w:rFonts w:ascii="Times New Roman" w:cs="Times New Roman" w:eastAsia="Times New Roman" w:hAnsi="Times New Roman"/>
          <w:sz w:val="21"/>
          <w:szCs w:val="21"/>
          <w:color w:val="auto"/>
        </w:rPr>
      </w:pPr>
    </w:p>
    <w:p>
      <w:pPr>
        <w:jc w:val="both"/>
        <w:ind w:firstLine="1278"/>
        <w:spacing w:after="0" w:line="223" w:lineRule="auto"/>
        <w:tabs>
          <w:tab w:leader="none" w:pos="1903" w:val="left"/>
        </w:tabs>
        <w:numPr>
          <w:ilvl w:val="0"/>
          <w:numId w:val="2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 amount not to exceed the Available Amount at the time of the making of such prepayment, redemption, repurchase or other payment;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portion of the Available Amount attributed to </w:t>
      </w:r>
      <w:r>
        <w:rPr>
          <w:rFonts w:ascii="Times New Roman" w:cs="Times New Roman" w:eastAsia="Times New Roman" w:hAnsi="Times New Roman"/>
          <w:sz w:val="21"/>
          <w:szCs w:val="21"/>
          <w:u w:val="single" w:color="auto"/>
          <w:color w:val="auto"/>
        </w:rPr>
        <w:t>clause (a)(2)</w:t>
      </w:r>
      <w:r>
        <w:rPr>
          <w:rFonts w:ascii="Times New Roman" w:cs="Times New Roman" w:eastAsia="Times New Roman" w:hAnsi="Times New Roman"/>
          <w:sz w:val="21"/>
          <w:szCs w:val="21"/>
          <w:color w:val="auto"/>
        </w:rPr>
        <w:t xml:space="preserve"> of the definition thereof shall not be available for any such prepayments, redemptions, purchases or other payments made to satisfy Restricted Indebtedness made pursuant to this </w:t>
      </w:r>
      <w:r>
        <w:rPr>
          <w:rFonts w:ascii="Times New Roman" w:cs="Times New Roman" w:eastAsia="Times New Roman" w:hAnsi="Times New Roman"/>
          <w:sz w:val="21"/>
          <w:szCs w:val="21"/>
          <w:u w:val="single" w:color="auto"/>
          <w:color w:val="auto"/>
        </w:rPr>
        <w:t>clause (d)</w:t>
      </w:r>
      <w:r>
        <w:rPr>
          <w:rFonts w:ascii="Times New Roman" w:cs="Times New Roman" w:eastAsia="Times New Roman" w:hAnsi="Times New Roman"/>
          <w:sz w:val="21"/>
          <w:szCs w:val="21"/>
          <w:color w:val="auto"/>
        </w:rPr>
        <w:t xml:space="preserve"> if an Event of Default under </w:t>
      </w:r>
      <w:r>
        <w:rPr>
          <w:rFonts w:ascii="Times New Roman" w:cs="Times New Roman" w:eastAsia="Times New Roman" w:hAnsi="Times New Roman"/>
          <w:sz w:val="21"/>
          <w:szCs w:val="21"/>
          <w:u w:val="single" w:color="auto"/>
          <w:color w:val="auto"/>
        </w:rPr>
        <w:t>Sections 8.01(a)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8.01(f)</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8.01(g)</w:t>
      </w:r>
      <w:r>
        <w:rPr>
          <w:rFonts w:ascii="Times New Roman" w:cs="Times New Roman" w:eastAsia="Times New Roman" w:hAnsi="Times New Roman"/>
          <w:sz w:val="21"/>
          <w:szCs w:val="21"/>
          <w:color w:val="auto"/>
        </w:rPr>
        <w:t xml:space="preserve"> has occurred and is continuing or would be caused thereby,</w:t>
      </w:r>
    </w:p>
    <w:p>
      <w:pPr>
        <w:spacing w:after="0" w:line="150" w:lineRule="exact"/>
        <w:rPr>
          <w:rFonts w:ascii="Times New Roman" w:cs="Times New Roman" w:eastAsia="Times New Roman" w:hAnsi="Times New Roman"/>
          <w:sz w:val="21"/>
          <w:szCs w:val="21"/>
          <w:color w:val="auto"/>
        </w:rPr>
      </w:pPr>
    </w:p>
    <w:p>
      <w:pPr>
        <w:jc w:val="both"/>
        <w:ind w:firstLine="1278"/>
        <w:spacing w:after="0" w:line="226" w:lineRule="auto"/>
        <w:tabs>
          <w:tab w:leader="none" w:pos="1905" w:val="left"/>
        </w:tabs>
        <w:numPr>
          <w:ilvl w:val="0"/>
          <w:numId w:val="2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so long as no Event of Default under </w:t>
      </w:r>
      <w:r>
        <w:rPr>
          <w:rFonts w:ascii="Times New Roman" w:cs="Times New Roman" w:eastAsia="Times New Roman" w:hAnsi="Times New Roman"/>
          <w:sz w:val="21"/>
          <w:szCs w:val="21"/>
          <w:u w:val="single" w:color="auto"/>
          <w:color w:val="auto"/>
        </w:rPr>
        <w:t>Sections 8.01(a)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8.01(f)</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8.01(g)</w:t>
      </w:r>
      <w:r>
        <w:rPr>
          <w:rFonts w:ascii="Times New Roman" w:cs="Times New Roman" w:eastAsia="Times New Roman" w:hAnsi="Times New Roman"/>
          <w:sz w:val="21"/>
          <w:szCs w:val="21"/>
          <w:color w:val="auto"/>
        </w:rPr>
        <w:t xml:space="preserve"> has occurred and is continuing or would be caused thereby, prepayments, redemptions, purchases or other payments made to satisfy Restricted Indebtedness (not in violation of any subordination terms in respect thereof) shall be permitted so long as the pro forma Total Net Leverage Ratio would be less than 3.50:1.00, </w:t>
      </w:r>
      <w:r>
        <w:rPr>
          <w:rFonts w:ascii="Times New Roman" w:cs="Times New Roman" w:eastAsia="Times New Roman" w:hAnsi="Times New Roman"/>
          <w:sz w:val="21"/>
          <w:szCs w:val="21"/>
          <w:b w:val="1"/>
          <w:bCs w:val="1"/>
          <w:color w:val="FF0000"/>
        </w:rPr>
        <w:t>and</w:t>
      </w:r>
    </w:p>
    <w:p>
      <w:pPr>
        <w:spacing w:after="0" w:line="150" w:lineRule="exact"/>
        <w:rPr>
          <w:rFonts w:ascii="Times New Roman" w:cs="Times New Roman" w:eastAsia="Times New Roman" w:hAnsi="Times New Roman"/>
          <w:sz w:val="21"/>
          <w:szCs w:val="21"/>
          <w:color w:val="auto"/>
        </w:rPr>
      </w:pPr>
    </w:p>
    <w:p>
      <w:pPr>
        <w:jc w:val="both"/>
        <w:ind w:firstLine="1278"/>
        <w:spacing w:after="0" w:line="221" w:lineRule="auto"/>
        <w:tabs>
          <w:tab w:leader="none" w:pos="1908" w:val="left"/>
        </w:tabs>
        <w:numPr>
          <w:ilvl w:val="0"/>
          <w:numId w:val="2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regularly scheduled interest, fees and indemnification obligations due under any document, agreement or instrument evidencing any Restricted Indebtedness or entered into in connection with any Restricted Indebtedness, other non-principal payments thereunder, any mandatory prepayments of principal, interest and fees thereunder, scheduled payments thereon necessary to avoid the Restricted Indebtedness from constituting “applicable high yield discount obligations” within the meaning of Section 163(i)(1) of the Code and principal on the scheduled maturity date of any Restricted Indebtedness (or within ninety (90) days thereof), in each case to the extent not expressly prohibited by the subordination provisions applicable thereto, if any</w:t>
      </w:r>
      <w:r>
        <w:rPr>
          <w:rFonts w:ascii="Times New Roman" w:cs="Times New Roman" w:eastAsia="Times New Roman" w:hAnsi="Times New Roman"/>
          <w:sz w:val="21"/>
          <w:szCs w:val="21"/>
          <w:b w:val="1"/>
          <w:bCs w:val="1"/>
          <w:u w:val="single" w:color="auto"/>
          <w:color w:val="0000FF"/>
        </w:rPr>
        <w:t>, and</w:t>
      </w:r>
    </w:p>
    <w:p>
      <w:pPr>
        <w:spacing w:after="0" w:line="145" w:lineRule="exact"/>
        <w:rPr>
          <w:rFonts w:ascii="Times New Roman" w:cs="Times New Roman" w:eastAsia="Times New Roman" w:hAnsi="Times New Roman"/>
          <w:sz w:val="21"/>
          <w:szCs w:val="21"/>
          <w:color w:val="auto"/>
        </w:rPr>
      </w:pPr>
    </w:p>
    <w:p>
      <w:pPr>
        <w:jc w:val="both"/>
        <w:ind w:firstLine="1278"/>
        <w:spacing w:after="0" w:line="233" w:lineRule="auto"/>
        <w:tabs>
          <w:tab w:leader="none" w:pos="1903" w:val="left"/>
        </w:tabs>
        <w:numPr>
          <w:ilvl w:val="0"/>
          <w:numId w:val="275"/>
        </w:numPr>
        <w:rPr>
          <w:rFonts w:ascii="Times New Roman" w:cs="Times New Roman" w:eastAsia="Times New Roman" w:hAnsi="Times New Roman"/>
          <w:sz w:val="21"/>
          <w:szCs w:val="21"/>
          <w:b w:val="1"/>
          <w:bCs w:val="1"/>
          <w:u w:val="single" w:color="auto"/>
          <w:color w:val="0000FF"/>
        </w:rPr>
      </w:pPr>
      <w:r>
        <w:rPr>
          <w:rFonts w:ascii="Times New Roman" w:cs="Times New Roman" w:eastAsia="Times New Roman" w:hAnsi="Times New Roman"/>
          <w:sz w:val="21"/>
          <w:szCs w:val="21"/>
          <w:b w:val="1"/>
          <w:bCs w:val="1"/>
          <w:u w:val="single" w:color="auto"/>
          <w:color w:val="0000FF"/>
        </w:rPr>
        <w:t>so long as no Event of Default under Section 8.01(a), 8.01(f) or 8.01(g) has occurred and is continuing or would be caused thereby, prepayments, redemptions, purchases or other payments made to satisfy, in whole or in part, the Senior Notes</w:t>
      </w:r>
      <w:r>
        <w:rPr>
          <w:rFonts w:ascii="Times New Roman" w:cs="Times New Roman" w:eastAsia="Times New Roman" w:hAnsi="Times New Roman"/>
          <w:sz w:val="21"/>
          <w:szCs w:val="2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1207770</wp:posOffset>
            </wp:positionH>
            <wp:positionV relativeFrom="paragraph">
              <wp:posOffset>-1562100</wp:posOffset>
            </wp:positionV>
            <wp:extent cx="2508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4">
                      <a:extLst>
                        <a:ext uri="{28A0092B-C50C-407E-A947-70E740481C1C}"/>
                      </a:extLst>
                    </a:blip>
                    <a:srcRect/>
                    <a:stretch>
                      <a:fillRect/>
                    </a:stretch>
                  </pic:blipFill>
                  <pic:spPr bwMode="auto">
                    <a:xfrm>
                      <a:off x="0" y="0"/>
                      <a:ext cx="250825" cy="8255"/>
                    </a:xfrm>
                    <a:prstGeom prst="rect">
                      <a:avLst/>
                    </a:prstGeom>
                    <a:noFill/>
                  </pic:spPr>
                </pic:pic>
              </a:graphicData>
            </a:graphic>
          </wp:anchor>
        </w:drawing>
      </w:r>
    </w:p>
    <w:p>
      <w:pPr>
        <w:spacing w:after="0" w:line="15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(h)</w:t>
      </w:r>
    </w:p>
    <w:p>
      <w:pPr>
        <w:spacing w:after="0" w:line="194"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7.15</w:t>
      </w:r>
      <w:r>
        <w:rPr>
          <w:sz w:val="20"/>
          <w:szCs w:val="20"/>
          <w:color w:val="auto"/>
        </w:rPr>
        <w:tab/>
      </w:r>
      <w:r>
        <w:rPr>
          <w:rFonts w:ascii="Times New Roman" w:cs="Times New Roman" w:eastAsia="Times New Roman" w:hAnsi="Times New Roman"/>
          <w:sz w:val="21"/>
          <w:szCs w:val="21"/>
          <w:i w:val="1"/>
          <w:iCs w:val="1"/>
          <w:color w:val="auto"/>
        </w:rPr>
        <w:t>Sale-Leaseback Transactions</w:t>
      </w:r>
    </w:p>
    <w:p>
      <w:pPr>
        <w:spacing w:after="0" w:line="211" w:lineRule="exact"/>
        <w:rPr>
          <w:sz w:val="20"/>
          <w:szCs w:val="20"/>
          <w:color w:val="auto"/>
        </w:rPr>
      </w:pPr>
    </w:p>
    <w:p>
      <w:pPr>
        <w:jc w:val="both"/>
        <w:ind w:firstLine="642"/>
        <w:spacing w:after="0" w:line="266" w:lineRule="auto"/>
        <w:tabs>
          <w:tab w:leader="none" w:pos="742" w:val="left"/>
        </w:tabs>
        <w:numPr>
          <w:ilvl w:val="0"/>
          <w:numId w:val="2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Enter into any sale-leaseback transaction in which any Loan Party is the seller or the lessee unless the disposition of assets is permitted under </w:t>
      </w:r>
      <w:r>
        <w:rPr>
          <w:rFonts w:ascii="Times New Roman" w:cs="Times New Roman" w:eastAsia="Times New Roman" w:hAnsi="Times New Roman"/>
          <w:sz w:val="21"/>
          <w:szCs w:val="21"/>
          <w:u w:val="single" w:color="auto"/>
          <w:color w:val="auto"/>
        </w:rPr>
        <w:t>Section 7.05</w:t>
      </w:r>
      <w:r>
        <w:rPr>
          <w:rFonts w:ascii="Times New Roman" w:cs="Times New Roman" w:eastAsia="Times New Roman" w:hAnsi="Times New Roman"/>
          <w:sz w:val="21"/>
          <w:szCs w:val="21"/>
          <w:color w:val="auto"/>
        </w:rPr>
        <w:t xml:space="preserve"> and the incurrence of indebtedness is permitted by </w:t>
      </w:r>
      <w:r>
        <w:rPr>
          <w:rFonts w:ascii="Times New Roman" w:cs="Times New Roman" w:eastAsia="Times New Roman" w:hAnsi="Times New Roman"/>
          <w:sz w:val="21"/>
          <w:szCs w:val="21"/>
          <w:u w:val="single" w:color="auto"/>
          <w:color w:val="auto"/>
        </w:rPr>
        <w:t>Section 7.03</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the aggregate amount of all such sales during the term of this Agreement shall not exceed the greater of (x) $</w:t>
      </w:r>
      <w:r>
        <w:rPr>
          <w:rFonts w:ascii="Times New Roman" w:cs="Times New Roman" w:eastAsia="Times New Roman" w:hAnsi="Times New Roman"/>
          <w:sz w:val="21"/>
          <w:szCs w:val="21"/>
          <w:b w:val="1"/>
          <w:bCs w:val="1"/>
          <w:color w:val="FF0000"/>
          <w:strike w:val="1"/>
        </w:rPr>
        <w:t>100,000,000</w:t>
      </w:r>
      <w:r>
        <w:rPr>
          <w:rFonts w:ascii="Times New Roman" w:cs="Times New Roman" w:eastAsia="Times New Roman" w:hAnsi="Times New Roman"/>
          <w:sz w:val="21"/>
          <w:szCs w:val="21"/>
          <w:b w:val="1"/>
          <w:bCs w:val="1"/>
          <w:u w:val="single" w:color="auto"/>
          <w:color w:val="0000FF"/>
        </w:rPr>
        <w:t>200,000,000</w:t>
      </w:r>
      <w:r>
        <w:rPr>
          <w:rFonts w:ascii="Times New Roman" w:cs="Times New Roman" w:eastAsia="Times New Roman" w:hAnsi="Times New Roman"/>
          <w:sz w:val="21"/>
          <w:szCs w:val="21"/>
          <w:color w:val="auto"/>
        </w:rPr>
        <w:t xml:space="preserve"> and (y) 40% of Consolidated EBITDA based on the Most Recent Financial Statements.</w:t>
      </w:r>
    </w:p>
    <w:p>
      <w:pPr>
        <w:spacing w:after="0" w:line="133"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7.16</w:t>
      </w:r>
      <w:r>
        <w:rPr>
          <w:sz w:val="20"/>
          <w:szCs w:val="20"/>
          <w:color w:val="auto"/>
        </w:rPr>
        <w:tab/>
      </w:r>
      <w:r>
        <w:rPr>
          <w:rFonts w:ascii="Times New Roman" w:cs="Times New Roman" w:eastAsia="Times New Roman" w:hAnsi="Times New Roman"/>
          <w:sz w:val="21"/>
          <w:szCs w:val="21"/>
          <w:i w:val="1"/>
          <w:iCs w:val="1"/>
          <w:color w:val="auto"/>
        </w:rPr>
        <w:t>Amendments of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156</w:t>
      </w:r>
    </w:p>
    <w:p>
      <w:pPr>
        <w:sectPr>
          <w:pgSz w:w="11900" w:h="16838" w:orient="portrait"/>
          <w:cols w:equalWidth="0" w:num="1">
            <w:col w:w="11240"/>
          </w:cols>
          <w:pgMar w:left="320" w:top="1371" w:right="339" w:bottom="1440" w:gutter="0" w:footer="0" w:header="0"/>
        </w:sectPr>
      </w:pPr>
    </w:p>
    <w:bookmarkStart w:id="262" w:name="page263"/>
    <w:bookmarkEnd w:id="262"/>
    <w:p>
      <w:pPr>
        <w:jc w:val="both"/>
        <w:ind w:firstLine="642"/>
        <w:spacing w:after="0" w:line="267" w:lineRule="auto"/>
        <w:tabs>
          <w:tab w:leader="none" w:pos="742" w:val="left"/>
        </w:tabs>
        <w:numPr>
          <w:ilvl w:val="0"/>
          <w:numId w:val="2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Amend, modify, or change in any manner any term or condition of any Restricted Indebtedness in excess of the Threshold Amount, in each case, in a manner materially adverse to the Lenders or that would effect a prepayment, redemption or repurchase or a Restricted Payment not otherwise permitted under </w:t>
      </w:r>
      <w:r>
        <w:rPr>
          <w:rFonts w:ascii="Times New Roman" w:cs="Times New Roman" w:eastAsia="Times New Roman" w:hAnsi="Times New Roman"/>
          <w:sz w:val="21"/>
          <w:szCs w:val="21"/>
          <w:u w:val="single" w:color="auto"/>
          <w:color w:val="auto"/>
        </w:rPr>
        <w:t>Section 7.06</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7.14</w:t>
      </w:r>
      <w:r>
        <w:rPr>
          <w:rFonts w:ascii="Times New Roman" w:cs="Times New Roman" w:eastAsia="Times New Roman" w:hAnsi="Times New Roman"/>
          <w:sz w:val="21"/>
          <w:szCs w:val="21"/>
          <w:color w:val="auto"/>
        </w:rPr>
        <w:t>, as applicable.</w:t>
      </w:r>
    </w:p>
    <w:p>
      <w:pPr>
        <w:spacing w:after="0" w:line="14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b w:val="1"/>
          <w:bCs w:val="1"/>
          <w:color w:val="auto"/>
        </w:rPr>
        <w:t>Article 8.</w:t>
      </w:r>
    </w:p>
    <w:p>
      <w:pPr>
        <w:ind w:left="3660"/>
        <w:spacing w:after="0"/>
        <w:rPr>
          <w:sz w:val="20"/>
          <w:szCs w:val="20"/>
          <w:color w:val="auto"/>
        </w:rPr>
      </w:pPr>
      <w:r>
        <w:rPr>
          <w:rFonts w:ascii="Times New Roman" w:cs="Times New Roman" w:eastAsia="Times New Roman" w:hAnsi="Times New Roman"/>
          <w:sz w:val="21"/>
          <w:szCs w:val="21"/>
          <w:b w:val="1"/>
          <w:bCs w:val="1"/>
          <w:color w:val="auto"/>
        </w:rPr>
        <w:t>EVENTS OF DEFAULT AND REMEDIES</w:t>
      </w:r>
    </w:p>
    <w:p>
      <w:pPr>
        <w:spacing w:after="0" w:line="157"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8.01</w:t>
      </w:r>
      <w:r>
        <w:rPr>
          <w:sz w:val="20"/>
          <w:szCs w:val="20"/>
          <w:color w:val="auto"/>
        </w:rPr>
        <w:tab/>
      </w:r>
      <w:r>
        <w:rPr>
          <w:rFonts w:ascii="Times New Roman" w:cs="Times New Roman" w:eastAsia="Times New Roman" w:hAnsi="Times New Roman"/>
          <w:sz w:val="21"/>
          <w:szCs w:val="21"/>
          <w:i w:val="1"/>
          <w:iCs w:val="1"/>
          <w:color w:val="auto"/>
        </w:rPr>
        <w:t>Events of Default</w:t>
      </w:r>
    </w:p>
    <w:p>
      <w:pPr>
        <w:spacing w:after="0" w:line="207" w:lineRule="exact"/>
        <w:rPr>
          <w:sz w:val="20"/>
          <w:szCs w:val="20"/>
          <w:color w:val="auto"/>
        </w:rPr>
      </w:pPr>
    </w:p>
    <w:p>
      <w:pPr>
        <w:ind w:left="740" w:hanging="98"/>
        <w:spacing w:after="0"/>
        <w:tabs>
          <w:tab w:leader="none" w:pos="740" w:val="left"/>
        </w:tabs>
        <w:numPr>
          <w:ilvl w:val="0"/>
          <w:numId w:val="2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following shall constitute an Event of Default (each, an “</w:t>
      </w:r>
      <w:r>
        <w:rPr>
          <w:rFonts w:ascii="Times New Roman" w:cs="Times New Roman" w:eastAsia="Times New Roman" w:hAnsi="Times New Roman"/>
          <w:sz w:val="21"/>
          <w:szCs w:val="21"/>
          <w:b w:val="1"/>
          <w:bCs w:val="1"/>
          <w:color w:val="auto"/>
        </w:rPr>
        <w:t>Event of Default</w:t>
      </w:r>
      <w:r>
        <w:rPr>
          <w:rFonts w:ascii="Times New Roman" w:cs="Times New Roman" w:eastAsia="Times New Roman" w:hAnsi="Times New Roman"/>
          <w:sz w:val="21"/>
          <w:szCs w:val="21"/>
          <w:color w:val="auto"/>
        </w:rPr>
        <w:t>”):</w:t>
      </w:r>
    </w:p>
    <w:p>
      <w:pPr>
        <w:spacing w:after="0" w:line="197" w:lineRule="exact"/>
        <w:rPr>
          <w:rFonts w:ascii="Times New Roman" w:cs="Times New Roman" w:eastAsia="Times New Roman" w:hAnsi="Times New Roman"/>
          <w:sz w:val="21"/>
          <w:szCs w:val="21"/>
          <w:color w:val="auto"/>
        </w:rPr>
      </w:pPr>
    </w:p>
    <w:p>
      <w:pPr>
        <w:jc w:val="both"/>
        <w:ind w:firstLine="1278"/>
        <w:spacing w:after="0" w:line="227" w:lineRule="auto"/>
        <w:tabs>
          <w:tab w:leader="none" w:pos="1905" w:val="left"/>
        </w:tabs>
        <w:numPr>
          <w:ilvl w:val="1"/>
          <w:numId w:val="2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Non-Payment</w:t>
      </w:r>
      <w:r>
        <w:rPr>
          <w:rFonts w:ascii="Times New Roman" w:cs="Times New Roman" w:eastAsia="Times New Roman" w:hAnsi="Times New Roman"/>
          <w:sz w:val="21"/>
          <w:szCs w:val="21"/>
          <w:color w:val="auto"/>
        </w:rPr>
        <w:t>. The Borrower or any other Loan Party fails to pay (i) when and as required to be paid herein,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any amount of principal of any Loan or any L/C Obligation, or (ii) within three Business Days after the same becomes due, any interest on any Loan or on any L/C Obligation, or any fee due hereunder, or (iii) within five Business Days after the same becomes due, any other amount payable hereunder or under any other Loan Document; or</w:t>
      </w:r>
    </w:p>
    <w:p>
      <w:pPr>
        <w:spacing w:after="0" w:line="146" w:lineRule="exact"/>
        <w:rPr>
          <w:rFonts w:ascii="Times New Roman" w:cs="Times New Roman" w:eastAsia="Times New Roman" w:hAnsi="Times New Roman"/>
          <w:sz w:val="21"/>
          <w:szCs w:val="21"/>
          <w:color w:val="auto"/>
        </w:rPr>
      </w:pPr>
    </w:p>
    <w:p>
      <w:pPr>
        <w:jc w:val="both"/>
        <w:ind w:firstLine="1278"/>
        <w:spacing w:after="0" w:line="220" w:lineRule="auto"/>
        <w:tabs>
          <w:tab w:leader="none" w:pos="1903" w:val="left"/>
        </w:tabs>
        <w:numPr>
          <w:ilvl w:val="1"/>
          <w:numId w:val="2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Specific Covenants</w:t>
      </w:r>
      <w:r>
        <w:rPr>
          <w:rFonts w:ascii="Times New Roman" w:cs="Times New Roman" w:eastAsia="Times New Roman" w:hAnsi="Times New Roman"/>
          <w:sz w:val="21"/>
          <w:szCs w:val="21"/>
          <w:color w:val="auto"/>
        </w:rPr>
        <w:t>. (i) The Borrower fails to perform or observe any term, covenant or agreement contained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in any of </w:t>
      </w:r>
      <w:r>
        <w:rPr>
          <w:rFonts w:ascii="Times New Roman" w:cs="Times New Roman" w:eastAsia="Times New Roman" w:hAnsi="Times New Roman"/>
          <w:sz w:val="21"/>
          <w:szCs w:val="21"/>
          <w:u w:val="single" w:color="auto"/>
          <w:color w:val="auto"/>
        </w:rPr>
        <w:t>Sections 6.03(a)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6.04</w:t>
      </w:r>
      <w:r>
        <w:rPr>
          <w:rFonts w:ascii="Times New Roman" w:cs="Times New Roman" w:eastAsia="Times New Roman" w:hAnsi="Times New Roman"/>
          <w:sz w:val="21"/>
          <w:szCs w:val="21"/>
          <w:color w:val="auto"/>
        </w:rPr>
        <w:t xml:space="preserve"> (with respect to the Borrower’s existence) or </w:t>
      </w:r>
      <w:r>
        <w:rPr>
          <w:rFonts w:ascii="Times New Roman" w:cs="Times New Roman" w:eastAsia="Times New Roman" w:hAnsi="Times New Roman"/>
          <w:sz w:val="21"/>
          <w:szCs w:val="21"/>
          <w:u w:val="single" w:color="auto"/>
          <w:color w:val="auto"/>
        </w:rPr>
        <w:t>6.10</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Article 7</w:t>
      </w:r>
      <w:r>
        <w:rPr>
          <w:rFonts w:ascii="Times New Roman" w:cs="Times New Roman" w:eastAsia="Times New Roman" w:hAnsi="Times New Roman"/>
          <w:sz w:val="21"/>
          <w:szCs w:val="21"/>
          <w:color w:val="auto"/>
        </w:rPr>
        <w:t xml:space="preserve"> (other than </w:t>
      </w:r>
      <w:r>
        <w:rPr>
          <w:rFonts w:ascii="Times New Roman" w:cs="Times New Roman" w:eastAsia="Times New Roman" w:hAnsi="Times New Roman"/>
          <w:sz w:val="21"/>
          <w:szCs w:val="21"/>
          <w:u w:val="single" w:color="auto"/>
          <w:color w:val="auto"/>
        </w:rPr>
        <w:t>Section 7.11</w:t>
      </w:r>
      <w:r>
        <w:rPr>
          <w:rFonts w:ascii="Times New Roman" w:cs="Times New Roman" w:eastAsia="Times New Roman" w:hAnsi="Times New Roman"/>
          <w:sz w:val="21"/>
          <w:szCs w:val="21"/>
          <w:color w:val="auto"/>
        </w:rPr>
        <w:t xml:space="preserve">) or (ii) the Borrower fails to perform or observe the covenant contained in </w:t>
      </w:r>
      <w:r>
        <w:rPr>
          <w:rFonts w:ascii="Times New Roman" w:cs="Times New Roman" w:eastAsia="Times New Roman" w:hAnsi="Times New Roman"/>
          <w:sz w:val="21"/>
          <w:szCs w:val="21"/>
          <w:u w:val="single" w:color="auto"/>
          <w:color w:val="auto"/>
        </w:rPr>
        <w:t>Section 7.11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 breach of the requirements of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7.11</w:t>
      </w:r>
      <w:r>
        <w:rPr>
          <w:rFonts w:ascii="Times New Roman" w:cs="Times New Roman" w:eastAsia="Times New Roman" w:hAnsi="Times New Roman"/>
          <w:sz w:val="21"/>
          <w:szCs w:val="21"/>
          <w:color w:val="auto"/>
        </w:rPr>
        <w:t xml:space="preserve"> shall not constitute an Event of Default for purposes of any Facility other than the Revolving Credit Facility unless such Facility is given the benefit of such covenant in the applicable Joinder Agreement or unless and until the Required Revolving Credit Lenders have terminated the Revolving Credit Commitments and/or demanded repayment of, or otherwise accelerated, the Indebtedness owed to them hereunder; or</w:t>
      </w:r>
    </w:p>
    <w:p>
      <w:pPr>
        <w:spacing w:after="0" w:line="146" w:lineRule="exact"/>
        <w:rPr>
          <w:rFonts w:ascii="Times New Roman" w:cs="Times New Roman" w:eastAsia="Times New Roman" w:hAnsi="Times New Roman"/>
          <w:sz w:val="21"/>
          <w:szCs w:val="21"/>
          <w:color w:val="auto"/>
        </w:rPr>
      </w:pPr>
    </w:p>
    <w:p>
      <w:pPr>
        <w:jc w:val="both"/>
        <w:ind w:firstLine="1278"/>
        <w:spacing w:after="0" w:line="232" w:lineRule="auto"/>
        <w:tabs>
          <w:tab w:leader="none" w:pos="1905" w:val="left"/>
        </w:tabs>
        <w:numPr>
          <w:ilvl w:val="1"/>
          <w:numId w:val="2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Other Defaults</w:t>
      </w:r>
      <w:r>
        <w:rPr>
          <w:rFonts w:ascii="Times New Roman" w:cs="Times New Roman" w:eastAsia="Times New Roman" w:hAnsi="Times New Roman"/>
          <w:sz w:val="21"/>
          <w:szCs w:val="21"/>
          <w:color w:val="auto"/>
        </w:rPr>
        <w:t>. Any Loan Party fails to perform or observe any other covenant or agreement (not specified in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u w:val="single" w:color="auto"/>
          <w:color w:val="auto"/>
        </w:rPr>
        <w:t>subsection (a)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above) contained in any Loan Document on its part to be performed or observed and such failure continues for 30 days after the Administrative Agent provides written notice to the Borrower of such failure; or</w:t>
      </w:r>
    </w:p>
    <w:p>
      <w:pPr>
        <w:spacing w:after="0" w:line="147" w:lineRule="exact"/>
        <w:rPr>
          <w:rFonts w:ascii="Times New Roman" w:cs="Times New Roman" w:eastAsia="Times New Roman" w:hAnsi="Times New Roman"/>
          <w:sz w:val="21"/>
          <w:szCs w:val="21"/>
          <w:color w:val="auto"/>
        </w:rPr>
      </w:pPr>
    </w:p>
    <w:p>
      <w:pPr>
        <w:jc w:val="both"/>
        <w:ind w:firstLine="1278"/>
        <w:spacing w:after="0" w:line="232" w:lineRule="auto"/>
        <w:tabs>
          <w:tab w:leader="none" w:pos="1903" w:val="left"/>
        </w:tabs>
        <w:numPr>
          <w:ilvl w:val="1"/>
          <w:numId w:val="2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Representations and Warranties</w:t>
      </w:r>
      <w:r>
        <w:rPr>
          <w:rFonts w:ascii="Times New Roman" w:cs="Times New Roman" w:eastAsia="Times New Roman" w:hAnsi="Times New Roman"/>
          <w:sz w:val="21"/>
          <w:szCs w:val="21"/>
          <w:color w:val="auto"/>
        </w:rPr>
        <w:t>. Any representation, warranty, certification or statement of fact made 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deemed made by or on behalf of the Borrower or any other Loan Party herein, in any other Loan Document, or in any document delivered in connection herewith or therewith shall be incorrect, in any material respect, when made or deemed made; or</w:t>
      </w:r>
    </w:p>
    <w:p>
      <w:pPr>
        <w:spacing w:after="0" w:line="147" w:lineRule="exact"/>
        <w:rPr>
          <w:rFonts w:ascii="Times New Roman" w:cs="Times New Roman" w:eastAsia="Times New Roman" w:hAnsi="Times New Roman"/>
          <w:sz w:val="21"/>
          <w:szCs w:val="21"/>
          <w:color w:val="auto"/>
        </w:rPr>
      </w:pPr>
    </w:p>
    <w:p>
      <w:pPr>
        <w:jc w:val="both"/>
        <w:ind w:firstLine="1278"/>
        <w:spacing w:after="0" w:line="218" w:lineRule="auto"/>
        <w:tabs>
          <w:tab w:leader="none" w:pos="1905" w:val="left"/>
        </w:tabs>
        <w:numPr>
          <w:ilvl w:val="1"/>
          <w:numId w:val="2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Cross-Default</w:t>
      </w:r>
      <w:r>
        <w:rPr>
          <w:rFonts w:ascii="Times New Roman" w:cs="Times New Roman" w:eastAsia="Times New Roman" w:hAnsi="Times New Roman"/>
          <w:sz w:val="21"/>
          <w:szCs w:val="21"/>
          <w:color w:val="auto"/>
        </w:rPr>
        <w:t>. (i) The Borrower or any Restricted Subsidiary (other than an Escrow Subsidiary) (A) fails to</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make any payment when due (whether by scheduled maturity, required prepayment, acceleration, demand, or otherwise) in respect of any Indebtedness or Guarantee of Indebtedness (other than Indebtedness under the Loan Documents and Indebtedness under Swap Contracts) having an aggregate principal amount (including undrawn committed or available amounts and including amounts owing to all creditors under any combined or syndicated credit arrangement) of more than the Threshold Amount, or (B) fails to observe or perform any other agreement or condition relating to any such Indebtedness or Guarantee of Indebtedness or contained in any instrument or agreement evidencing, securing or relating thereto, or any other event occurs, in each case after any applicable grace, cure or notice period, the effect of which default or other event is to cause, or to permit the holder or holders of such Indebtedness or the beneficiary or beneficiaries of such Guarantee of Indebtedness (or a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157</w:t>
      </w:r>
    </w:p>
    <w:p>
      <w:pPr>
        <w:sectPr>
          <w:pgSz w:w="11900" w:h="16838" w:orient="portrait"/>
          <w:cols w:equalWidth="0" w:num="1">
            <w:col w:w="11240"/>
          </w:cols>
          <w:pgMar w:left="320" w:top="1397" w:right="339" w:bottom="1440" w:gutter="0" w:footer="0" w:header="0"/>
        </w:sectPr>
      </w:pPr>
    </w:p>
    <w:bookmarkStart w:id="263" w:name="page264"/>
    <w:bookmarkEnd w:id="263"/>
    <w:p>
      <w:pPr>
        <w:jc w:val="both"/>
        <w:spacing w:after="0" w:line="215" w:lineRule="auto"/>
        <w:rPr>
          <w:sz w:val="20"/>
          <w:szCs w:val="20"/>
          <w:color w:val="auto"/>
        </w:rPr>
      </w:pPr>
      <w:r>
        <w:rPr>
          <w:rFonts w:ascii="Times New Roman" w:cs="Times New Roman" w:eastAsia="Times New Roman" w:hAnsi="Times New Roman"/>
          <w:sz w:val="21"/>
          <w:szCs w:val="21"/>
          <w:color w:val="auto"/>
        </w:rPr>
        <w:t>or agent on behalf of such holder or holders or beneficiary or beneficiaries)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such Guarantee of Indebtedness to become payable or cash collateral in respect thereof to be demanded; or (ii) there occurs under any Swap Contract an Early Termination Date (as defined, or as such comparable term may be used and defined, in such Swap Contract) resulting from</w:t>
      </w:r>
    </w:p>
    <w:p>
      <w:pPr>
        <w:spacing w:after="0" w:line="2" w:lineRule="exact"/>
        <w:rPr>
          <w:sz w:val="20"/>
          <w:szCs w:val="20"/>
          <w:color w:val="auto"/>
        </w:rPr>
      </w:pPr>
    </w:p>
    <w:p>
      <w:pPr>
        <w:jc w:val="both"/>
        <w:ind w:firstLine="6"/>
        <w:spacing w:after="0" w:line="217" w:lineRule="auto"/>
        <w:tabs>
          <w:tab w:leader="none" w:pos="361" w:val="left"/>
        </w:tabs>
        <w:numPr>
          <w:ilvl w:val="0"/>
          <w:numId w:val="2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event of default under such Swap Contract as to which the Borrower or any Restricted Subsidiary is the Defaulting Party (as defined, or as such comparable term may be used and defined, in such Swap Contract) or (B) any Termination Event (as defined, or as such comparable term may be used and defined, in such Swap Contract) under such Swap Contract as to which the Borrower or any Restricted Subsidiary is an Affected Party (as defined, or as such comparable term may be used and defined, in such Swap Contract) and, in either event, the Swap Termination Value owed by the Borrower or such Restricted Subsidiary as a result thereof is greater than the Threshold Amount; or</w:t>
      </w:r>
    </w:p>
    <w:p>
      <w:pPr>
        <w:spacing w:after="0" w:line="147" w:lineRule="exact"/>
        <w:rPr>
          <w:rFonts w:ascii="Times New Roman" w:cs="Times New Roman" w:eastAsia="Times New Roman" w:hAnsi="Times New Roman"/>
          <w:sz w:val="21"/>
          <w:szCs w:val="21"/>
          <w:color w:val="auto"/>
        </w:rPr>
      </w:pPr>
    </w:p>
    <w:p>
      <w:pPr>
        <w:jc w:val="both"/>
        <w:ind w:firstLine="1278"/>
        <w:spacing w:after="0" w:line="219" w:lineRule="auto"/>
        <w:tabs>
          <w:tab w:leader="none" w:pos="1908" w:val="left"/>
        </w:tabs>
        <w:numPr>
          <w:ilvl w:val="1"/>
          <w:numId w:val="2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Insolvency Proceedings</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Etc</w:t>
      </w:r>
      <w:r>
        <w:rPr>
          <w:rFonts w:ascii="Times New Roman" w:cs="Times New Roman" w:eastAsia="Times New Roman" w:hAnsi="Times New Roman"/>
          <w:sz w:val="21"/>
          <w:szCs w:val="21"/>
          <w:color w:val="auto"/>
        </w:rPr>
        <w:t>. Any Loan Party or any of its Restricted Subsidiaries (other than an Immaterial</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Subsidiary or an Escrow Subsidiary)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60 calendar days; or any proceeding under any Debtor Relief Law relating to any such Person or to all or any material part of its property is instituted without the consent of such Person and continues undismissed or unstayed for 60 calendar days, or an order for relief is entered in any such proceeding; or</w:t>
      </w:r>
    </w:p>
    <w:p>
      <w:pPr>
        <w:spacing w:after="0" w:line="145" w:lineRule="exact"/>
        <w:rPr>
          <w:rFonts w:ascii="Times New Roman" w:cs="Times New Roman" w:eastAsia="Times New Roman" w:hAnsi="Times New Roman"/>
          <w:sz w:val="21"/>
          <w:szCs w:val="21"/>
          <w:color w:val="auto"/>
        </w:rPr>
      </w:pPr>
    </w:p>
    <w:p>
      <w:pPr>
        <w:jc w:val="both"/>
        <w:ind w:firstLine="1278"/>
        <w:spacing w:after="0" w:line="227" w:lineRule="auto"/>
        <w:tabs>
          <w:tab w:leader="none" w:pos="1903" w:val="left"/>
        </w:tabs>
        <w:numPr>
          <w:ilvl w:val="1"/>
          <w:numId w:val="2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Inability to Pay Debts</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Attachment</w:t>
      </w:r>
      <w:r>
        <w:rPr>
          <w:rFonts w:ascii="Times New Roman" w:cs="Times New Roman" w:eastAsia="Times New Roman" w:hAnsi="Times New Roman"/>
          <w:sz w:val="21"/>
          <w:szCs w:val="21"/>
          <w:color w:val="auto"/>
        </w:rPr>
        <w:t>. (i) The Borrower or any Restricted Subsidiary (other than an Immaterial</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Subsidiary or an Escrow Subsidiary) becomes unable or admits in writing its inability or fails generally to pay its debts as they become due, or (ii) any writ or warrant of attachment or execution or similar process is issued or levied against all or any material part of the property of any such Person and is not released, vacated or fully bonded within 30 days after its issue or levy; or</w:t>
      </w:r>
    </w:p>
    <w:p>
      <w:pPr>
        <w:spacing w:after="0" w:line="146" w:lineRule="exact"/>
        <w:rPr>
          <w:rFonts w:ascii="Times New Roman" w:cs="Times New Roman" w:eastAsia="Times New Roman" w:hAnsi="Times New Roman"/>
          <w:sz w:val="21"/>
          <w:szCs w:val="21"/>
          <w:color w:val="auto"/>
        </w:rPr>
      </w:pPr>
    </w:p>
    <w:p>
      <w:pPr>
        <w:jc w:val="both"/>
        <w:ind w:firstLine="1278"/>
        <w:spacing w:after="0" w:line="220" w:lineRule="auto"/>
        <w:tabs>
          <w:tab w:leader="none" w:pos="1903" w:val="left"/>
        </w:tabs>
        <w:numPr>
          <w:ilvl w:val="1"/>
          <w:numId w:val="2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Judgments</w:t>
      </w:r>
      <w:r>
        <w:rPr>
          <w:rFonts w:ascii="Times New Roman" w:cs="Times New Roman" w:eastAsia="Times New Roman" w:hAnsi="Times New Roman"/>
          <w:sz w:val="21"/>
          <w:szCs w:val="21"/>
          <w:color w:val="auto"/>
        </w:rPr>
        <w:t>. There is entered against the Borrower or any Restricted Subsidiary (other than an Escrow</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Subsidiary) (i) one or more final judgments or orders for the payment of money in an aggregate amount (as to all such judgments or orders) exceeding the Threshold Amount (to the extent not covered by independent third-party insurance as to which the insurer does not dispute coverage), or (ii) any one or more non-monetary final judgments that have, or could reasonably be expected to have, individually or in the aggregate, a Material Adverse Effect and, in either case, (A) enforcement proceedings are commenced by any creditor upon such judgment or order, or (B) there is a period of 30 consecutive days during which a stay of enforcement of such judgment, by reason of a pending appeal or otherwise, is not in effect; or</w:t>
      </w:r>
    </w:p>
    <w:p>
      <w:pPr>
        <w:spacing w:after="0" w:line="146" w:lineRule="exact"/>
        <w:rPr>
          <w:rFonts w:ascii="Times New Roman" w:cs="Times New Roman" w:eastAsia="Times New Roman" w:hAnsi="Times New Roman"/>
          <w:sz w:val="21"/>
          <w:szCs w:val="21"/>
          <w:color w:val="auto"/>
        </w:rPr>
      </w:pPr>
    </w:p>
    <w:p>
      <w:pPr>
        <w:jc w:val="both"/>
        <w:ind w:firstLine="1278"/>
        <w:spacing w:after="0" w:line="223" w:lineRule="auto"/>
        <w:tabs>
          <w:tab w:leader="none" w:pos="1896" w:val="left"/>
        </w:tabs>
        <w:numPr>
          <w:ilvl w:val="1"/>
          <w:numId w:val="2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ERISA</w:t>
      </w:r>
      <w:r>
        <w:rPr>
          <w:rFonts w:ascii="Times New Roman" w:cs="Times New Roman" w:eastAsia="Times New Roman" w:hAnsi="Times New Roman"/>
          <w:sz w:val="21"/>
          <w:szCs w:val="21"/>
          <w:color w:val="auto"/>
        </w:rPr>
        <w:t>. (i) An ERISA Event occurs that alone or together with any other ERISA Event that has occurred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could reasonably be expected to result in a Material Adverse Effect, or (ii) the Borrower or any ERISA Affiliate fails to pay when due, after the expiration of any applicable grace period, any installment payment with respect to its withdrawal liability under Section 4201 of ERISA under a Multiemployer Plan in an aggregate amount that could reasonably be expected to result in a Material Adverse Effect; or</w:t>
      </w:r>
    </w:p>
    <w:p>
      <w:pPr>
        <w:spacing w:after="0" w:line="150" w:lineRule="exact"/>
        <w:rPr>
          <w:rFonts w:ascii="Times New Roman" w:cs="Times New Roman" w:eastAsia="Times New Roman" w:hAnsi="Times New Roman"/>
          <w:sz w:val="21"/>
          <w:szCs w:val="21"/>
          <w:color w:val="auto"/>
        </w:rPr>
      </w:pPr>
    </w:p>
    <w:p>
      <w:pPr>
        <w:ind w:firstLine="1278"/>
        <w:spacing w:after="0" w:line="247" w:lineRule="auto"/>
        <w:tabs>
          <w:tab w:leader="none" w:pos="1896" w:val="left"/>
        </w:tabs>
        <w:numPr>
          <w:ilvl w:val="1"/>
          <w:numId w:val="2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Invalidity of Loan Documents</w:t>
      </w:r>
      <w:r>
        <w:rPr>
          <w:rFonts w:ascii="Times New Roman" w:cs="Times New Roman" w:eastAsia="Times New Roman" w:hAnsi="Times New Roman"/>
          <w:sz w:val="21"/>
          <w:szCs w:val="21"/>
          <w:color w:val="auto"/>
        </w:rPr>
        <w:t>. Any provision of any Loan Document, at any time after its execution and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delivery and for any reason other than as expressly permitted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158</w:t>
      </w:r>
    </w:p>
    <w:p>
      <w:pPr>
        <w:sectPr>
          <w:pgSz w:w="11900" w:h="16838" w:orient="portrait"/>
          <w:cols w:equalWidth="0" w:num="1">
            <w:col w:w="11240"/>
          </w:cols>
          <w:pgMar w:left="320" w:top="1371" w:right="339" w:bottom="1440" w:gutter="0" w:footer="0" w:header="0"/>
        </w:sectPr>
      </w:pPr>
    </w:p>
    <w:bookmarkStart w:id="264" w:name="page265"/>
    <w:bookmarkEnd w:id="264"/>
    <w:p>
      <w:pPr>
        <w:jc w:val="both"/>
        <w:spacing w:after="0"/>
        <w:rPr>
          <w:sz w:val="20"/>
          <w:szCs w:val="20"/>
          <w:color w:val="auto"/>
        </w:rPr>
      </w:pPr>
      <w:r>
        <w:rPr>
          <w:rFonts w:ascii="Times New Roman" w:cs="Times New Roman" w:eastAsia="Times New Roman" w:hAnsi="Times New Roman"/>
          <w:sz w:val="21"/>
          <w:szCs w:val="21"/>
          <w:color w:val="auto"/>
        </w:rPr>
        <w:t>hereunder or thereunder including the release or termination thereof by the Administrative Agent or the Required Lenders or satisfaction in full of all the Obligations, ceases to be in full force and effect; or any Loan Party or any other Person contests in any manner the validity or enforceability of any provision of any Loan Document; or any Loan Party denies that it has any or further liability or obligation under any Loan Document, or purports to revoke, terminate or rescind any provision of any Loan Document; or</w:t>
      </w:r>
    </w:p>
    <w:p>
      <w:pPr>
        <w:spacing w:after="0" w:line="304" w:lineRule="exact"/>
        <w:rPr>
          <w:sz w:val="20"/>
          <w:szCs w:val="20"/>
          <w:color w:val="auto"/>
        </w:rPr>
      </w:pPr>
    </w:p>
    <w:p>
      <w:pPr>
        <w:ind w:left="1900" w:hanging="622"/>
        <w:spacing w:after="0"/>
        <w:tabs>
          <w:tab w:leader="none" w:pos="1900" w:val="left"/>
        </w:tabs>
        <w:numPr>
          <w:ilvl w:val="0"/>
          <w:numId w:val="2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Change of Control</w:t>
      </w:r>
      <w:r>
        <w:rPr>
          <w:rFonts w:ascii="Times New Roman" w:cs="Times New Roman" w:eastAsia="Times New Roman" w:hAnsi="Times New Roman"/>
          <w:sz w:val="21"/>
          <w:szCs w:val="21"/>
          <w:color w:val="auto"/>
        </w:rPr>
        <w:t>. There occurs any Change of Control; or</w:t>
      </w:r>
    </w:p>
    <w:p>
      <w:pPr>
        <w:spacing w:after="0" w:line="182" w:lineRule="exact"/>
        <w:rPr>
          <w:rFonts w:ascii="Times New Roman" w:cs="Times New Roman" w:eastAsia="Times New Roman" w:hAnsi="Times New Roman"/>
          <w:sz w:val="21"/>
          <w:szCs w:val="21"/>
          <w:color w:val="auto"/>
        </w:rPr>
      </w:pPr>
    </w:p>
    <w:p>
      <w:pPr>
        <w:jc w:val="both"/>
        <w:ind w:firstLine="1278"/>
        <w:spacing w:after="0" w:line="232" w:lineRule="auto"/>
        <w:tabs>
          <w:tab w:leader="none" w:pos="1896" w:val="left"/>
        </w:tabs>
        <w:numPr>
          <w:ilvl w:val="0"/>
          <w:numId w:val="2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Collateral Documents</w:t>
      </w:r>
      <w:r>
        <w:rPr>
          <w:rFonts w:ascii="Times New Roman" w:cs="Times New Roman" w:eastAsia="Times New Roman" w:hAnsi="Times New Roman"/>
          <w:sz w:val="21"/>
          <w:szCs w:val="21"/>
          <w:color w:val="auto"/>
        </w:rPr>
        <w:t>. Any Collateral Document after delivery thereof pursuant to</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u w:val="single" w:color="auto"/>
          <w:color w:val="auto"/>
        </w:rPr>
        <w:t>Article 4</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u w:val="single" w:color="auto"/>
          <w:color w:val="auto"/>
        </w:rPr>
        <w:t>Section 6.11</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shall for any reason (other than pursuant to the terms hereof) cease to create a valid and perfected first priority Lien (subject to Permitted Prior Liens) on the Collateral purported to be covered thereby.</w:t>
      </w:r>
    </w:p>
    <w:p>
      <w:pPr>
        <w:spacing w:after="0" w:line="148"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8.02</w:t>
      </w:r>
      <w:r>
        <w:rPr>
          <w:sz w:val="20"/>
          <w:szCs w:val="20"/>
          <w:color w:val="auto"/>
        </w:rPr>
        <w:tab/>
      </w:r>
      <w:r>
        <w:rPr>
          <w:rFonts w:ascii="Times New Roman" w:cs="Times New Roman" w:eastAsia="Times New Roman" w:hAnsi="Times New Roman"/>
          <w:sz w:val="21"/>
          <w:szCs w:val="21"/>
          <w:i w:val="1"/>
          <w:iCs w:val="1"/>
          <w:color w:val="auto"/>
        </w:rPr>
        <w:t>Remedies Upon Event of Default</w:t>
      </w:r>
    </w:p>
    <w:p>
      <w:pPr>
        <w:spacing w:after="0" w:line="211" w:lineRule="exact"/>
        <w:rPr>
          <w:sz w:val="20"/>
          <w:szCs w:val="20"/>
          <w:color w:val="auto"/>
        </w:rPr>
      </w:pPr>
    </w:p>
    <w:p>
      <w:pPr>
        <w:jc w:val="both"/>
        <w:ind w:firstLine="642"/>
        <w:spacing w:after="0" w:line="266" w:lineRule="auto"/>
        <w:tabs>
          <w:tab w:leader="none" w:pos="742" w:val="left"/>
        </w:tabs>
        <w:numPr>
          <w:ilvl w:val="0"/>
          <w:numId w:val="2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any Event of Default occurs and is continuing, the Administrative Agent shall, at the request of, or may, with the consent of, the Required Lenders (or, in the case of </w:t>
      </w:r>
      <w:r>
        <w:rPr>
          <w:rFonts w:ascii="Times New Roman" w:cs="Times New Roman" w:eastAsia="Times New Roman" w:hAnsi="Times New Roman"/>
          <w:sz w:val="21"/>
          <w:szCs w:val="21"/>
          <w:u w:val="single" w:color="auto"/>
          <w:color w:val="auto"/>
        </w:rPr>
        <w:t>Section 8.02(a)</w:t>
      </w:r>
      <w:r>
        <w:rPr>
          <w:rFonts w:ascii="Times New Roman" w:cs="Times New Roman" w:eastAsia="Times New Roman" w:hAnsi="Times New Roman"/>
          <w:sz w:val="21"/>
          <w:szCs w:val="21"/>
          <w:color w:val="auto"/>
        </w:rPr>
        <w:t xml:space="preserve"> (insofar as it relates to the obligations of the Revolving Credit Lenders to make Revolving Credit Loans and of the L/C Issuers to make L/C Credit Extensions) or </w:t>
      </w:r>
      <w:r>
        <w:rPr>
          <w:rFonts w:ascii="Times New Roman" w:cs="Times New Roman" w:eastAsia="Times New Roman" w:hAnsi="Times New Roman"/>
          <w:sz w:val="21"/>
          <w:szCs w:val="21"/>
          <w:u w:val="single" w:color="auto"/>
          <w:color w:val="auto"/>
        </w:rPr>
        <w:t>Section 8.02(e)</w:t>
      </w:r>
      <w:r>
        <w:rPr>
          <w:rFonts w:ascii="Times New Roman" w:cs="Times New Roman" w:eastAsia="Times New Roman" w:hAnsi="Times New Roman"/>
          <w:sz w:val="21"/>
          <w:szCs w:val="21"/>
          <w:color w:val="auto"/>
        </w:rPr>
        <w:t>, in each case, the Required Revolving Credit Lenders), take any or all of the following actions:</w:t>
      </w:r>
    </w:p>
    <w:p>
      <w:pPr>
        <w:spacing w:after="0" w:line="135" w:lineRule="exact"/>
        <w:rPr>
          <w:rFonts w:ascii="Times New Roman" w:cs="Times New Roman" w:eastAsia="Times New Roman" w:hAnsi="Times New Roman"/>
          <w:sz w:val="21"/>
          <w:szCs w:val="21"/>
          <w:color w:val="auto"/>
        </w:rPr>
      </w:pPr>
    </w:p>
    <w:p>
      <w:pPr>
        <w:ind w:firstLine="1278"/>
        <w:spacing w:after="0" w:line="245" w:lineRule="auto"/>
        <w:tabs>
          <w:tab w:leader="none" w:pos="1905" w:val="left"/>
        </w:tabs>
        <w:numPr>
          <w:ilvl w:val="1"/>
          <w:numId w:val="2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declare the commitment of each Lender to make Loans and any obligation of the L/C Issuers to make L/C Credit Extensions to be terminated, whereupon such commitments and </w:t>
      </w:r>
      <w:r>
        <w:rPr>
          <w:rFonts w:ascii="Times New Roman" w:cs="Times New Roman" w:eastAsia="Times New Roman" w:hAnsi="Times New Roman"/>
          <w:sz w:val="21"/>
          <w:szCs w:val="21"/>
          <w:b w:val="1"/>
          <w:bCs w:val="1"/>
          <w:color w:val="FF0000"/>
          <w:strike w:val="1"/>
        </w:rPr>
        <w:t>obligation</w:t>
      </w:r>
      <w:r>
        <w:rPr>
          <w:rFonts w:ascii="Times New Roman" w:cs="Times New Roman" w:eastAsia="Times New Roman" w:hAnsi="Times New Roman"/>
          <w:sz w:val="21"/>
          <w:szCs w:val="21"/>
          <w:b w:val="1"/>
          <w:bCs w:val="1"/>
          <w:u w:val="single" w:color="auto"/>
          <w:color w:val="0000FF"/>
        </w:rPr>
        <w:t>obligations</w:t>
      </w:r>
      <w:r>
        <w:rPr>
          <w:rFonts w:ascii="Times New Roman" w:cs="Times New Roman" w:eastAsia="Times New Roman" w:hAnsi="Times New Roman"/>
          <w:sz w:val="21"/>
          <w:szCs w:val="21"/>
          <w:color w:val="auto"/>
        </w:rPr>
        <w:t xml:space="preserve"> shall be terminated;</w:t>
      </w:r>
    </w:p>
    <w:p>
      <w:pPr>
        <w:spacing w:after="0" w:line="142" w:lineRule="exact"/>
        <w:rPr>
          <w:rFonts w:ascii="Times New Roman" w:cs="Times New Roman" w:eastAsia="Times New Roman" w:hAnsi="Times New Roman"/>
          <w:sz w:val="21"/>
          <w:szCs w:val="21"/>
          <w:color w:val="auto"/>
        </w:rPr>
      </w:pPr>
    </w:p>
    <w:p>
      <w:pPr>
        <w:jc w:val="both"/>
        <w:ind w:firstLine="1278"/>
        <w:spacing w:after="0" w:line="232" w:lineRule="auto"/>
        <w:tabs>
          <w:tab w:leader="none" w:pos="1903" w:val="left"/>
        </w:tabs>
        <w:numPr>
          <w:ilvl w:val="1"/>
          <w:numId w:val="2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w:t>
      </w:r>
    </w:p>
    <w:p>
      <w:pPr>
        <w:spacing w:after="0" w:line="147" w:lineRule="exact"/>
        <w:rPr>
          <w:rFonts w:ascii="Times New Roman" w:cs="Times New Roman" w:eastAsia="Times New Roman" w:hAnsi="Times New Roman"/>
          <w:sz w:val="21"/>
          <w:szCs w:val="21"/>
          <w:color w:val="auto"/>
        </w:rPr>
      </w:pPr>
    </w:p>
    <w:p>
      <w:pPr>
        <w:ind w:firstLine="1278"/>
        <w:spacing w:after="0" w:line="245" w:lineRule="auto"/>
        <w:tabs>
          <w:tab w:leader="none" w:pos="1905" w:val="left"/>
        </w:tabs>
        <w:numPr>
          <w:ilvl w:val="1"/>
          <w:numId w:val="2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require that the Borrower Cash Collateralize the L/C Obligations (in an amount equal to 105% of the then Outstanding Amount thereof);</w:t>
      </w:r>
    </w:p>
    <w:p>
      <w:pPr>
        <w:spacing w:after="0" w:line="142" w:lineRule="exact"/>
        <w:rPr>
          <w:rFonts w:ascii="Times New Roman" w:cs="Times New Roman" w:eastAsia="Times New Roman" w:hAnsi="Times New Roman"/>
          <w:sz w:val="21"/>
          <w:szCs w:val="21"/>
          <w:color w:val="auto"/>
        </w:rPr>
      </w:pPr>
    </w:p>
    <w:p>
      <w:pPr>
        <w:ind w:firstLine="1278"/>
        <w:spacing w:after="0" w:line="245" w:lineRule="auto"/>
        <w:tabs>
          <w:tab w:leader="none" w:pos="1903" w:val="left"/>
        </w:tabs>
        <w:numPr>
          <w:ilvl w:val="1"/>
          <w:numId w:val="2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exercise on behalf of itself, the Lenders and the L/C Issuers all rights and remedies available to it, the Lenders and the L/C Issuers under the Loan Documents or at law or in equity; and</w:t>
      </w:r>
    </w:p>
    <w:p>
      <w:pPr>
        <w:spacing w:after="0" w:line="142" w:lineRule="exact"/>
        <w:rPr>
          <w:rFonts w:ascii="Times New Roman" w:cs="Times New Roman" w:eastAsia="Times New Roman" w:hAnsi="Times New Roman"/>
          <w:sz w:val="21"/>
          <w:szCs w:val="21"/>
          <w:color w:val="auto"/>
        </w:rPr>
      </w:pPr>
    </w:p>
    <w:p>
      <w:pPr>
        <w:jc w:val="both"/>
        <w:ind w:firstLine="1278"/>
        <w:spacing w:after="0" w:line="232" w:lineRule="auto"/>
        <w:tabs>
          <w:tab w:leader="none" w:pos="1905" w:val="left"/>
        </w:tabs>
        <w:numPr>
          <w:ilvl w:val="1"/>
          <w:numId w:val="2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upon the occurrence of an Event of Default under </w:t>
      </w:r>
      <w:r>
        <w:rPr>
          <w:rFonts w:ascii="Times New Roman" w:cs="Times New Roman" w:eastAsia="Times New Roman" w:hAnsi="Times New Roman"/>
          <w:sz w:val="21"/>
          <w:szCs w:val="21"/>
          <w:u w:val="single" w:color="auto"/>
          <w:color w:val="auto"/>
        </w:rPr>
        <w:t>Section 7.11</w:t>
      </w:r>
      <w:r>
        <w:rPr>
          <w:rFonts w:ascii="Times New Roman" w:cs="Times New Roman" w:eastAsia="Times New Roman" w:hAnsi="Times New Roman"/>
          <w:sz w:val="21"/>
          <w:szCs w:val="21"/>
          <w:color w:val="auto"/>
        </w:rPr>
        <w:t xml:space="preserve"> that is unwaived, (x) terminate the Revolving Credit Commitments and/or (y) take any or all of the actions specified in </w:t>
      </w:r>
      <w:r>
        <w:rPr>
          <w:rFonts w:ascii="Times New Roman" w:cs="Times New Roman" w:eastAsia="Times New Roman" w:hAnsi="Times New Roman"/>
          <w:sz w:val="21"/>
          <w:szCs w:val="21"/>
          <w:u w:val="single" w:color="auto"/>
          <w:color w:val="auto"/>
        </w:rPr>
        <w:t>Section 8.02(a)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(d)</w:t>
      </w:r>
      <w:r>
        <w:rPr>
          <w:rFonts w:ascii="Times New Roman" w:cs="Times New Roman" w:eastAsia="Times New Roman" w:hAnsi="Times New Roman"/>
          <w:sz w:val="21"/>
          <w:szCs w:val="21"/>
          <w:color w:val="auto"/>
        </w:rPr>
        <w:t xml:space="preserve"> in respect of the Revolving Credit Commitments, Revolving </w:t>
      </w:r>
      <w:r>
        <w:rPr>
          <w:rFonts w:ascii="Times New Roman" w:cs="Times New Roman" w:eastAsia="Times New Roman" w:hAnsi="Times New Roman"/>
          <w:sz w:val="21"/>
          <w:szCs w:val="21"/>
          <w:b w:val="1"/>
          <w:bCs w:val="1"/>
          <w:u w:val="single" w:color="auto"/>
          <w:color w:val="0000FF"/>
        </w:rPr>
        <w:t>Credit</w:t>
      </w:r>
      <w:r>
        <w:rPr>
          <w:rFonts w:ascii="Times New Roman" w:cs="Times New Roman" w:eastAsia="Times New Roman" w:hAnsi="Times New Roman"/>
          <w:sz w:val="21"/>
          <w:szCs w:val="21"/>
          <w:color w:val="auto"/>
        </w:rPr>
        <w:t xml:space="preserve"> Loans and Letters of Credit;</w:t>
      </w:r>
    </w:p>
    <w:p>
      <w:pPr>
        <w:spacing w:after="0" w:line="172" w:lineRule="exact"/>
        <w:rPr>
          <w:sz w:val="20"/>
          <w:szCs w:val="20"/>
          <w:color w:val="auto"/>
        </w:rPr>
      </w:pPr>
    </w:p>
    <w:p>
      <w:pPr>
        <w:jc w:val="both"/>
        <w:ind w:firstLine="636"/>
        <w:spacing w:after="0" w:line="260" w:lineRule="auto"/>
        <w:rPr>
          <w:sz w:val="20"/>
          <w:szCs w:val="20"/>
          <w:color w:val="auto"/>
        </w:rPr>
      </w:pPr>
      <w:r>
        <w:rPr>
          <w:rFonts w:ascii="Times New Roman" w:cs="Times New Roman" w:eastAsia="Times New Roman" w:hAnsi="Times New Roman"/>
          <w:sz w:val="21"/>
          <w:szCs w:val="21"/>
          <w:i w:val="1"/>
          <w:iCs w:val="1"/>
          <w:color w:val="auto"/>
        </w:rPr>
        <w:t xml:space="preserve">provided, however, </w:t>
      </w:r>
      <w:r>
        <w:rPr>
          <w:rFonts w:ascii="Times New Roman" w:cs="Times New Roman" w:eastAsia="Times New Roman" w:hAnsi="Times New Roman"/>
          <w:sz w:val="21"/>
          <w:szCs w:val="21"/>
          <w:color w:val="auto"/>
        </w:rPr>
        <w:t>that (i) upon the taking of any action by or upon the direction of the Required Revolving Credit Lenders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as contemplated by </w:t>
      </w:r>
      <w:r>
        <w:rPr>
          <w:rFonts w:ascii="Times New Roman" w:cs="Times New Roman" w:eastAsia="Times New Roman" w:hAnsi="Times New Roman"/>
          <w:sz w:val="21"/>
          <w:szCs w:val="21"/>
          <w:u w:val="single" w:color="auto"/>
          <w:color w:val="auto"/>
        </w:rPr>
        <w:t>clause (e)</w:t>
      </w:r>
      <w:r>
        <w:rPr>
          <w:rFonts w:ascii="Times New Roman" w:cs="Times New Roman" w:eastAsia="Times New Roman" w:hAnsi="Times New Roman"/>
          <w:sz w:val="21"/>
          <w:szCs w:val="21"/>
          <w:color w:val="auto"/>
        </w:rPr>
        <w:t xml:space="preserve"> above, the Required Lenders may take any of the actions contemplated by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though </w:t>
      </w:r>
      <w:r>
        <w:rPr>
          <w:rFonts w:ascii="Times New Roman" w:cs="Times New Roman" w:eastAsia="Times New Roman" w:hAnsi="Times New Roman"/>
          <w:sz w:val="21"/>
          <w:szCs w:val="21"/>
          <w:u w:val="single" w:color="auto"/>
          <w:color w:val="auto"/>
        </w:rPr>
        <w:t>(d)</w:t>
      </w:r>
      <w:r>
        <w:rPr>
          <w:rFonts w:ascii="Times New Roman" w:cs="Times New Roman" w:eastAsia="Times New Roman" w:hAnsi="Times New Roman"/>
          <w:sz w:val="21"/>
          <w:szCs w:val="21"/>
          <w:color w:val="auto"/>
        </w:rPr>
        <w:t xml:space="preserve"> above with respect to any Facility hereunder and (ii) upon the occurrence of any Event of Default set forth in </w:t>
      </w:r>
      <w:r>
        <w:rPr>
          <w:rFonts w:ascii="Times New Roman" w:cs="Times New Roman" w:eastAsia="Times New Roman" w:hAnsi="Times New Roman"/>
          <w:sz w:val="21"/>
          <w:szCs w:val="21"/>
          <w:u w:val="single" w:color="auto"/>
          <w:color w:val="auto"/>
        </w:rPr>
        <w:t>Section 8.01(f)</w:t>
      </w:r>
      <w:r>
        <w:rPr>
          <w:rFonts w:ascii="Times New Roman" w:cs="Times New Roman" w:eastAsia="Times New Roman" w:hAnsi="Times New Roman"/>
          <w:sz w:val="21"/>
          <w:szCs w:val="21"/>
          <w:color w:val="auto"/>
        </w:rPr>
        <w:t>, the obligation of each Lender to make Loans and any obligation of each L/C Issuer to make L/C Credit Extensions shall automatically terminate, the unpaid principal amount of all outstanding Loans and all interest and other amounts as aforesaid shall automatically become due and payable, and the obligation of the Borrower to Cash Collateralize the L/C Obligations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159</w:t>
      </w:r>
    </w:p>
    <w:p>
      <w:pPr>
        <w:sectPr>
          <w:pgSz w:w="11900" w:h="16838" w:orient="portrait"/>
          <w:cols w:equalWidth="0" w:num="1">
            <w:col w:w="11240"/>
          </w:cols>
          <w:pgMar w:left="320" w:top="1371" w:right="33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21"/>
          <w:szCs w:val="21"/>
          <w:color w:val="auto"/>
        </w:rPr>
        <w:t>aforesaid shall automatically become effective, in each case without further act of the Administrative Agent or any Lender.</w:t>
      </w:r>
    </w:p>
    <w:p>
      <w:pPr>
        <w:spacing w:after="0" w:line="194"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8.03</w:t>
      </w:r>
      <w:r>
        <w:rPr>
          <w:sz w:val="20"/>
          <w:szCs w:val="20"/>
          <w:color w:val="auto"/>
        </w:rPr>
        <w:tab/>
      </w:r>
      <w:r>
        <w:rPr>
          <w:rFonts w:ascii="Times New Roman" w:cs="Times New Roman" w:eastAsia="Times New Roman" w:hAnsi="Times New Roman"/>
          <w:sz w:val="21"/>
          <w:szCs w:val="21"/>
          <w:i w:val="1"/>
          <w:iCs w:val="1"/>
          <w:color w:val="auto"/>
        </w:rPr>
        <w:t>Application of Funds</w:t>
      </w:r>
    </w:p>
    <w:p>
      <w:pPr>
        <w:spacing w:after="0" w:line="211" w:lineRule="exact"/>
        <w:rPr>
          <w:sz w:val="20"/>
          <w:szCs w:val="20"/>
          <w:color w:val="auto"/>
        </w:rPr>
      </w:pPr>
    </w:p>
    <w:p>
      <w:pPr>
        <w:jc w:val="both"/>
        <w:ind w:firstLine="642"/>
        <w:spacing w:after="0" w:line="262" w:lineRule="auto"/>
        <w:tabs>
          <w:tab w:leader="none" w:pos="742" w:val="left"/>
        </w:tabs>
        <w:numPr>
          <w:ilvl w:val="0"/>
          <w:numId w:val="2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After the exercise of remedies provided for in </w:t>
      </w:r>
      <w:r>
        <w:rPr>
          <w:rFonts w:ascii="Times New Roman" w:cs="Times New Roman" w:eastAsia="Times New Roman" w:hAnsi="Times New Roman"/>
          <w:sz w:val="21"/>
          <w:szCs w:val="21"/>
          <w:u w:val="single" w:color="auto"/>
          <w:color w:val="auto"/>
        </w:rPr>
        <w:t>Section 8.02</w:t>
      </w:r>
      <w:r>
        <w:rPr>
          <w:rFonts w:ascii="Times New Roman" w:cs="Times New Roman" w:eastAsia="Times New Roman" w:hAnsi="Times New Roman"/>
          <w:sz w:val="21"/>
          <w:szCs w:val="21"/>
          <w:color w:val="auto"/>
        </w:rPr>
        <w:t xml:space="preserve"> (or after the Loans have automatically become immediately due and payable and the L/C Obligations have automatically been required to be Cash Collateralized as set forth in the proviso to </w:t>
      </w:r>
      <w:r>
        <w:rPr>
          <w:rFonts w:ascii="Times New Roman" w:cs="Times New Roman" w:eastAsia="Times New Roman" w:hAnsi="Times New Roman"/>
          <w:sz w:val="21"/>
          <w:szCs w:val="21"/>
          <w:u w:val="single" w:color="auto"/>
          <w:color w:val="auto"/>
        </w:rPr>
        <w:t>Section 8.02),</w:t>
      </w:r>
      <w:r>
        <w:rPr>
          <w:rFonts w:ascii="Times New Roman" w:cs="Times New Roman" w:eastAsia="Times New Roman" w:hAnsi="Times New Roman"/>
          <w:sz w:val="21"/>
          <w:szCs w:val="21"/>
          <w:color w:val="auto"/>
        </w:rPr>
        <w:t xml:space="preserve"> any amounts received on account of the Obligations shall, subject to the provisions of </w:t>
      </w:r>
      <w:r>
        <w:rPr>
          <w:rFonts w:ascii="Times New Roman" w:cs="Times New Roman" w:eastAsia="Times New Roman" w:hAnsi="Times New Roman"/>
          <w:sz w:val="21"/>
          <w:szCs w:val="21"/>
          <w:u w:val="single" w:color="auto"/>
          <w:color w:val="auto"/>
        </w:rPr>
        <w:t>Sections 2.15</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2.16</w:t>
      </w:r>
      <w:r>
        <w:rPr>
          <w:rFonts w:ascii="Times New Roman" w:cs="Times New Roman" w:eastAsia="Times New Roman" w:hAnsi="Times New Roman"/>
          <w:sz w:val="21"/>
          <w:szCs w:val="21"/>
          <w:color w:val="auto"/>
        </w:rPr>
        <w:t xml:space="preserve"> and of any Pari Passu Intercreditor Agreement then in effect, be applied by the Administrative Agent in the order specified in </w:t>
      </w:r>
      <w:r>
        <w:rPr>
          <w:rFonts w:ascii="Times New Roman" w:cs="Times New Roman" w:eastAsia="Times New Roman" w:hAnsi="Times New Roman"/>
          <w:sz w:val="21"/>
          <w:szCs w:val="21"/>
          <w:u w:val="single" w:color="auto"/>
          <w:color w:val="auto"/>
        </w:rPr>
        <w:t>Section 6.5</w:t>
      </w:r>
      <w:r>
        <w:rPr>
          <w:rFonts w:ascii="Times New Roman" w:cs="Times New Roman" w:eastAsia="Times New Roman" w:hAnsi="Times New Roman"/>
          <w:sz w:val="21"/>
          <w:szCs w:val="21"/>
          <w:color w:val="auto"/>
        </w:rPr>
        <w:t xml:space="preserve"> of the Collateral Agreement.</w:t>
      </w:r>
    </w:p>
    <w:p>
      <w:pPr>
        <w:spacing w:after="0" w:line="13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b w:val="1"/>
          <w:bCs w:val="1"/>
          <w:color w:val="auto"/>
        </w:rPr>
        <w:t>Article 9.</w:t>
      </w:r>
    </w:p>
    <w:p>
      <w:pPr>
        <w:ind w:left="5160"/>
        <w:spacing w:after="0"/>
        <w:rPr>
          <w:sz w:val="20"/>
          <w:szCs w:val="20"/>
          <w:color w:val="auto"/>
        </w:rPr>
      </w:pPr>
      <w:r>
        <w:rPr>
          <w:rFonts w:ascii="Times New Roman" w:cs="Times New Roman" w:eastAsia="Times New Roman" w:hAnsi="Times New Roman"/>
          <w:sz w:val="21"/>
          <w:szCs w:val="21"/>
          <w:b w:val="1"/>
          <w:bCs w:val="1"/>
          <w:color w:val="auto"/>
        </w:rPr>
        <w:t>AGENCY</w:t>
      </w:r>
    </w:p>
    <w:p>
      <w:pPr>
        <w:spacing w:after="0" w:line="157"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9.01</w:t>
      </w:r>
      <w:r>
        <w:rPr>
          <w:sz w:val="20"/>
          <w:szCs w:val="20"/>
          <w:color w:val="auto"/>
        </w:rPr>
        <w:tab/>
      </w:r>
      <w:r>
        <w:rPr>
          <w:rFonts w:ascii="Times New Roman" w:cs="Times New Roman" w:eastAsia="Times New Roman" w:hAnsi="Times New Roman"/>
          <w:sz w:val="21"/>
          <w:szCs w:val="21"/>
          <w:i w:val="1"/>
          <w:iCs w:val="1"/>
          <w:color w:val="auto"/>
        </w:rPr>
        <w:t>Appointment and Authority</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p>
    <w:p>
      <w:pPr>
        <w:spacing w:after="0" w:line="196" w:lineRule="exact"/>
        <w:rPr>
          <w:sz w:val="20"/>
          <w:szCs w:val="20"/>
          <w:color w:val="auto"/>
        </w:rPr>
      </w:pPr>
    </w:p>
    <w:p>
      <w:pPr>
        <w:jc w:val="both"/>
        <w:ind w:firstLine="1278"/>
        <w:spacing w:after="0" w:line="217" w:lineRule="auto"/>
        <w:tabs>
          <w:tab w:leader="none" w:pos="1905" w:val="left"/>
        </w:tabs>
        <w:numPr>
          <w:ilvl w:val="0"/>
          <w:numId w:val="2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Lenders and each L/C Issuer hereby irrevocably appoints JPMorgan Chase Bank, N.A.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the Lenders and the L/C Issuers, and the Borrower shall not have rights as a third-party beneficiary of any of such provisions. It is understood and agreed that the use of the term “agent” herein or in any other Loan Documents (or any other similar term) with reference to any Agent is not intended to connote any fiduciary or other implied (or express) obligations arising under agency doctrine of any applicable Law. Instead, such term is used as a matter of market custom, and is intended to create or reflect only an administrative relationship between independent contracting parties.</w:t>
      </w:r>
    </w:p>
    <w:p>
      <w:pPr>
        <w:spacing w:after="0" w:line="154" w:lineRule="exact"/>
        <w:rPr>
          <w:rFonts w:ascii="Times New Roman" w:cs="Times New Roman" w:eastAsia="Times New Roman" w:hAnsi="Times New Roman"/>
          <w:sz w:val="21"/>
          <w:szCs w:val="21"/>
          <w:color w:val="auto"/>
        </w:rPr>
      </w:pPr>
    </w:p>
    <w:p>
      <w:pPr>
        <w:jc w:val="both"/>
        <w:ind w:firstLine="1278"/>
        <w:spacing w:after="0" w:line="235" w:lineRule="auto"/>
        <w:tabs>
          <w:tab w:leader="none" w:pos="1903" w:val="left"/>
        </w:tabs>
        <w:numPr>
          <w:ilvl w:val="0"/>
          <w:numId w:val="2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Administrative Agent shall also act as the “collateral agent” under the Loan Documents, and each of the Lenders (including in its capacities as a potential Cash Management Bank and potential Hedge Bank) and the L/C Issuers hereby irrevocably appoints and authorizes the Administrative Agent to act as the agent of such Lender and such L/C Issuer for purposes of acquiring, holding and enforcing any and all Liens on Collateral granted by any of the Loan Parties to secure any of the Obligations, together with such powers and discretion as are reasonably incidental thereto. In this connection, the Administrative Agent, as “collateral agent”, and any co-agents, sub-agents and attorneys-in-fact appointed by the Administrative Agent pursuant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9.05</w:t>
      </w:r>
      <w:r>
        <w:rPr>
          <w:rFonts w:ascii="Times New Roman" w:cs="Times New Roman" w:eastAsia="Times New Roman" w:hAnsi="Times New Roman"/>
          <w:sz w:val="21"/>
          <w:szCs w:val="21"/>
          <w:color w:val="auto"/>
        </w:rPr>
        <w:t xml:space="preserve">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w:t>
      </w:r>
      <w:r>
        <w:rPr>
          <w:rFonts w:ascii="Times New Roman" w:cs="Times New Roman" w:eastAsia="Times New Roman" w:hAnsi="Times New Roman"/>
          <w:sz w:val="21"/>
          <w:szCs w:val="21"/>
          <w:u w:val="single" w:color="auto"/>
          <w:color w:val="auto"/>
        </w:rPr>
        <w:t>Article 9</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Article 10</w:t>
      </w:r>
      <w:r>
        <w:rPr>
          <w:rFonts w:ascii="Times New Roman" w:cs="Times New Roman" w:eastAsia="Times New Roman" w:hAnsi="Times New Roman"/>
          <w:sz w:val="21"/>
          <w:szCs w:val="21"/>
          <w:color w:val="auto"/>
        </w:rPr>
        <w:t xml:space="preserve"> (including </w:t>
      </w:r>
      <w:r>
        <w:rPr>
          <w:rFonts w:ascii="Times New Roman" w:cs="Times New Roman" w:eastAsia="Times New Roman" w:hAnsi="Times New Roman"/>
          <w:sz w:val="21"/>
          <w:szCs w:val="21"/>
          <w:u w:val="single" w:color="auto"/>
          <w:color w:val="auto"/>
        </w:rPr>
        <w:t>Section 10.04(c)</w:t>
      </w:r>
      <w:r>
        <w:rPr>
          <w:rFonts w:ascii="Times New Roman" w:cs="Times New Roman" w:eastAsia="Times New Roman" w:hAnsi="Times New Roman"/>
          <w:sz w:val="21"/>
          <w:szCs w:val="21"/>
          <w:color w:val="auto"/>
        </w:rPr>
        <w:t xml:space="preserve">), as though such co-agents, sub-agents and attorneys-in-fact were the “collateral agent” under the Loan Documents, as if set forth in full herein with respect thereto. The provisions of this </w:t>
      </w:r>
      <w:r>
        <w:rPr>
          <w:rFonts w:ascii="Times New Roman" w:cs="Times New Roman" w:eastAsia="Times New Roman" w:hAnsi="Times New Roman"/>
          <w:sz w:val="21"/>
          <w:szCs w:val="21"/>
          <w:u w:val="single" w:color="auto"/>
          <w:color w:val="auto"/>
        </w:rPr>
        <w:t>Article 9</w:t>
      </w:r>
      <w:r>
        <w:rPr>
          <w:rFonts w:ascii="Times New Roman" w:cs="Times New Roman" w:eastAsia="Times New Roman" w:hAnsi="Times New Roman"/>
          <w:sz w:val="21"/>
          <w:szCs w:val="21"/>
          <w:color w:val="auto"/>
        </w:rPr>
        <w:t xml:space="preserve"> shall survive the payment in full of the Obligations, the termination of the Commitments and the termination of this Agreement.</w:t>
      </w:r>
    </w:p>
    <w:p>
      <w:pPr>
        <w:spacing w:after="0" w:line="153"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9.02</w:t>
      </w:r>
      <w:r>
        <w:rPr>
          <w:sz w:val="20"/>
          <w:szCs w:val="20"/>
          <w:color w:val="auto"/>
        </w:rPr>
        <w:tab/>
      </w:r>
      <w:r>
        <w:rPr>
          <w:rFonts w:ascii="Times New Roman" w:cs="Times New Roman" w:eastAsia="Times New Roman" w:hAnsi="Times New Roman"/>
          <w:sz w:val="20"/>
          <w:szCs w:val="20"/>
          <w:i w:val="1"/>
          <w:iCs w:val="1"/>
          <w:color w:val="auto"/>
        </w:rPr>
        <w:t>Rights 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160</w:t>
      </w:r>
    </w:p>
    <w:p>
      <w:pPr>
        <w:sectPr>
          <w:pgSz w:w="11900" w:h="16838" w:orient="portrait"/>
          <w:cols w:equalWidth="0" w:num="1">
            <w:col w:w="11240"/>
          </w:cols>
          <w:pgMar w:left="320" w:top="1397" w:right="339" w:bottom="1440" w:gutter="0" w:footer="0" w:header="0"/>
        </w:sectPr>
      </w:pPr>
    </w:p>
    <w:bookmarkStart w:id="266" w:name="page267"/>
    <w:bookmarkEnd w:id="266"/>
    <w:p>
      <w:pPr>
        <w:jc w:val="both"/>
        <w:ind w:firstLine="642"/>
        <w:spacing w:after="0" w:line="259" w:lineRule="auto"/>
        <w:tabs>
          <w:tab w:leader="none" w:pos="755" w:val="left"/>
        </w:tabs>
        <w:numPr>
          <w:ilvl w:val="0"/>
          <w:numId w:val="2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Agent shall have the same rights and powers in its capacity as a Lender as any other Lender and may exercise the same as though it were not an Agent hereunder, and the term “Lender” or “Lenders” shall, unless otherwise expressly indicated or unless the context otherwise requires, include the Person serving as such Agent hereunder in its individual capacity. Such Person and its Affiliates may accept deposits from, lend money to, act as the financial advisor or in any other advisory capacity for and generally engage in any kind of business with the Borrower or any Subsidiary or other Affiliate thereof as if such Person were not an Agent hereunder and without any duty to account therefor to the Lenders.</w:t>
      </w:r>
    </w:p>
    <w:p>
      <w:pPr>
        <w:spacing w:after="0" w:line="144"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9.03</w:t>
      </w:r>
      <w:r>
        <w:rPr>
          <w:sz w:val="20"/>
          <w:szCs w:val="20"/>
          <w:color w:val="auto"/>
        </w:rPr>
        <w:tab/>
      </w:r>
      <w:r>
        <w:rPr>
          <w:rFonts w:ascii="Times New Roman" w:cs="Times New Roman" w:eastAsia="Times New Roman" w:hAnsi="Times New Roman"/>
          <w:sz w:val="21"/>
          <w:szCs w:val="21"/>
          <w:i w:val="1"/>
          <w:iCs w:val="1"/>
          <w:color w:val="auto"/>
        </w:rPr>
        <w:t>Exculpatory Provisions</w:t>
      </w:r>
    </w:p>
    <w:p>
      <w:pPr>
        <w:spacing w:after="0" w:line="211" w:lineRule="exact"/>
        <w:rPr>
          <w:sz w:val="20"/>
          <w:szCs w:val="20"/>
          <w:color w:val="auto"/>
        </w:rPr>
      </w:pPr>
    </w:p>
    <w:p>
      <w:pPr>
        <w:jc w:val="both"/>
        <w:ind w:firstLine="642"/>
        <w:spacing w:after="0" w:line="274" w:lineRule="auto"/>
        <w:tabs>
          <w:tab w:leader="none" w:pos="742" w:val="left"/>
        </w:tabs>
        <w:numPr>
          <w:ilvl w:val="0"/>
          <w:numId w:val="2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Agent shall have any duties or obligations except those expressly set forth herein and in the other Loan Documents, and any such duties hereunder and thereunder shall be administrative in nature. Without limiting the generality of the foregoing, the Agents:</w:t>
      </w:r>
    </w:p>
    <w:p>
      <w:pPr>
        <w:spacing w:after="0" w:line="121" w:lineRule="exact"/>
        <w:rPr>
          <w:rFonts w:ascii="Times New Roman" w:cs="Times New Roman" w:eastAsia="Times New Roman" w:hAnsi="Times New Roman"/>
          <w:sz w:val="21"/>
          <w:szCs w:val="21"/>
          <w:color w:val="auto"/>
        </w:rPr>
      </w:pPr>
    </w:p>
    <w:p>
      <w:pPr>
        <w:ind w:left="1920" w:hanging="642"/>
        <w:spacing w:after="0"/>
        <w:tabs>
          <w:tab w:leader="none" w:pos="1920" w:val="left"/>
        </w:tabs>
        <w:numPr>
          <w:ilvl w:val="1"/>
          <w:numId w:val="2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shall not be subject to any fiduciary or other implied duties, regardless of whether a Default has occurred and</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is continuing;</w:t>
      </w:r>
    </w:p>
    <w:p>
      <w:pPr>
        <w:spacing w:after="0" w:line="158" w:lineRule="exact"/>
        <w:rPr>
          <w:rFonts w:ascii="Times New Roman" w:cs="Times New Roman" w:eastAsia="Times New Roman" w:hAnsi="Times New Roman"/>
          <w:sz w:val="21"/>
          <w:szCs w:val="21"/>
          <w:color w:val="auto"/>
        </w:rPr>
      </w:pPr>
    </w:p>
    <w:p>
      <w:pPr>
        <w:jc w:val="both"/>
        <w:ind w:firstLine="1278"/>
        <w:spacing w:after="0" w:line="218" w:lineRule="auto"/>
        <w:tabs>
          <w:tab w:leader="none" w:pos="1903" w:val="left"/>
        </w:tabs>
        <w:numPr>
          <w:ilvl w:val="1"/>
          <w:numId w:val="2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shall not have any duty to take any discretionary action or exercise any discretionary powers, except (in the case of the Administrative Agent)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Administrative Agent shall not be required to take any action that, in its opinion or the opinion of its counsel, may expose the Administrative Agent to liability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153" w:lineRule="exact"/>
        <w:rPr>
          <w:rFonts w:ascii="Times New Roman" w:cs="Times New Roman" w:eastAsia="Times New Roman" w:hAnsi="Times New Roman"/>
          <w:sz w:val="21"/>
          <w:szCs w:val="21"/>
          <w:color w:val="auto"/>
        </w:rPr>
      </w:pPr>
    </w:p>
    <w:p>
      <w:pPr>
        <w:jc w:val="both"/>
        <w:ind w:firstLine="1278"/>
        <w:spacing w:after="0" w:line="232" w:lineRule="auto"/>
        <w:tabs>
          <w:tab w:leader="none" w:pos="1905" w:val="left"/>
        </w:tabs>
        <w:numPr>
          <w:ilvl w:val="1"/>
          <w:numId w:val="2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shall not, except as expressly set forth herein and in the other Loan Documents, have any duty to disclose, and shall not be liable for the failure to disclose, any information relating to the Borrower or any of its Affiliates that is communicated to or obtained by the Person serving as such Agent or any of its Affiliates in any capacity.</w:t>
      </w:r>
    </w:p>
    <w:p>
      <w:pPr>
        <w:spacing w:after="0" w:line="174" w:lineRule="exact"/>
        <w:rPr>
          <w:sz w:val="20"/>
          <w:szCs w:val="20"/>
          <w:color w:val="auto"/>
        </w:rPr>
      </w:pPr>
    </w:p>
    <w:p>
      <w:pPr>
        <w:jc w:val="both"/>
        <w:ind w:firstLine="636"/>
        <w:spacing w:after="0" w:line="258" w:lineRule="auto"/>
        <w:rPr>
          <w:sz w:val="20"/>
          <w:szCs w:val="20"/>
          <w:color w:val="auto"/>
        </w:rPr>
      </w:pPr>
      <w:r>
        <w:rPr>
          <w:rFonts w:ascii="Times New Roman" w:cs="Times New Roman" w:eastAsia="Times New Roman" w:hAnsi="Times New Roman"/>
          <w:sz w:val="21"/>
          <w:szCs w:val="21"/>
          <w:color w:val="auto"/>
        </w:rPr>
        <w:t xml:space="preserve">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 w:cs="Times New Roman" w:eastAsia="Times New Roman" w:hAnsi="Times New Roman"/>
          <w:sz w:val="21"/>
          <w:szCs w:val="21"/>
          <w:u w:val="single" w:color="auto"/>
          <w:color w:val="auto"/>
        </w:rPr>
        <w:t>Sections 8.02</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10.01</w:t>
      </w:r>
      <w:r>
        <w:rPr>
          <w:rFonts w:ascii="Times New Roman" w:cs="Times New Roman" w:eastAsia="Times New Roman" w:hAnsi="Times New Roman"/>
          <w:sz w:val="21"/>
          <w:szCs w:val="21"/>
          <w:color w:val="auto"/>
        </w:rPr>
        <w:t>) or (ii) in the absence of its own gross negligence or willful misconduct as determined by a court of competent jurisdiction by final and nonappealable judgment. The Administrative Agent shall be deemed not to have knowledge of any Default unless and until it shall have received written notice from a Lender, an L/C Issuer or the Borrower referring to this Agreement, describing such Default and stating that such notice is a “notice of default.”</w:t>
      </w:r>
    </w:p>
    <w:p>
      <w:pPr>
        <w:spacing w:after="0" w:line="170" w:lineRule="exact"/>
        <w:rPr>
          <w:sz w:val="20"/>
          <w:szCs w:val="20"/>
          <w:color w:val="auto"/>
        </w:rPr>
      </w:pPr>
    </w:p>
    <w:p>
      <w:pPr>
        <w:jc w:val="both"/>
        <w:ind w:firstLine="636"/>
        <w:spacing w:after="0" w:line="267" w:lineRule="auto"/>
        <w:rPr>
          <w:sz w:val="20"/>
          <w:szCs w:val="20"/>
          <w:color w:val="auto"/>
        </w:rPr>
      </w:pPr>
      <w:r>
        <w:rPr>
          <w:rFonts w:ascii="Times New Roman" w:cs="Times New Roman" w:eastAsia="Times New Roman" w:hAnsi="Times New Roman"/>
          <w:sz w:val="21"/>
          <w:szCs w:val="21"/>
          <w:color w:val="auto"/>
        </w:rPr>
        <w:t>No Agent or any of its Related Parties shall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161</w:t>
      </w:r>
    </w:p>
    <w:p>
      <w:pPr>
        <w:sectPr>
          <w:pgSz w:w="11900" w:h="16838" w:orient="portrait"/>
          <w:cols w:equalWidth="0" w:num="1">
            <w:col w:w="11240"/>
          </w:cols>
          <w:pgMar w:left="320" w:top="1398" w:right="339" w:bottom="1440" w:gutter="0" w:footer="0" w:header="0"/>
        </w:sectPr>
      </w:pPr>
    </w:p>
    <w:bookmarkStart w:id="267" w:name="page268"/>
    <w:bookmarkEnd w:id="267"/>
    <w:p>
      <w:pPr>
        <w:jc w:val="both"/>
        <w:spacing w:after="0" w:line="259" w:lineRule="auto"/>
        <w:rPr>
          <w:sz w:val="20"/>
          <w:szCs w:val="20"/>
          <w:color w:val="auto"/>
        </w:rPr>
      </w:pPr>
      <w:r>
        <w:rPr>
          <w:rFonts w:ascii="Times New Roman" w:cs="Times New Roman" w:eastAsia="Times New Roman" w:hAnsi="Times New Roman"/>
          <w:sz w:val="21"/>
          <w:szCs w:val="21"/>
          <w:color w:val="auto"/>
        </w:rPr>
        <w:t xml:space="preserve">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Collateral Documents, (v) the value or the sufficiency of any Collateral or (vi) the satisfaction of any condition set forth in </w:t>
      </w:r>
      <w:r>
        <w:rPr>
          <w:rFonts w:ascii="Times New Roman" w:cs="Times New Roman" w:eastAsia="Times New Roman" w:hAnsi="Times New Roman"/>
          <w:sz w:val="21"/>
          <w:szCs w:val="21"/>
          <w:u w:val="single" w:color="auto"/>
          <w:color w:val="auto"/>
        </w:rPr>
        <w:t>Article 4</w:t>
      </w:r>
      <w:r>
        <w:rPr>
          <w:rFonts w:ascii="Times New Roman" w:cs="Times New Roman" w:eastAsia="Times New Roman" w:hAnsi="Times New Roman"/>
          <w:sz w:val="21"/>
          <w:szCs w:val="21"/>
          <w:color w:val="auto"/>
        </w:rPr>
        <w:t xml:space="preserve"> or elsewhere herein, other than, in the case of the Administrative Agent, to confirm receipt of items expressly required to be delivered to the Administrative Agent.</w:t>
      </w:r>
    </w:p>
    <w:p>
      <w:pPr>
        <w:spacing w:after="0" w:line="144"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9.04</w:t>
      </w:r>
      <w:r>
        <w:rPr>
          <w:sz w:val="20"/>
          <w:szCs w:val="20"/>
          <w:color w:val="auto"/>
        </w:rPr>
        <w:tab/>
      </w:r>
      <w:r>
        <w:rPr>
          <w:rFonts w:ascii="Times New Roman" w:cs="Times New Roman" w:eastAsia="Times New Roman" w:hAnsi="Times New Roman"/>
          <w:sz w:val="21"/>
          <w:szCs w:val="21"/>
          <w:i w:val="1"/>
          <w:iCs w:val="1"/>
          <w:color w:val="auto"/>
        </w:rPr>
        <w:t>Reliance</w:t>
      </w:r>
    </w:p>
    <w:p>
      <w:pPr>
        <w:spacing w:after="0" w:line="211" w:lineRule="exact"/>
        <w:rPr>
          <w:sz w:val="20"/>
          <w:szCs w:val="20"/>
          <w:color w:val="auto"/>
        </w:rPr>
      </w:pPr>
    </w:p>
    <w:p>
      <w:pPr>
        <w:jc w:val="both"/>
        <w:ind w:firstLine="642"/>
        <w:spacing w:after="0" w:line="256" w:lineRule="auto"/>
        <w:tabs>
          <w:tab w:leader="none" w:pos="742" w:val="left"/>
        </w:tabs>
        <w:numPr>
          <w:ilvl w:val="0"/>
          <w:numId w:val="2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Each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an L/C Issuer, the Administrative Agent may presume that such condition is satisfactory to such Lender or such L/C Issuer unless the Administrative Agent shall have received notice to the contrary from such Lender or such L/C Issuer prior to the making of such Loan or the issuance of such Letter of Credit.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46"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9.05</w:t>
      </w:r>
      <w:r>
        <w:rPr>
          <w:sz w:val="20"/>
          <w:szCs w:val="20"/>
          <w:color w:val="auto"/>
        </w:rPr>
        <w:tab/>
      </w:r>
      <w:r>
        <w:rPr>
          <w:rFonts w:ascii="Times New Roman" w:cs="Times New Roman" w:eastAsia="Times New Roman" w:hAnsi="Times New Roman"/>
          <w:sz w:val="21"/>
          <w:szCs w:val="21"/>
          <w:i w:val="1"/>
          <w:iCs w:val="1"/>
          <w:color w:val="auto"/>
        </w:rPr>
        <w:t>Delegation of Duties</w:t>
      </w:r>
    </w:p>
    <w:p>
      <w:pPr>
        <w:spacing w:after="0" w:line="211" w:lineRule="exact"/>
        <w:rPr>
          <w:sz w:val="20"/>
          <w:szCs w:val="20"/>
          <w:color w:val="auto"/>
        </w:rPr>
      </w:pPr>
    </w:p>
    <w:p>
      <w:pPr>
        <w:jc w:val="both"/>
        <w:ind w:firstLine="642"/>
        <w:spacing w:after="0" w:line="257" w:lineRule="auto"/>
        <w:tabs>
          <w:tab w:leader="none" w:pos="742" w:val="left"/>
        </w:tabs>
        <w:numPr>
          <w:ilvl w:val="0"/>
          <w:numId w:val="2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 agents.</w:t>
      </w:r>
    </w:p>
    <w:p>
      <w:pPr>
        <w:spacing w:after="0" w:line="148"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9.06</w:t>
      </w:r>
      <w:r>
        <w:rPr>
          <w:sz w:val="20"/>
          <w:szCs w:val="20"/>
          <w:color w:val="auto"/>
        </w:rPr>
        <w:tab/>
      </w:r>
      <w:r>
        <w:rPr>
          <w:rFonts w:ascii="Times New Roman" w:cs="Times New Roman" w:eastAsia="Times New Roman" w:hAnsi="Times New Roman"/>
          <w:sz w:val="21"/>
          <w:szCs w:val="21"/>
          <w:i w:val="1"/>
          <w:iCs w:val="1"/>
          <w:color w:val="auto"/>
        </w:rPr>
        <w:t>Resignation of Administrative Agent</w:t>
      </w:r>
    </w:p>
    <w:p>
      <w:pPr>
        <w:spacing w:after="0" w:line="211" w:lineRule="exact"/>
        <w:rPr>
          <w:sz w:val="20"/>
          <w:szCs w:val="20"/>
          <w:color w:val="auto"/>
        </w:rPr>
      </w:pPr>
    </w:p>
    <w:p>
      <w:pPr>
        <w:ind w:firstLine="642"/>
        <w:spacing w:after="0" w:line="285" w:lineRule="auto"/>
        <w:tabs>
          <w:tab w:leader="none" w:pos="742" w:val="left"/>
        </w:tabs>
        <w:numPr>
          <w:ilvl w:val="0"/>
          <w:numId w:val="2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may at any time give notice of its resignation to the Lenders, the L/C Issuers and the Borrower. Upon receipt of any such notice of resignation, the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162</w:t>
      </w:r>
    </w:p>
    <w:p>
      <w:pPr>
        <w:sectPr>
          <w:pgSz w:w="11900" w:h="16838" w:orient="portrait"/>
          <w:cols w:equalWidth="0" w:num="1">
            <w:col w:w="11240"/>
          </w:cols>
          <w:pgMar w:left="320" w:top="1397" w:right="339" w:bottom="1440" w:gutter="0" w:footer="0" w:header="0"/>
        </w:sectPr>
      </w:pPr>
    </w:p>
    <w:bookmarkStart w:id="268" w:name="page269"/>
    <w:bookmarkEnd w:id="268"/>
    <w:p>
      <w:pPr>
        <w:jc w:val="both"/>
        <w:spacing w:after="0" w:line="254" w:lineRule="auto"/>
        <w:rPr>
          <w:sz w:val="20"/>
          <w:szCs w:val="20"/>
          <w:color w:val="auto"/>
        </w:rPr>
      </w:pPr>
      <w:r>
        <w:rPr>
          <w:rFonts w:ascii="Times New Roman" w:cs="Times New Roman" w:eastAsia="Times New Roman" w:hAnsi="Times New Roman"/>
          <w:sz w:val="21"/>
          <w:szCs w:val="21"/>
          <w:color w:val="auto"/>
        </w:rPr>
        <w:t xml:space="preserve">Lenders shall have the right, in consultation with the Borrower, to appoint a successor, which shall be a financial institution with an office in the United States, or an Affiliate of any such financial institution with an office in the United States. If no such successor shall have been so appointed by the Required Lenders and shall have accepted such appointment within 30 days after the retiring Administrative Agent gives notice of its resignation, then the retiring Administrative Agent may on behalf of the Lenders and the L/C Issuers appoint a successor Administrative Agent meeting the qualifications set forth above;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the Administrative Agent shall notify the Borrower and the Lenders that no qualifying Person has accepted such appointment, then such resignation shall nonetheless become effective in accordance with such notice and (a) the retiring Administrative Agent shall be discharged from its duties and obligations hereunder and under the other Loan Documents (except that in the case of any collateral security held by the Administrative Agent on behalf of the Lenders or the L/C Issuers under any of the Loan Documents, the retiring Administrative Agent shall continue to hold such collateral security until such time as a successor Administrative Agent is appointed) and (b) all payments, communications and determinations provided to be made by, to or through the Administrative Agent shall instead be made by or to each Lender and L/C Issuer directly, until such time as the Required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retired) Administrative Agent, and the retiring Administrative Agent shall be discharged from all of its duties and obligations hereunder or under the other Loan Documents (if not already discharged therefrom as provided above in this Section). The fees payable by the Borrower to a successor Administrative Agent shall be the same as those payable to its predecessor unless otherwise agreed between the Borrower and such successor. After the retiring Administrative Agent’s resignation hereunder and under the other Loan Documents, the provisions of this Article and </w:t>
      </w:r>
      <w:r>
        <w:rPr>
          <w:rFonts w:ascii="Times New Roman" w:cs="Times New Roman" w:eastAsia="Times New Roman" w:hAnsi="Times New Roman"/>
          <w:sz w:val="21"/>
          <w:szCs w:val="21"/>
          <w:u w:val="single" w:color="auto"/>
          <w:color w:val="auto"/>
        </w:rPr>
        <w:t>Section 10.04</w:t>
      </w:r>
      <w:r>
        <w:rPr>
          <w:rFonts w:ascii="Times New Roman" w:cs="Times New Roman" w:eastAsia="Times New Roman" w:hAnsi="Times New Roman"/>
          <w:sz w:val="21"/>
          <w:szCs w:val="21"/>
          <w:color w:val="auto"/>
        </w:rPr>
        <w:t xml:space="preserve"> shall continue in effect for the benefit of such retiring Administrative Agent, its sub-agents and their respective Related Parties in respect of any actions taken or omitted to be taken by any of them while the retiring Administrative Agent was acting as Administrative Agent.</w:t>
      </w:r>
    </w:p>
    <w:p>
      <w:pPr>
        <w:spacing w:after="0" w:line="185" w:lineRule="exact"/>
        <w:rPr>
          <w:sz w:val="20"/>
          <w:szCs w:val="20"/>
          <w:color w:val="auto"/>
        </w:rPr>
      </w:pPr>
    </w:p>
    <w:p>
      <w:pPr>
        <w:jc w:val="both"/>
        <w:ind w:firstLine="636"/>
        <w:spacing w:after="0" w:line="258" w:lineRule="auto"/>
        <w:rPr>
          <w:sz w:val="20"/>
          <w:szCs w:val="20"/>
          <w:color w:val="auto"/>
        </w:rPr>
      </w:pPr>
      <w:r>
        <w:rPr>
          <w:rFonts w:ascii="Times New Roman" w:cs="Times New Roman" w:eastAsia="Times New Roman" w:hAnsi="Times New Roman"/>
          <w:sz w:val="21"/>
          <w:szCs w:val="21"/>
          <w:color w:val="auto"/>
        </w:rPr>
        <w:t>Any resignation by the entity serving as Administrative Agent pursuant to this Section shall also constitute its resignation as an L/C Issuer (if applicable). Upon the acceptance of a successor’s appointment as Administrative Agent hereunder, such successor may agree to succeed to and become vested with all of the rights, powers, privileges and duties of a retiring L/C Issuer, if applicable. In connection with any such agreement to succeed to the retiring L/C Issuer, the successor L/C Issuer, if applicable, shall issue letters of credit in substitution for the Letters of Credit, if any, outstanding at the time of such succession or make other arrangements reasonably satisfactory to the retiring L/C Issuer to effectively assume the obligations of such retiring L/C Issuer with respect to such Letters of Credit.</w:t>
      </w:r>
    </w:p>
    <w:p>
      <w:pPr>
        <w:spacing w:after="0" w:line="170"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21"/>
          <w:szCs w:val="21"/>
          <w:color w:val="auto"/>
        </w:rPr>
        <w:t>Notwithstanding the foregoing, the failure of any successor to agree to succeed to a retiring L/C Issuer shall not affect the resignation of such retiring L/C Issuer. The retiring L/C Issuer shall retain all the rights, powers, privileges and duties of an L/C Issuer hereunder with respect to all Letters of Credit issued by it and outstanding as of the effective date of its resignation as L/C Issuer and all L/C Obligations with respect thereto (including the right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163</w:t>
      </w:r>
    </w:p>
    <w:p>
      <w:pPr>
        <w:sectPr>
          <w:pgSz w:w="11900" w:h="16838" w:orient="portrait"/>
          <w:cols w:equalWidth="0" w:num="1">
            <w:col w:w="11240"/>
          </w:cols>
          <w:pgMar w:left="320" w:top="1397" w:right="339" w:bottom="1440" w:gutter="0" w:footer="0" w:header="0"/>
        </w:sectPr>
      </w:pPr>
    </w:p>
    <w:bookmarkStart w:id="269" w:name="page270"/>
    <w:bookmarkEnd w:id="269"/>
    <w:p>
      <w:pPr>
        <w:jc w:val="both"/>
        <w:spacing w:after="0" w:line="267" w:lineRule="auto"/>
        <w:rPr>
          <w:sz w:val="20"/>
          <w:szCs w:val="20"/>
          <w:color w:val="auto"/>
        </w:rPr>
      </w:pPr>
      <w:r>
        <w:rPr>
          <w:rFonts w:ascii="Times New Roman" w:cs="Times New Roman" w:eastAsia="Times New Roman" w:hAnsi="Times New Roman"/>
          <w:sz w:val="21"/>
          <w:szCs w:val="21"/>
          <w:color w:val="auto"/>
        </w:rPr>
        <w:t xml:space="preserve">require the Lenders to make Base Rate Loans or fund risk participations in Unreimbursed Amounts pursuant to </w:t>
      </w:r>
      <w:r>
        <w:rPr>
          <w:rFonts w:ascii="Times New Roman" w:cs="Times New Roman" w:eastAsia="Times New Roman" w:hAnsi="Times New Roman"/>
          <w:sz w:val="21"/>
          <w:szCs w:val="21"/>
          <w:u w:val="single" w:color="auto"/>
          <w:color w:val="auto"/>
        </w:rPr>
        <w:t>Section 2.03(c)</w:t>
      </w:r>
      <w:r>
        <w:rPr>
          <w:rFonts w:ascii="Times New Roman" w:cs="Times New Roman" w:eastAsia="Times New Roman" w:hAnsi="Times New Roman"/>
          <w:sz w:val="21"/>
          <w:szCs w:val="21"/>
          <w:color w:val="auto"/>
        </w:rPr>
        <w:t>), but shall have no obligation to issue any additional Letters of Credit or to amend, extend or otherwise modify any existing Letters of Credit (except as required pursuant to the terms of any such existing Letters of Credit).</w:t>
      </w:r>
    </w:p>
    <w:p>
      <w:pPr>
        <w:spacing w:after="0" w:line="146"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9.07</w:t>
      </w:r>
      <w:r>
        <w:rPr>
          <w:sz w:val="20"/>
          <w:szCs w:val="20"/>
          <w:color w:val="auto"/>
        </w:rPr>
        <w:tab/>
      </w:r>
      <w:r>
        <w:rPr>
          <w:rFonts w:ascii="Times New Roman" w:cs="Times New Roman" w:eastAsia="Times New Roman" w:hAnsi="Times New Roman"/>
          <w:sz w:val="21"/>
          <w:szCs w:val="21"/>
          <w:i w:val="1"/>
          <w:iCs w:val="1"/>
          <w:color w:val="auto"/>
        </w:rPr>
        <w:t>Non-Reliance on Administrative Agent and Other Lenders</w:t>
      </w:r>
    </w:p>
    <w:p>
      <w:pPr>
        <w:spacing w:after="0" w:line="211" w:lineRule="exact"/>
        <w:rPr>
          <w:sz w:val="20"/>
          <w:szCs w:val="20"/>
          <w:color w:val="auto"/>
        </w:rPr>
      </w:pPr>
    </w:p>
    <w:p>
      <w:pPr>
        <w:jc w:val="both"/>
        <w:ind w:firstLine="642"/>
        <w:spacing w:after="0" w:line="258" w:lineRule="auto"/>
        <w:tabs>
          <w:tab w:leader="none" w:pos="755" w:val="left"/>
        </w:tabs>
        <w:numPr>
          <w:ilvl w:val="0"/>
          <w:numId w:val="2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 and each L/C Issuer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and each L/C Issuer also acknowledges that it will, independently and without reliance upon the Administrative Agent or any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42"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9.08</w:t>
      </w:r>
      <w:r>
        <w:rPr>
          <w:sz w:val="20"/>
          <w:szCs w:val="20"/>
          <w:color w:val="auto"/>
        </w:rPr>
        <w:tab/>
      </w:r>
      <w:r>
        <w:rPr>
          <w:rFonts w:ascii="Times New Roman" w:cs="Times New Roman" w:eastAsia="Times New Roman" w:hAnsi="Times New Roman"/>
          <w:sz w:val="21"/>
          <w:szCs w:val="21"/>
          <w:i w:val="1"/>
          <w:iCs w:val="1"/>
          <w:color w:val="auto"/>
        </w:rPr>
        <w:t>No Other Duties, Etc.</w:t>
      </w:r>
    </w:p>
    <w:p>
      <w:pPr>
        <w:spacing w:after="0" w:line="211" w:lineRule="exact"/>
        <w:rPr>
          <w:sz w:val="20"/>
          <w:szCs w:val="20"/>
          <w:color w:val="auto"/>
        </w:rPr>
      </w:pPr>
    </w:p>
    <w:p>
      <w:pPr>
        <w:jc w:val="both"/>
        <w:ind w:firstLine="636"/>
        <w:spacing w:after="0" w:line="267" w:lineRule="auto"/>
        <w:rPr>
          <w:sz w:val="20"/>
          <w:szCs w:val="20"/>
          <w:color w:val="auto"/>
        </w:rPr>
      </w:pPr>
      <w:r>
        <w:rPr>
          <w:rFonts w:ascii="Times New Roman" w:cs="Times New Roman" w:eastAsia="Times New Roman" w:hAnsi="Times New Roman"/>
          <w:sz w:val="21"/>
          <w:szCs w:val="21"/>
          <w:color w:val="auto"/>
        </w:rPr>
        <w:t>Anything herein to the contrary notwithstanding, none of the Arrangers, Co-Managers or the Agents shall have any powers, duties or responsibilities under this Agreement or any of the other Loan Documents, except in its capacity, as applicable, as the Administrative Agent, a Lender or an L/C Issuer hereunder.</w:t>
      </w:r>
    </w:p>
    <w:p>
      <w:pPr>
        <w:spacing w:after="0" w:line="133"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9.09</w:t>
      </w:r>
      <w:r>
        <w:rPr>
          <w:sz w:val="20"/>
          <w:szCs w:val="20"/>
          <w:color w:val="auto"/>
        </w:rPr>
        <w:tab/>
      </w:r>
      <w:r>
        <w:rPr>
          <w:rFonts w:ascii="Times New Roman" w:cs="Times New Roman" w:eastAsia="Times New Roman" w:hAnsi="Times New Roman"/>
          <w:sz w:val="21"/>
          <w:szCs w:val="21"/>
          <w:i w:val="1"/>
          <w:iCs w:val="1"/>
          <w:color w:val="auto"/>
        </w:rPr>
        <w:t>Administrative Agent May File Proofs of Claim</w:t>
      </w:r>
    </w:p>
    <w:p>
      <w:pPr>
        <w:spacing w:after="0" w:line="211" w:lineRule="exact"/>
        <w:rPr>
          <w:sz w:val="20"/>
          <w:szCs w:val="20"/>
          <w:color w:val="auto"/>
        </w:rPr>
      </w:pPr>
    </w:p>
    <w:p>
      <w:pPr>
        <w:jc w:val="both"/>
        <w:ind w:firstLine="642"/>
        <w:spacing w:after="0" w:line="266" w:lineRule="auto"/>
        <w:tabs>
          <w:tab w:leader="none" w:pos="755" w:val="left"/>
        </w:tabs>
        <w:numPr>
          <w:ilvl w:val="0"/>
          <w:numId w:val="2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case of the pendency of any proceeding under any Debtor Relief Law or any other judicial proceeding relating to any Loan Party, the Administrative Agent (irrespective of whether the principal of any Loan or L/C Obligation shall then be due and payable as herein expressed or by declaration or otherwise and irrespective of whether the Administrative Agent shall have made any demand on the Borrower) shall be entitled and empowered (but not obligated), by intervention in such proceeding or otherwise:</w:t>
      </w:r>
    </w:p>
    <w:p>
      <w:pPr>
        <w:spacing w:after="0" w:line="135" w:lineRule="exact"/>
        <w:rPr>
          <w:rFonts w:ascii="Times New Roman" w:cs="Times New Roman" w:eastAsia="Times New Roman" w:hAnsi="Times New Roman"/>
          <w:sz w:val="21"/>
          <w:szCs w:val="21"/>
          <w:color w:val="auto"/>
        </w:rPr>
      </w:pPr>
    </w:p>
    <w:p>
      <w:pPr>
        <w:jc w:val="both"/>
        <w:ind w:firstLine="1278"/>
        <w:spacing w:after="0" w:line="221" w:lineRule="auto"/>
        <w:tabs>
          <w:tab w:leader="none" w:pos="1905" w:val="left"/>
        </w:tabs>
        <w:numPr>
          <w:ilvl w:val="1"/>
          <w:numId w:val="2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L/C Issuers and the Administrative Agent (including any claim for the reasonable compensation, expenses, disbursements and advances of the Lenders, the L/C Issuers and the Administrative Agent and their respective agents and counsel and all other amounts due the Lenders, the L/C Issuers and the Administrative Agent under </w:t>
      </w:r>
      <w:r>
        <w:rPr>
          <w:rFonts w:ascii="Times New Roman" w:cs="Times New Roman" w:eastAsia="Times New Roman" w:hAnsi="Times New Roman"/>
          <w:sz w:val="21"/>
          <w:szCs w:val="21"/>
          <w:u w:val="single" w:color="auto"/>
          <w:color w:val="auto"/>
        </w:rPr>
        <w:t>Sections 2.03(h)</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(i), 2.09</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10.04</w:t>
      </w:r>
      <w:r>
        <w:rPr>
          <w:rFonts w:ascii="Times New Roman" w:cs="Times New Roman" w:eastAsia="Times New Roman" w:hAnsi="Times New Roman"/>
          <w:sz w:val="21"/>
          <w:szCs w:val="21"/>
          <w:color w:val="auto"/>
        </w:rPr>
        <w:t>) allowed in such judicial proceeding; and</w:t>
      </w:r>
    </w:p>
    <w:p>
      <w:pPr>
        <w:spacing w:after="0" w:line="144" w:lineRule="exact"/>
        <w:rPr>
          <w:rFonts w:ascii="Times New Roman" w:cs="Times New Roman" w:eastAsia="Times New Roman" w:hAnsi="Times New Roman"/>
          <w:sz w:val="21"/>
          <w:szCs w:val="21"/>
          <w:color w:val="auto"/>
        </w:rPr>
      </w:pPr>
    </w:p>
    <w:p>
      <w:pPr>
        <w:ind w:left="1900" w:hanging="622"/>
        <w:spacing w:after="0"/>
        <w:tabs>
          <w:tab w:leader="none" w:pos="1900" w:val="left"/>
        </w:tabs>
        <w:numPr>
          <w:ilvl w:val="1"/>
          <w:numId w:val="2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collect and receive any monies or other property payable or deliverable on any such claims and to</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distribute the same;</w:t>
      </w:r>
    </w:p>
    <w:p>
      <w:pPr>
        <w:spacing w:after="0" w:line="18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21"/>
          <w:szCs w:val="21"/>
          <w:color w:val="auto"/>
        </w:rPr>
        <w:t>and any custodian, receiver, assignee, trustee, liquidator, sequestrator or other similar official in any such judicial proceeding is hereby authorized by each Lender and each L/C Issuer to make such payments to the Administrative Agent and, in the event that the Administrative Agent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164</w:t>
      </w:r>
    </w:p>
    <w:p>
      <w:pPr>
        <w:sectPr>
          <w:pgSz w:w="11900" w:h="16838" w:orient="portrait"/>
          <w:cols w:equalWidth="0" w:num="1">
            <w:col w:w="11240"/>
          </w:cols>
          <w:pgMar w:left="320" w:top="1397" w:right="339" w:bottom="1440" w:gutter="0" w:footer="0" w:header="0"/>
        </w:sectPr>
      </w:pPr>
    </w:p>
    <w:bookmarkStart w:id="270" w:name="page271"/>
    <w:bookmarkEnd w:id="270"/>
    <w:p>
      <w:pPr>
        <w:jc w:val="both"/>
        <w:spacing w:after="0" w:line="267" w:lineRule="auto"/>
        <w:rPr>
          <w:sz w:val="20"/>
          <w:szCs w:val="20"/>
          <w:color w:val="auto"/>
        </w:rPr>
      </w:pPr>
      <w:r>
        <w:rPr>
          <w:rFonts w:ascii="Times New Roman" w:cs="Times New Roman" w:eastAsia="Times New Roman" w:hAnsi="Times New Roman"/>
          <w:sz w:val="21"/>
          <w:szCs w:val="21"/>
          <w:color w:val="auto"/>
        </w:rPr>
        <w:t xml:space="preserve">consent to the making of such payments directly to the Lenders and the L/C Issuers, to pay to the Administrative Agent any amount due for the reasonable compensation, expenses, disbursements and advances of the Administrative Agent and its agents and counsel, and any other amounts due the Administrative Agent under </w:t>
      </w:r>
      <w:r>
        <w:rPr>
          <w:rFonts w:ascii="Times New Roman" w:cs="Times New Roman" w:eastAsia="Times New Roman" w:hAnsi="Times New Roman"/>
          <w:sz w:val="21"/>
          <w:szCs w:val="21"/>
          <w:u w:val="single" w:color="auto"/>
          <w:color w:val="auto"/>
        </w:rPr>
        <w:t>Sections 2.09</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10.04</w:t>
      </w:r>
      <w:r>
        <w:rPr>
          <w:rFonts w:ascii="Times New Roman" w:cs="Times New Roman" w:eastAsia="Times New Roman" w:hAnsi="Times New Roman"/>
          <w:sz w:val="21"/>
          <w:szCs w:val="21"/>
          <w:color w:val="auto"/>
        </w:rPr>
        <w:t>.</w:t>
      </w:r>
    </w:p>
    <w:p>
      <w:pPr>
        <w:spacing w:after="0" w:line="175"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21"/>
          <w:szCs w:val="21"/>
          <w:color w:val="auto"/>
        </w:rPr>
        <w:t>Nothing contained herein shall be deemed to authorize the Administrative Agent to authorize or consent to or accept or adopt on behalf of any Lender or L/C Issuer any plan of reorganization, arrangement, adjustment or composition affecting the Obligations or the rights of any Lender or L/C Issuer to authorize the Administrative Agent to vote in respect of the claim of any Lender or L/C Issuer in any such proceeding.</w:t>
      </w:r>
    </w:p>
    <w:p>
      <w:pPr>
        <w:spacing w:after="0" w:line="140"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9.10</w:t>
      </w:r>
      <w:r>
        <w:rPr>
          <w:sz w:val="20"/>
          <w:szCs w:val="20"/>
          <w:color w:val="auto"/>
        </w:rPr>
        <w:tab/>
      </w:r>
      <w:r>
        <w:rPr>
          <w:rFonts w:ascii="Times New Roman" w:cs="Times New Roman" w:eastAsia="Times New Roman" w:hAnsi="Times New Roman"/>
          <w:sz w:val="21"/>
          <w:szCs w:val="21"/>
          <w:i w:val="1"/>
          <w:iCs w:val="1"/>
          <w:color w:val="auto"/>
        </w:rPr>
        <w:t>Collateral and Guaranty Matters</w:t>
      </w:r>
    </w:p>
    <w:p>
      <w:pPr>
        <w:spacing w:after="0" w:line="211" w:lineRule="exact"/>
        <w:rPr>
          <w:sz w:val="20"/>
          <w:szCs w:val="20"/>
          <w:color w:val="auto"/>
        </w:rPr>
      </w:pPr>
    </w:p>
    <w:p>
      <w:pPr>
        <w:ind w:firstLine="642"/>
        <w:spacing w:after="0" w:line="298" w:lineRule="auto"/>
        <w:tabs>
          <w:tab w:leader="none" w:pos="755" w:val="left"/>
        </w:tabs>
        <w:numPr>
          <w:ilvl w:val="0"/>
          <w:numId w:val="2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 (including in its capacities as a potential Cash Management Bank and as a potential Hedge Bank) and L/C Issuer irrevocably authorizes the Administrative Agent, at its option and in its discretion, after the Closing Date:</w:t>
      </w:r>
    </w:p>
    <w:p>
      <w:pPr>
        <w:spacing w:after="0" w:line="102" w:lineRule="exact"/>
        <w:rPr>
          <w:rFonts w:ascii="Times New Roman" w:cs="Times New Roman" w:eastAsia="Times New Roman" w:hAnsi="Times New Roman"/>
          <w:sz w:val="21"/>
          <w:szCs w:val="21"/>
          <w:color w:val="auto"/>
        </w:rPr>
      </w:pPr>
    </w:p>
    <w:p>
      <w:pPr>
        <w:jc w:val="both"/>
        <w:ind w:firstLine="1278"/>
        <w:spacing w:after="0" w:line="216" w:lineRule="auto"/>
        <w:tabs>
          <w:tab w:leader="none" w:pos="1905" w:val="left"/>
        </w:tabs>
        <w:numPr>
          <w:ilvl w:val="1"/>
          <w:numId w:val="2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release any Lien to the extent securing the Obligations on any property granted to or held by the Administrative Agent under any Loan Document (i), upon termination of the Aggregate Commitments and payment in full of all Obligations (other than (A) contingent indemnification obligations as to which no claim has been asserted and (B) obligations and liabilities under Secured Cash Management Agreements and Secured Hedge Agreements), the termination or expiration with no pending drawings of all Letters of Credit (other than Letters of Credit which have been Cash Collateralized or as to which other arrangements satisfactory to the Administrative Agent and the applicable L/C Issuer shall have been made) and the termination and payment in full of all obligations and liabilities under Secured Cash Management Agreements and Secured Hedge Agreements in respect of which the Administrative Agent has received notice pursuant to </w:t>
      </w:r>
      <w:r>
        <w:rPr>
          <w:rFonts w:ascii="Times New Roman" w:cs="Times New Roman" w:eastAsia="Times New Roman" w:hAnsi="Times New Roman"/>
          <w:sz w:val="21"/>
          <w:szCs w:val="21"/>
          <w:u w:val="single" w:color="auto"/>
          <w:color w:val="auto"/>
        </w:rPr>
        <w:t>Section 9.11</w:t>
      </w:r>
      <w:r>
        <w:rPr>
          <w:rFonts w:ascii="Times New Roman" w:cs="Times New Roman" w:eastAsia="Times New Roman" w:hAnsi="Times New Roman"/>
          <w:sz w:val="21"/>
          <w:szCs w:val="21"/>
          <w:color w:val="auto"/>
        </w:rPr>
        <w:t xml:space="preserve"> (other than any such agreements as to which other arrangements reasonably satisfactory to the applicable Cash Management Bank or Hedge Bank have been made), (ii) that is Disposed of in a transaction permitted hereunder the result of which is that, following the consummation thereof, no Loan Party has rights in the property being Disposed of or (iii) if approved, authorized or ratified in writing in accordance with </w:t>
      </w:r>
      <w:r>
        <w:rPr>
          <w:rFonts w:ascii="Times New Roman" w:cs="Times New Roman" w:eastAsia="Times New Roman" w:hAnsi="Times New Roman"/>
          <w:sz w:val="21"/>
          <w:szCs w:val="21"/>
          <w:u w:val="single" w:color="auto"/>
          <w:color w:val="auto"/>
        </w:rPr>
        <w:t>Section 10.01</w:t>
      </w:r>
      <w:r>
        <w:rPr>
          <w:rFonts w:ascii="Times New Roman" w:cs="Times New Roman" w:eastAsia="Times New Roman" w:hAnsi="Times New Roman"/>
          <w:sz w:val="21"/>
          <w:szCs w:val="21"/>
          <w:color w:val="auto"/>
        </w:rPr>
        <w:t>;</w:t>
      </w:r>
    </w:p>
    <w:p>
      <w:pPr>
        <w:spacing w:after="0" w:line="153" w:lineRule="exact"/>
        <w:rPr>
          <w:rFonts w:ascii="Times New Roman" w:cs="Times New Roman" w:eastAsia="Times New Roman" w:hAnsi="Times New Roman"/>
          <w:sz w:val="21"/>
          <w:szCs w:val="21"/>
          <w:color w:val="auto"/>
        </w:rPr>
      </w:pPr>
    </w:p>
    <w:p>
      <w:pPr>
        <w:jc w:val="both"/>
        <w:ind w:firstLine="1278"/>
        <w:spacing w:after="0" w:line="217" w:lineRule="auto"/>
        <w:tabs>
          <w:tab w:leader="none" w:pos="1903" w:val="left"/>
        </w:tabs>
        <w:numPr>
          <w:ilvl w:val="1"/>
          <w:numId w:val="2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release any Guarantor from its Guarantee of the Obligations under the Collateral Agreement (i) upon termination of the Aggregate Commitments and payment in full of all Obligations (other than (A) contingent indemnification obligations as to which no claim has been asserted and (B) obligations and liabilities under Secured Cash Management Agreements and Secured Hedge Agreements), the termination or expiration with no pending drawings of all Letters of Credit (other than Letters of Credit which have been Cash Collateralized or as to which other arrangements satisfactory to the Administrative Agent and the applicable L/C Issuer shall have been made) and the termination and payment in full of all obligations and liabilities under Secured Cash Management Agreements and Secured Hedge Agreements in respect of which the Administrative Agent has received notice pursuant to </w:t>
      </w:r>
      <w:r>
        <w:rPr>
          <w:rFonts w:ascii="Times New Roman" w:cs="Times New Roman" w:eastAsia="Times New Roman" w:hAnsi="Times New Roman"/>
          <w:sz w:val="21"/>
          <w:szCs w:val="21"/>
          <w:u w:val="single" w:color="auto"/>
          <w:color w:val="auto"/>
        </w:rPr>
        <w:t>Section 9.11</w:t>
      </w:r>
      <w:r>
        <w:rPr>
          <w:rFonts w:ascii="Times New Roman" w:cs="Times New Roman" w:eastAsia="Times New Roman" w:hAnsi="Times New Roman"/>
          <w:sz w:val="21"/>
          <w:szCs w:val="21"/>
          <w:color w:val="auto"/>
        </w:rPr>
        <w:t xml:space="preserve"> (other than any such agreements as to which other arrangements reasonably satisfactory to the applicable Cash Management Bank or Hedge Bank have been made), or (ii) if approved, authorized or ratified in writing in accordance with </w:t>
      </w:r>
      <w:r>
        <w:rPr>
          <w:rFonts w:ascii="Times New Roman" w:cs="Times New Roman" w:eastAsia="Times New Roman" w:hAnsi="Times New Roman"/>
          <w:sz w:val="21"/>
          <w:szCs w:val="21"/>
          <w:u w:val="single" w:color="auto"/>
          <w:color w:val="auto"/>
        </w:rPr>
        <w:t>Section 10.01</w:t>
      </w:r>
      <w:r>
        <w:rPr>
          <w:rFonts w:ascii="Times New Roman" w:cs="Times New Roman" w:eastAsia="Times New Roman" w:hAnsi="Times New Roman"/>
          <w:sz w:val="21"/>
          <w:szCs w:val="21"/>
          <w:color w:val="auto"/>
        </w:rPr>
        <w:t>;</w:t>
      </w:r>
    </w:p>
    <w:p>
      <w:pPr>
        <w:spacing w:after="0" w:line="148" w:lineRule="exact"/>
        <w:rPr>
          <w:rFonts w:ascii="Times New Roman" w:cs="Times New Roman" w:eastAsia="Times New Roman" w:hAnsi="Times New Roman"/>
          <w:sz w:val="21"/>
          <w:szCs w:val="21"/>
          <w:color w:val="auto"/>
        </w:rPr>
      </w:pPr>
    </w:p>
    <w:p>
      <w:pPr>
        <w:jc w:val="both"/>
        <w:ind w:firstLine="1278"/>
        <w:spacing w:after="0" w:line="232" w:lineRule="auto"/>
        <w:tabs>
          <w:tab w:leader="none" w:pos="1905" w:val="left"/>
        </w:tabs>
        <w:numPr>
          <w:ilvl w:val="1"/>
          <w:numId w:val="2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release any Guarantor from its Guarantee of the Obligations and all Liens granted by any such Guarantor, and all pledges of Equity Interests in any such Guarantor under the Collateral Agreement if such Person ceases to be a Restricted Subsidiary (including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165</w:t>
      </w:r>
    </w:p>
    <w:p>
      <w:pPr>
        <w:sectPr>
          <w:pgSz w:w="11900" w:h="16838" w:orient="portrait"/>
          <w:cols w:equalWidth="0" w:num="1">
            <w:col w:w="11240"/>
          </w:cols>
          <w:pgMar w:left="320" w:top="1397" w:right="339" w:bottom="1440" w:gutter="0" w:footer="0" w:header="0"/>
        </w:sectPr>
      </w:pPr>
    </w:p>
    <w:bookmarkStart w:id="271" w:name="page272"/>
    <w:bookmarkEnd w:id="271"/>
    <w:p>
      <w:pPr>
        <w:jc w:val="both"/>
        <w:spacing w:after="0" w:line="215" w:lineRule="auto"/>
        <w:rPr>
          <w:sz w:val="20"/>
          <w:szCs w:val="20"/>
          <w:color w:val="auto"/>
        </w:rPr>
      </w:pPr>
      <w:r>
        <w:rPr>
          <w:rFonts w:ascii="Times New Roman" w:cs="Times New Roman" w:eastAsia="Times New Roman" w:hAnsi="Times New Roman"/>
          <w:sz w:val="21"/>
          <w:szCs w:val="21"/>
          <w:color w:val="auto"/>
        </w:rPr>
        <w:t xml:space="preserve">being designated an Unrestricted Subsidiary in accordance with </w:t>
      </w:r>
      <w:r>
        <w:rPr>
          <w:rFonts w:ascii="Times New Roman" w:cs="Times New Roman" w:eastAsia="Times New Roman" w:hAnsi="Times New Roman"/>
          <w:sz w:val="21"/>
          <w:szCs w:val="21"/>
          <w:u w:val="single" w:color="auto"/>
          <w:color w:val="auto"/>
        </w:rPr>
        <w:t>Section 6.17</w:t>
      </w:r>
      <w:r>
        <w:rPr>
          <w:rFonts w:ascii="Times New Roman" w:cs="Times New Roman" w:eastAsia="Times New Roman" w:hAnsi="Times New Roman"/>
          <w:sz w:val="21"/>
          <w:szCs w:val="21"/>
          <w:color w:val="auto"/>
        </w:rPr>
        <w:t xml:space="preserve"> hereof, or by way of liquidation, merger, consolidation, amalgamation or dissolution or Disposition thereof as permitted by this Agreement), or becomes an Immaterial Subsidiary or an Excluded Subsidiary (unless such Person continues to guarantee any of the Senior Notes or any Permitted Refinancing thereof);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such Guarantor becomes an Excluded Subsidiary by virtue of being a first tier Affected Foreign Subsidiary, then the release of any pledge of Equity Interests therein shall be limited to 35% of the voting Equity Interests thereof and if such Affected Foreign Subsidiary is a direct or indirect Subsidiary of an Affected Foreign Subsidiary, then the release shall be 100% of any pledge of Equity Interests of such Subsidiary;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if such Guarantor becomes an Excluded Subsidiary solely in reliance on </w:t>
      </w:r>
      <w:r>
        <w:rPr>
          <w:rFonts w:ascii="Times New Roman" w:cs="Times New Roman" w:eastAsia="Times New Roman" w:hAnsi="Times New Roman"/>
          <w:sz w:val="21"/>
          <w:szCs w:val="21"/>
          <w:u w:val="single" w:color="auto"/>
          <w:color w:val="auto"/>
        </w:rPr>
        <w:t>clause (g)</w:t>
      </w:r>
      <w:r>
        <w:rPr>
          <w:rFonts w:ascii="Times New Roman" w:cs="Times New Roman" w:eastAsia="Times New Roman" w:hAnsi="Times New Roman"/>
          <w:sz w:val="21"/>
          <w:szCs w:val="21"/>
          <w:color w:val="auto"/>
        </w:rPr>
        <w:t xml:space="preserve"> of the definition of “Excluded Subsidiary,” then the release of such Guarantor from its Obligations under the Loan Documents shall only be permitted if at the time such Guarantor becomes an Excluded Subsidiary of such type, after giving pro forma effect to such release and consummation of the transaction that causes such Person to be an Excluded Subsidiary of such type, the Borrower is deemed to have made a new Investment in such Person on the date of such release in an amount equal to the portion of the fair market value of the net assets of such Person attributable to the Borrower’s or any Restricted Subsidiary’s Equity Interest therein and such Investment is permitted under </w:t>
      </w:r>
      <w:r>
        <w:rPr>
          <w:rFonts w:ascii="Times New Roman" w:cs="Times New Roman" w:eastAsia="Times New Roman" w:hAnsi="Times New Roman"/>
          <w:sz w:val="21"/>
          <w:szCs w:val="21"/>
          <w:u w:val="single" w:color="auto"/>
          <w:color w:val="auto"/>
        </w:rPr>
        <w:t>Section 7.02</w:t>
      </w:r>
      <w:r>
        <w:rPr>
          <w:rFonts w:ascii="Times New Roman" w:cs="Times New Roman" w:eastAsia="Times New Roman" w:hAnsi="Times New Roman"/>
          <w:sz w:val="21"/>
          <w:szCs w:val="21"/>
          <w:color w:val="auto"/>
        </w:rPr>
        <w:t xml:space="preserve"> at such time;</w:t>
      </w:r>
    </w:p>
    <w:p>
      <w:pPr>
        <w:spacing w:after="0" w:line="156" w:lineRule="exact"/>
        <w:rPr>
          <w:sz w:val="20"/>
          <w:szCs w:val="20"/>
          <w:color w:val="auto"/>
        </w:rPr>
      </w:pPr>
    </w:p>
    <w:p>
      <w:pPr>
        <w:jc w:val="both"/>
        <w:ind w:firstLine="1278"/>
        <w:spacing w:after="0" w:line="232" w:lineRule="auto"/>
        <w:tabs>
          <w:tab w:leader="none" w:pos="1903" w:val="left"/>
        </w:tabs>
        <w:numPr>
          <w:ilvl w:val="0"/>
          <w:numId w:val="2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execute any intercreditor agreements and/or subordination agreements with any holder of any Indebtedness or Liens permitted by this Agreement to the extent such intercreditor agreement and/or subordination agreement is required by the terms hereof; and</w:t>
      </w:r>
    </w:p>
    <w:p>
      <w:pPr>
        <w:spacing w:after="0" w:line="147" w:lineRule="exact"/>
        <w:rPr>
          <w:rFonts w:ascii="Times New Roman" w:cs="Times New Roman" w:eastAsia="Times New Roman" w:hAnsi="Times New Roman"/>
          <w:sz w:val="21"/>
          <w:szCs w:val="21"/>
          <w:color w:val="auto"/>
        </w:rPr>
      </w:pPr>
    </w:p>
    <w:p>
      <w:pPr>
        <w:ind w:firstLine="1278"/>
        <w:spacing w:after="0" w:line="245" w:lineRule="auto"/>
        <w:tabs>
          <w:tab w:leader="none" w:pos="1905" w:val="left"/>
        </w:tabs>
        <w:numPr>
          <w:ilvl w:val="0"/>
          <w:numId w:val="2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subordinate any Lien on any property granted to or held by the Administrative Agent under any Loan Document, to the extent securing the Obligations, to the holder of any Lien on such property that is permitted by </w:t>
      </w:r>
      <w:r>
        <w:rPr>
          <w:rFonts w:ascii="Times New Roman" w:cs="Times New Roman" w:eastAsia="Times New Roman" w:hAnsi="Times New Roman"/>
          <w:sz w:val="21"/>
          <w:szCs w:val="21"/>
          <w:u w:val="single" w:color="auto"/>
          <w:color w:val="auto"/>
        </w:rPr>
        <w:t>Section 7.01(i)</w:t>
      </w:r>
      <w:r>
        <w:rPr>
          <w:rFonts w:ascii="Times New Roman" w:cs="Times New Roman" w:eastAsia="Times New Roman" w:hAnsi="Times New Roman"/>
          <w:sz w:val="21"/>
          <w:szCs w:val="21"/>
          <w:color w:val="auto"/>
        </w:rPr>
        <w:t>.</w:t>
      </w:r>
    </w:p>
    <w:p>
      <w:pPr>
        <w:spacing w:after="0" w:line="169"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21"/>
          <w:szCs w:val="21"/>
          <w:color w:val="auto"/>
        </w:rPr>
        <w:t xml:space="preserve">Upon request by the Administrative Agent at any time, the Required Lenders will confirm in writing the Administrative Agent’s authority to release or subordinate its interest in particular types or items of Collateral, or to release any Guarantor from its Guarantee of the Obligations under the Collateral Agreement pursuant to this </w:t>
      </w:r>
      <w:r>
        <w:rPr>
          <w:rFonts w:ascii="Times New Roman" w:cs="Times New Roman" w:eastAsia="Times New Roman" w:hAnsi="Times New Roman"/>
          <w:sz w:val="21"/>
          <w:szCs w:val="21"/>
          <w:u w:val="single" w:color="auto"/>
          <w:color w:val="auto"/>
        </w:rPr>
        <w:t>Section 9.10</w:t>
      </w:r>
      <w:r>
        <w:rPr>
          <w:rFonts w:ascii="Times New Roman" w:cs="Times New Roman" w:eastAsia="Times New Roman" w:hAnsi="Times New Roman"/>
          <w:sz w:val="21"/>
          <w:szCs w:val="21"/>
          <w:color w:val="auto"/>
        </w:rPr>
        <w:t xml:space="preserve">. In each case as specified in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9.10</w:t>
      </w:r>
      <w:r>
        <w:rPr>
          <w:rFonts w:ascii="Times New Roman" w:cs="Times New Roman" w:eastAsia="Times New Roman" w:hAnsi="Times New Roman"/>
          <w:sz w:val="21"/>
          <w:szCs w:val="21"/>
          <w:color w:val="auto"/>
        </w:rPr>
        <w:t>, the Administrative Agent will, at the Borrower’s expense, execute and deliver to the applicable Loan Party such documents as such Loan Party may reasonably request to evidence the release of such item of Collateral from the assignment and security interest granted under the Collateral Documents or to subordinate its interest in such item, or to release such Guarantor from its Guarantee of the Obligations under the Collateral Agreement, in each case in accordance with the terms of the Loan Documents and this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Section 9.10</w:t>
      </w:r>
      <w:r>
        <w:rPr>
          <w:rFonts w:ascii="Times New Roman" w:cs="Times New Roman" w:eastAsia="Times New Roman" w:hAnsi="Times New Roman"/>
          <w:sz w:val="21"/>
          <w:szCs w:val="21"/>
          <w:color w:val="auto"/>
        </w:rPr>
        <w:t>.</w:t>
      </w:r>
    </w:p>
    <w:p>
      <w:pPr>
        <w:spacing w:after="0" w:line="212"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21"/>
          <w:szCs w:val="21"/>
          <w:color w:val="auto"/>
        </w:rPr>
        <w:t xml:space="preserve">Notwithstanding anything to the contrary in this Agreement, upon a Subsidiary being designated an Unrestricted Subsidiary in accordance with </w:t>
      </w:r>
      <w:r>
        <w:rPr>
          <w:rFonts w:ascii="Times New Roman" w:cs="Times New Roman" w:eastAsia="Times New Roman" w:hAnsi="Times New Roman"/>
          <w:sz w:val="21"/>
          <w:szCs w:val="21"/>
          <w:u w:val="single" w:color="auto"/>
          <w:color w:val="auto"/>
        </w:rPr>
        <w:t>Section 6.17</w:t>
      </w:r>
      <w:r>
        <w:rPr>
          <w:rFonts w:ascii="Times New Roman" w:cs="Times New Roman" w:eastAsia="Times New Roman" w:hAnsi="Times New Roman"/>
          <w:sz w:val="21"/>
          <w:szCs w:val="21"/>
          <w:color w:val="auto"/>
        </w:rPr>
        <w:t xml:space="preserve"> of this Agreement or otherwise ceasing to be a Restricted Subsidiary (including by way of liquidation, merger, consolidation or amalgamation or dissolution) in a transaction permitted by this Agreement, such Subsidiary shall be automatically released and relieved of any obligations under this Agreement, the Collateral Agreement and all other Loan Documents, all Liens granted by such Subsidiary in its assets to the Administrative Agent shall be automatically released, all pledges to the Administrative Agent of Equity Interests in any such Subsidiary shall be automatically released, and the Administrative Agent is authorized to, and shall promptly, deliver to the Borrower any acknowledgement confirming such releases and all necessary releases and terminations, in each case as the Borrower may reasonably request to evidence such release and at the Borrower’s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166</w:t>
      </w:r>
    </w:p>
    <w:p>
      <w:pPr>
        <w:sectPr>
          <w:pgSz w:w="11900" w:h="16838" w:orient="portrait"/>
          <w:cols w:equalWidth="0" w:num="1">
            <w:col w:w="11240"/>
          </w:cols>
          <w:pgMar w:left="320" w:top="1371" w:right="339" w:bottom="1440" w:gutter="0" w:footer="0" w:header="0"/>
        </w:sectPr>
      </w:pPr>
    </w:p>
    <w:bookmarkStart w:id="272" w:name="page273"/>
    <w:bookmarkEnd w:id="272"/>
    <w:p>
      <w:pPr>
        <w:spacing w:after="0" w:line="285" w:lineRule="auto"/>
        <w:rPr>
          <w:sz w:val="20"/>
          <w:szCs w:val="20"/>
          <w:color w:val="auto"/>
        </w:rPr>
      </w:pPr>
      <w:r>
        <w:rPr>
          <w:rFonts w:ascii="Times New Roman" w:cs="Times New Roman" w:eastAsia="Times New Roman" w:hAnsi="Times New Roman"/>
          <w:sz w:val="21"/>
          <w:szCs w:val="21"/>
          <w:color w:val="auto"/>
        </w:rPr>
        <w:t>expense. To the extent any Loan Document conflicts or is inconsistent with the terms of this Section, this Section shall govern and control in all respects.</w:t>
      </w:r>
    </w:p>
    <w:p>
      <w:pPr>
        <w:spacing w:after="0" w:line="113" w:lineRule="exact"/>
        <w:rPr>
          <w:sz w:val="20"/>
          <w:szCs w:val="20"/>
          <w:color w:val="auto"/>
        </w:rPr>
      </w:pPr>
    </w:p>
    <w:p>
      <w:pPr>
        <w:ind w:left="640"/>
        <w:spacing w:after="0"/>
        <w:tabs>
          <w:tab w:leader="none" w:pos="1880" w:val="left"/>
        </w:tabs>
        <w:rPr>
          <w:sz w:val="20"/>
          <w:szCs w:val="20"/>
          <w:color w:val="auto"/>
        </w:rPr>
      </w:pPr>
      <w:r>
        <w:rPr>
          <w:rFonts w:ascii="Times New Roman" w:cs="Times New Roman" w:eastAsia="Times New Roman" w:hAnsi="Times New Roman"/>
          <w:sz w:val="21"/>
          <w:szCs w:val="21"/>
          <w:color w:val="auto"/>
        </w:rPr>
        <w:t>Section 9.11</w:t>
      </w:r>
      <w:r>
        <w:rPr>
          <w:sz w:val="20"/>
          <w:szCs w:val="20"/>
          <w:color w:val="auto"/>
        </w:rPr>
        <w:tab/>
      </w:r>
      <w:r>
        <w:rPr>
          <w:rFonts w:ascii="Times New Roman" w:cs="Times New Roman" w:eastAsia="Times New Roman" w:hAnsi="Times New Roman"/>
          <w:sz w:val="21"/>
          <w:szCs w:val="21"/>
          <w:i w:val="1"/>
          <w:iCs w:val="1"/>
          <w:color w:val="auto"/>
        </w:rPr>
        <w:t>Additional Secured Parties</w:t>
      </w:r>
    </w:p>
    <w:p>
      <w:pPr>
        <w:spacing w:after="0" w:line="211" w:lineRule="exact"/>
        <w:rPr>
          <w:sz w:val="20"/>
          <w:szCs w:val="20"/>
          <w:color w:val="auto"/>
        </w:rPr>
      </w:pPr>
    </w:p>
    <w:p>
      <w:pPr>
        <w:jc w:val="both"/>
        <w:ind w:firstLine="642"/>
        <w:spacing w:after="0" w:line="257" w:lineRule="auto"/>
        <w:tabs>
          <w:tab w:leader="none" w:pos="768" w:val="left"/>
        </w:tabs>
        <w:numPr>
          <w:ilvl w:val="0"/>
          <w:numId w:val="2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 Cash Management Bank or Hedge Bank that obtains the benefits of the Collateral Agreement or any Collateral by virtue of the provisions hereof or of the Collateral Agreement or any Collateral Document shall have any right to notice of any action or to consent to, direct or object to any action hereunder or under any other Loan Document or otherwise in respect of the Collateral (including the release or impairment of any Collateral) other than in its capacity as a Lender and, in such case, only to the extent expressly provided in the Loan Documents. Notwithstanding any other provision of this </w:t>
      </w:r>
      <w:r>
        <w:rPr>
          <w:rFonts w:ascii="Times New Roman" w:cs="Times New Roman" w:eastAsia="Times New Roman" w:hAnsi="Times New Roman"/>
          <w:sz w:val="21"/>
          <w:szCs w:val="21"/>
          <w:u w:val="single" w:color="auto"/>
          <w:color w:val="auto"/>
        </w:rPr>
        <w:t>Article 9</w:t>
      </w:r>
      <w:r>
        <w:rPr>
          <w:rFonts w:ascii="Times New Roman" w:cs="Times New Roman" w:eastAsia="Times New Roman" w:hAnsi="Times New Roman"/>
          <w:sz w:val="21"/>
          <w:szCs w:val="21"/>
          <w:color w:val="auto"/>
        </w:rPr>
        <w:t xml:space="preserve"> to the contrary, the Administrative Agent shall not be required to verify the payment of, or that other satisfactory arrangements have been made with respect to, Obligations arising under Secured Cash Management Agreements and Secured Hedge Agreements unless the Administrative Agent has received written notice of such Obligations, together with such supporting documentation as the Administrative Agent may request, from the applicable Cash Management Bank or Hedge Bank, as the case may be.</w:t>
      </w:r>
    </w:p>
    <w:p>
      <w:pPr>
        <w:spacing w:after="0" w:line="148"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9.12</w:t>
      </w:r>
      <w:r>
        <w:rPr>
          <w:sz w:val="20"/>
          <w:szCs w:val="20"/>
          <w:color w:val="auto"/>
        </w:rPr>
        <w:tab/>
      </w:r>
      <w:r>
        <w:rPr>
          <w:rFonts w:ascii="Times New Roman" w:cs="Times New Roman" w:eastAsia="Times New Roman" w:hAnsi="Times New Roman"/>
          <w:sz w:val="21"/>
          <w:szCs w:val="21"/>
          <w:i w:val="1"/>
          <w:iCs w:val="1"/>
          <w:color w:val="auto"/>
        </w:rPr>
        <w:t>Certain ERISA Matters</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p>
    <w:p>
      <w:pPr>
        <w:spacing w:after="0" w:line="196" w:lineRule="exact"/>
        <w:rPr>
          <w:sz w:val="20"/>
          <w:szCs w:val="20"/>
          <w:color w:val="auto"/>
        </w:rPr>
      </w:pPr>
    </w:p>
    <w:p>
      <w:pPr>
        <w:jc w:val="both"/>
        <w:ind w:firstLine="1278"/>
        <w:spacing w:after="0"/>
        <w:tabs>
          <w:tab w:leader="none" w:pos="1905" w:val="left"/>
        </w:tabs>
        <w:numPr>
          <w:ilvl w:val="0"/>
          <w:numId w:val="2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the Co-Managers and the Arrangers and their respective Affiliates, and not, for the avoidance of doubt, to or for the benefit of the Borrower or any other Loan Party, that at least one of the following is and will be true:</w:t>
      </w:r>
    </w:p>
    <w:p>
      <w:pPr>
        <w:spacing w:after="0" w:line="306" w:lineRule="exact"/>
        <w:rPr>
          <w:rFonts w:ascii="Times New Roman" w:cs="Times New Roman" w:eastAsia="Times New Roman" w:hAnsi="Times New Roman"/>
          <w:sz w:val="21"/>
          <w:szCs w:val="21"/>
          <w:color w:val="auto"/>
        </w:rPr>
      </w:pPr>
    </w:p>
    <w:p>
      <w:pPr>
        <w:jc w:val="both"/>
        <w:ind w:left="1920" w:hanging="245"/>
        <w:spacing w:after="0" w:line="232" w:lineRule="auto"/>
        <w:tabs>
          <w:tab w:leader="none" w:pos="1992" w:val="left"/>
        </w:tabs>
        <w:numPr>
          <w:ilvl w:val="1"/>
          <w:numId w:val="2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Lender is not using “plan assets” (within the meaning of Section 3(42) of ERISA or otherwise for purposes of Title I of ERISA or Section 4975 of the Code) of one or more Benefit Plans in connection with the Loans, the Letters of Credit or the Commitments,</w:t>
      </w:r>
    </w:p>
    <w:p>
      <w:pPr>
        <w:spacing w:after="0" w:line="147" w:lineRule="exact"/>
        <w:rPr>
          <w:rFonts w:ascii="Times New Roman" w:cs="Times New Roman" w:eastAsia="Times New Roman" w:hAnsi="Times New Roman"/>
          <w:sz w:val="21"/>
          <w:szCs w:val="21"/>
          <w:color w:val="auto"/>
        </w:rPr>
      </w:pPr>
    </w:p>
    <w:p>
      <w:pPr>
        <w:jc w:val="both"/>
        <w:ind w:left="1920" w:hanging="245"/>
        <w:spacing w:after="0" w:line="217" w:lineRule="auto"/>
        <w:tabs>
          <w:tab w:leader="none" w:pos="2550" w:val="left"/>
        </w:tabs>
        <w:numPr>
          <w:ilvl w:val="1"/>
          <w:numId w:val="2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prohibited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so as to exempt from the prohibitions of Section 406 of ERISA and Section 4975 of the Code such Lender’s entrance into, participation in, administration of and performance of the Loans, the Letters of Credit, the Commitments and this Agreement,</w:t>
      </w:r>
    </w:p>
    <w:p>
      <w:pPr>
        <w:spacing w:after="0" w:line="154" w:lineRule="exact"/>
        <w:rPr>
          <w:rFonts w:ascii="Times New Roman" w:cs="Times New Roman" w:eastAsia="Times New Roman" w:hAnsi="Times New Roman"/>
          <w:sz w:val="21"/>
          <w:szCs w:val="21"/>
          <w:color w:val="auto"/>
        </w:rPr>
      </w:pPr>
    </w:p>
    <w:p>
      <w:pPr>
        <w:ind w:left="1920" w:hanging="245"/>
        <w:spacing w:after="0" w:line="245" w:lineRule="auto"/>
        <w:tabs>
          <w:tab w:leader="none" w:pos="2556" w:val="left"/>
        </w:tabs>
        <w:numPr>
          <w:ilvl w:val="1"/>
          <w:numId w:val="2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such Lender is an investment fund managed by a “Qualified Professional Asset Manager” (within the meaning of Part VI of PTE 84-14), (B) such Qualified Professional Asset Manager made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167</w:t>
      </w:r>
    </w:p>
    <w:p>
      <w:pPr>
        <w:sectPr>
          <w:pgSz w:w="11900" w:h="16838" w:orient="portrait"/>
          <w:cols w:equalWidth="0" w:num="1">
            <w:col w:w="11240"/>
          </w:cols>
          <w:pgMar w:left="320" w:top="1397" w:right="339" w:bottom="1440" w:gutter="0" w:footer="0" w:header="0"/>
        </w:sectPr>
      </w:pPr>
    </w:p>
    <w:bookmarkStart w:id="273" w:name="page274"/>
    <w:bookmarkEnd w:id="273"/>
    <w:p>
      <w:pPr>
        <w:jc w:val="both"/>
        <w:ind w:left="1920"/>
        <w:spacing w:after="0" w:line="219" w:lineRule="auto"/>
        <w:rPr>
          <w:sz w:val="20"/>
          <w:szCs w:val="20"/>
          <w:color w:val="auto"/>
        </w:rPr>
      </w:pPr>
      <w:r>
        <w:rPr>
          <w:rFonts w:ascii="Times New Roman" w:cs="Times New Roman" w:eastAsia="Times New Roman" w:hAnsi="Times New Roman"/>
          <w:sz w:val="21"/>
          <w:szCs w:val="21"/>
          <w:color w:val="auto"/>
        </w:rPr>
        <w:t>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54" w:lineRule="exact"/>
        <w:rPr>
          <w:sz w:val="20"/>
          <w:szCs w:val="20"/>
          <w:color w:val="auto"/>
        </w:rPr>
      </w:pPr>
    </w:p>
    <w:p>
      <w:pPr>
        <w:ind w:left="1920" w:hanging="245"/>
        <w:spacing w:after="0" w:line="245" w:lineRule="auto"/>
        <w:tabs>
          <w:tab w:leader="none" w:pos="2544" w:val="left"/>
        </w:tabs>
        <w:numPr>
          <w:ilvl w:val="1"/>
          <w:numId w:val="2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other representation, warranty and covenant as may be agreed in writing between the Administrative Agent, in its sole discretion, and such Lender.</w:t>
      </w:r>
    </w:p>
    <w:p>
      <w:pPr>
        <w:spacing w:after="0" w:line="142" w:lineRule="exact"/>
        <w:rPr>
          <w:rFonts w:ascii="Times New Roman" w:cs="Times New Roman" w:eastAsia="Times New Roman" w:hAnsi="Times New Roman"/>
          <w:sz w:val="21"/>
          <w:szCs w:val="21"/>
          <w:color w:val="auto"/>
        </w:rPr>
      </w:pPr>
    </w:p>
    <w:p>
      <w:pPr>
        <w:jc w:val="both"/>
        <w:ind w:firstLine="1278"/>
        <w:spacing w:after="0" w:line="217" w:lineRule="auto"/>
        <w:tabs>
          <w:tab w:leader="none" w:pos="1903" w:val="left"/>
        </w:tabs>
        <w:numPr>
          <w:ilvl w:val="0"/>
          <w:numId w:val="2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addition, unless either (1) </w:t>
      </w:r>
      <w:r>
        <w:rPr>
          <w:rFonts w:ascii="Times New Roman" w:cs="Times New Roman" w:eastAsia="Times New Roman" w:hAnsi="Times New Roman"/>
          <w:sz w:val="21"/>
          <w:szCs w:val="21"/>
          <w:u w:val="single" w:color="auto"/>
          <w:color w:val="auto"/>
        </w:rPr>
        <w:t>sub-clause (i)</w:t>
      </w:r>
      <w:r>
        <w:rPr>
          <w:rFonts w:ascii="Times New Roman" w:cs="Times New Roman" w:eastAsia="Times New Roman" w:hAnsi="Times New Roman"/>
          <w:sz w:val="21"/>
          <w:szCs w:val="21"/>
          <w:color w:val="auto"/>
        </w:rPr>
        <w:t xml:space="preserve"> in the immediately preceding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is true with respect to a Lender or (2) a Lender has provided another representation, warranty and covenant in accordance with </w:t>
      </w:r>
      <w:r>
        <w:rPr>
          <w:rFonts w:ascii="Times New Roman" w:cs="Times New Roman" w:eastAsia="Times New Roman" w:hAnsi="Times New Roman"/>
          <w:sz w:val="21"/>
          <w:szCs w:val="21"/>
          <w:u w:val="single" w:color="auto"/>
          <w:color w:val="auto"/>
        </w:rPr>
        <w:t>sub-clause (iv)</w:t>
      </w:r>
      <w:r>
        <w:rPr>
          <w:rFonts w:ascii="Times New Roman" w:cs="Times New Roman" w:eastAsia="Times New Roman" w:hAnsi="Times New Roman"/>
          <w:sz w:val="21"/>
          <w:szCs w:val="21"/>
          <w:color w:val="auto"/>
        </w:rPr>
        <w:t xml:space="preserve"> in the immediately preceding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such Lender further (x) represents and warrants, as of the date such Person became a Lender party hereto, and (y) covenants, from the date such Person became a Lender party hereto to the date such Person ceases being a Lender party hereto, for the benefit of, the Administrative Agent, the Co-Managers and the Arrangers and their respective Affiliates, and not, for the avoidance of doubt, to or for the benefit of the Borrower or any other Loan Party, that none of the Administrative Agent or any Arranger or any of their respective Affiliates is a fiduciary with respect to the assets of such Lender involved in the Loans, the Letters of Credit, the Commitments and this Agreement (including in connection with the reservation or exercise of any rights by the Administrative Agent under this Agreement, any Loan Document or any documents related </w:t>
      </w:r>
      <w:r>
        <w:rPr>
          <w:rFonts w:ascii="Times New Roman" w:cs="Times New Roman" w:eastAsia="Times New Roman" w:hAnsi="Times New Roman"/>
          <w:sz w:val="21"/>
          <w:szCs w:val="21"/>
          <w:b w:val="1"/>
          <w:bCs w:val="1"/>
          <w:color w:val="FF0000"/>
        </w:rPr>
        <w:t>to</w:t>
      </w:r>
      <w:r>
        <w:rPr>
          <w:rFonts w:ascii="Times New Roman" w:cs="Times New Roman" w:eastAsia="Times New Roman" w:hAnsi="Times New Roman"/>
          <w:sz w:val="21"/>
          <w:szCs w:val="21"/>
          <w:color w:val="auto"/>
        </w:rPr>
        <w:t xml:space="preserve"> hereto or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5637530</wp:posOffset>
            </wp:positionH>
            <wp:positionV relativeFrom="paragraph">
              <wp:posOffset>-76835</wp:posOffset>
            </wp:positionV>
            <wp:extent cx="14605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5">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spacing w:after="0" w:line="133"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9.13</w:t>
      </w:r>
      <w:r>
        <w:rPr>
          <w:sz w:val="20"/>
          <w:szCs w:val="20"/>
          <w:color w:val="auto"/>
        </w:rPr>
        <w:tab/>
      </w:r>
      <w:r>
        <w:rPr>
          <w:rFonts w:ascii="Times New Roman" w:cs="Times New Roman" w:eastAsia="Times New Roman" w:hAnsi="Times New Roman"/>
          <w:sz w:val="21"/>
          <w:szCs w:val="21"/>
          <w:i w:val="1"/>
          <w:iCs w:val="1"/>
          <w:color w:val="auto"/>
        </w:rPr>
        <w:t>Acknowledgements of Lenders and L/C Issuers.</w:t>
      </w:r>
    </w:p>
    <w:p>
      <w:pPr>
        <w:spacing w:after="0" w:line="185" w:lineRule="exact"/>
        <w:rPr>
          <w:sz w:val="20"/>
          <w:szCs w:val="20"/>
          <w:color w:val="auto"/>
        </w:rPr>
      </w:pPr>
    </w:p>
    <w:p>
      <w:pPr>
        <w:jc w:val="both"/>
        <w:ind w:firstLine="1278"/>
        <w:spacing w:after="0" w:line="214" w:lineRule="auto"/>
        <w:tabs>
          <w:tab w:leader="none" w:pos="1905" w:val="left"/>
        </w:tabs>
        <w:numPr>
          <w:ilvl w:val="0"/>
          <w:numId w:val="2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 and each L/C Issuer hereby agrees that (x) if the Administrative Agent notifies such Lender or L/C Issuer, as applicable, that the Administrative Agent has determined in its sole discretion that any funds received by such Lender or L/C Issuer from the Administrative Agent or any of its Affiliates (whether as a payment, prepayment or repayment of principal, interest, fees or otherwise; individually and collectively, a “</w:t>
      </w:r>
      <w:r>
        <w:rPr>
          <w:rFonts w:ascii="Times New Roman" w:cs="Times New Roman" w:eastAsia="Times New Roman" w:hAnsi="Times New Roman"/>
          <w:sz w:val="21"/>
          <w:szCs w:val="21"/>
          <w:b w:val="1"/>
          <w:bCs w:val="1"/>
          <w:u w:val="single" w:color="auto"/>
          <w:color w:val="auto"/>
        </w:rPr>
        <w:t>Payment</w:t>
      </w:r>
      <w:r>
        <w:rPr>
          <w:rFonts w:ascii="Times New Roman" w:cs="Times New Roman" w:eastAsia="Times New Roman" w:hAnsi="Times New Roman"/>
          <w:sz w:val="21"/>
          <w:szCs w:val="21"/>
          <w:color w:val="auto"/>
        </w:rPr>
        <w:t xml:space="preserve">”) were erroneously transmitted to such Lender or L/C Issuer (whether or not known to such Lender or L/C Issuer), and demands the return of such Payment (or a portion thereof), such Lender or L/C Issuer, as applicable,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or L/C Issuer, as applicable,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or L/C Issuer, as applicable,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or L/C Issuer under this </w:t>
      </w:r>
      <w:r>
        <w:rPr>
          <w:rFonts w:ascii="Times New Roman" w:cs="Times New Roman" w:eastAsia="Times New Roman" w:hAnsi="Times New Roman"/>
          <w:sz w:val="21"/>
          <w:szCs w:val="21"/>
          <w:u w:val="single" w:color="auto"/>
          <w:color w:val="auto"/>
        </w:rPr>
        <w:t>Section 9.13(a)</w:t>
      </w:r>
      <w:r>
        <w:rPr>
          <w:rFonts w:ascii="Times New Roman" w:cs="Times New Roman" w:eastAsia="Times New Roman" w:hAnsi="Times New Roman"/>
          <w:sz w:val="21"/>
          <w:szCs w:val="21"/>
          <w:color w:val="auto"/>
        </w:rPr>
        <w:t xml:space="preserve"> shall be conclusive, absent manifest error.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168</w:t>
      </w:r>
    </w:p>
    <w:p>
      <w:pPr>
        <w:sectPr>
          <w:pgSz w:w="11900" w:h="16838" w:orient="portrait"/>
          <w:cols w:equalWidth="0" w:num="1">
            <w:col w:w="11240"/>
          </w:cols>
          <w:pgMar w:left="320" w:top="1371" w:right="339" w:bottom="1440" w:gutter="0" w:footer="0" w:header="0"/>
        </w:sectPr>
      </w:pPr>
    </w:p>
    <w:bookmarkStart w:id="274" w:name="page275"/>
    <w:bookmarkEnd w:id="274"/>
    <w:p>
      <w:pPr>
        <w:jc w:val="both"/>
        <w:ind w:firstLine="1278"/>
        <w:spacing w:after="0" w:line="218" w:lineRule="auto"/>
        <w:tabs>
          <w:tab w:leader="none" w:pos="1903" w:val="left"/>
        </w:tabs>
        <w:numPr>
          <w:ilvl w:val="1"/>
          <w:numId w:val="2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 and L/C Issuer, as applicable,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Times New Roman" w:cs="Times New Roman" w:eastAsia="Times New Roman" w:hAnsi="Times New Roman"/>
          <w:sz w:val="21"/>
          <w:szCs w:val="21"/>
          <w:b w:val="1"/>
          <w:bCs w:val="1"/>
          <w:u w:val="single" w:color="auto"/>
          <w:color w:val="auto"/>
        </w:rPr>
        <w:t>Payment Notice</w:t>
      </w:r>
      <w:r>
        <w:rPr>
          <w:rFonts w:ascii="Times New Roman" w:cs="Times New Roman" w:eastAsia="Times New Roman" w:hAnsi="Times New Roman"/>
          <w:sz w:val="21"/>
          <w:szCs w:val="21"/>
          <w:color w:val="auto"/>
        </w:rPr>
        <w:t>”) or</w:t>
      </w:r>
    </w:p>
    <w:p>
      <w:pPr>
        <w:spacing w:after="0" w:line="1" w:lineRule="exact"/>
        <w:rPr>
          <w:rFonts w:ascii="Times New Roman" w:cs="Times New Roman" w:eastAsia="Times New Roman" w:hAnsi="Times New Roman"/>
          <w:sz w:val="21"/>
          <w:szCs w:val="21"/>
          <w:color w:val="auto"/>
        </w:rPr>
      </w:pPr>
    </w:p>
    <w:p>
      <w:pPr>
        <w:jc w:val="both"/>
        <w:ind w:firstLine="6"/>
        <w:spacing w:after="0" w:line="215" w:lineRule="auto"/>
        <w:tabs>
          <w:tab w:leader="none" w:pos="303" w:val="left"/>
        </w:tabs>
        <w:numPr>
          <w:ilvl w:val="0"/>
          <w:numId w:val="2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that was not preceded or accompanied by a Payment Notice, it shall be on notice, in each such case, that an error has been made with respect to such Payment. Each Lender and each L/C Issuer agrees that, in each such case, or if it otherwise becomes aware that a Payment (or portion thereof) may have been sent in error, such Lender shall promptly notify the Administrative Agent of such occurrence and, upon demand from the Administrative Agent, it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or L/C Issuer, as applicable, to the date such amount is repaid to the Administrative Agent at the greater of the NYFRB Rate and a rate determined by the Administrative Agent in accordance with banking industry rules on interbank compensation from time to time in effect.</w:t>
      </w:r>
    </w:p>
    <w:p>
      <w:pPr>
        <w:spacing w:after="0" w:line="149" w:lineRule="exact"/>
        <w:rPr>
          <w:rFonts w:ascii="Times New Roman" w:cs="Times New Roman" w:eastAsia="Times New Roman" w:hAnsi="Times New Roman"/>
          <w:sz w:val="21"/>
          <w:szCs w:val="21"/>
          <w:color w:val="auto"/>
        </w:rPr>
      </w:pPr>
    </w:p>
    <w:p>
      <w:pPr>
        <w:jc w:val="both"/>
        <w:ind w:firstLine="1278"/>
        <w:spacing w:after="0" w:line="221" w:lineRule="auto"/>
        <w:tabs>
          <w:tab w:leader="none" w:pos="1905" w:val="left"/>
        </w:tabs>
        <w:numPr>
          <w:ilvl w:val="1"/>
          <w:numId w:val="2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and each other Loan Party hereby agrees that (x) in the event an erroneous Payment (or portion thereof) is not recovered from any Lender or L/C Issuer that has received such Payment (or portion thereof) for any reason, the Administrative Agent shall be subrogated to all the rights of such Lender or such L/C Issuer, as applicable with respect to such amount and (y) an erroneous Payment shall not pay, prepay, repay, discharge or otherwise satisfy any Obligations owed by the Borrower or any other Loan Party except, in each case, to the extent such erroneous Payment is, and with respect to the amount of such erroneous Payment that is, comprised of funds of the Borrower or any other Loan Party.</w:t>
      </w:r>
    </w:p>
    <w:p>
      <w:pPr>
        <w:spacing w:after="0" w:line="149" w:lineRule="exact"/>
        <w:rPr>
          <w:rFonts w:ascii="Times New Roman" w:cs="Times New Roman" w:eastAsia="Times New Roman" w:hAnsi="Times New Roman"/>
          <w:sz w:val="21"/>
          <w:szCs w:val="21"/>
          <w:color w:val="auto"/>
        </w:rPr>
      </w:pPr>
    </w:p>
    <w:p>
      <w:pPr>
        <w:jc w:val="both"/>
        <w:ind w:firstLine="1278"/>
        <w:spacing w:after="0" w:line="232" w:lineRule="auto"/>
        <w:tabs>
          <w:tab w:leader="none" w:pos="1903" w:val="left"/>
        </w:tabs>
        <w:numPr>
          <w:ilvl w:val="1"/>
          <w:numId w:val="2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party’s obligations under this </w:t>
      </w:r>
      <w:r>
        <w:rPr>
          <w:rFonts w:ascii="Times New Roman" w:cs="Times New Roman" w:eastAsia="Times New Roman" w:hAnsi="Times New Roman"/>
          <w:sz w:val="21"/>
          <w:szCs w:val="21"/>
          <w:u w:val="single" w:color="auto"/>
          <w:color w:val="auto"/>
        </w:rPr>
        <w:t>Section 9.13</w:t>
      </w:r>
      <w:r>
        <w:rPr>
          <w:rFonts w:ascii="Times New Roman" w:cs="Times New Roman" w:eastAsia="Times New Roman" w:hAnsi="Times New Roman"/>
          <w:sz w:val="21"/>
          <w:szCs w:val="21"/>
          <w:color w:val="auto"/>
        </w:rPr>
        <w:t xml:space="preserve"> shall survive the resignation or replacement of the Administrative Agent or any transfer of rights or obligations by, or the replacement of, a Lender or L/C Issuer, the termination of the Commitments or the repayment, satisfaction or discharge of all Obligations under any Loan Document.</w:t>
      </w:r>
    </w:p>
    <w:p>
      <w:pPr>
        <w:spacing w:after="0" w:line="144"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b w:val="1"/>
          <w:bCs w:val="1"/>
          <w:u w:val="single" w:color="auto"/>
          <w:color w:val="0000FF"/>
        </w:rPr>
        <w:t>Section 9.14</w:t>
      </w:r>
      <w:r>
        <w:rPr>
          <w:sz w:val="20"/>
          <w:szCs w:val="20"/>
          <w:color w:val="auto"/>
        </w:rPr>
        <w:tab/>
      </w:r>
      <w:r>
        <w:rPr>
          <w:rFonts w:ascii="Times New Roman" w:cs="Times New Roman" w:eastAsia="Times New Roman" w:hAnsi="Times New Roman"/>
          <w:sz w:val="21"/>
          <w:szCs w:val="21"/>
          <w:b w:val="1"/>
          <w:bCs w:val="1"/>
          <w:i w:val="1"/>
          <w:iCs w:val="1"/>
          <w:u w:val="single" w:color="auto"/>
          <w:color w:val="0000FF"/>
        </w:rPr>
        <w:t>Borrower Communications</w:t>
      </w:r>
      <w:r>
        <w:rPr>
          <w:rFonts w:ascii="Times New Roman" w:cs="Times New Roman" w:eastAsia="Times New Roman" w:hAnsi="Times New Roman"/>
          <w:sz w:val="21"/>
          <w:szCs w:val="21"/>
          <w:b w:val="1"/>
          <w:bCs w:val="1"/>
          <w:u w:val="single" w:color="auto"/>
          <w:color w:val="0000FF"/>
        </w:rPr>
        <w:t>.</w:t>
      </w:r>
    </w:p>
    <w:p>
      <w:pPr>
        <w:spacing w:after="0" w:line="183" w:lineRule="exact"/>
        <w:rPr>
          <w:sz w:val="20"/>
          <w:szCs w:val="20"/>
          <w:color w:val="auto"/>
        </w:rPr>
      </w:pPr>
    </w:p>
    <w:p>
      <w:pPr>
        <w:jc w:val="both"/>
        <w:ind w:firstLine="1278"/>
        <w:spacing w:after="0" w:line="233" w:lineRule="auto"/>
        <w:tabs>
          <w:tab w:leader="none" w:pos="1903" w:val="left"/>
        </w:tabs>
        <w:numPr>
          <w:ilvl w:val="0"/>
          <w:numId w:val="300"/>
        </w:numPr>
        <w:rPr>
          <w:rFonts w:ascii="Times New Roman" w:cs="Times New Roman" w:eastAsia="Times New Roman" w:hAnsi="Times New Roman"/>
          <w:sz w:val="21"/>
          <w:szCs w:val="21"/>
          <w:b w:val="1"/>
          <w:bCs w:val="1"/>
          <w:u w:val="single" w:color="auto"/>
          <w:color w:val="0000FF"/>
        </w:rPr>
      </w:pPr>
      <w:r>
        <w:rPr>
          <w:rFonts w:ascii="Times New Roman" w:cs="Times New Roman" w:eastAsia="Times New Roman" w:hAnsi="Times New Roman"/>
          <w:sz w:val="21"/>
          <w:szCs w:val="21"/>
          <w:b w:val="1"/>
          <w:bCs w:val="1"/>
          <w:u w:val="single" w:color="auto"/>
          <w:color w:val="0000FF"/>
        </w:rPr>
        <w:t>The Administrative Agent, the Lenders and the L/C Issuers agree that the Borrower may, but shall not be obligated to, make any Borrower Communications to the Administrative Agent through an electronic platform chosen by the Administrative Agent to be its electronic transmission system (the “Approved Borrower Portal”).</w:t>
      </w:r>
    </w:p>
    <w:p>
      <w:pPr>
        <w:spacing w:after="0" w:line="144" w:lineRule="exact"/>
        <w:rPr>
          <w:rFonts w:ascii="Times New Roman" w:cs="Times New Roman" w:eastAsia="Times New Roman" w:hAnsi="Times New Roman"/>
          <w:sz w:val="21"/>
          <w:szCs w:val="21"/>
          <w:b w:val="1"/>
          <w:bCs w:val="1"/>
          <w:u w:val="single" w:color="auto"/>
          <w:color w:val="0000FF"/>
        </w:rPr>
      </w:pPr>
    </w:p>
    <w:p>
      <w:pPr>
        <w:jc w:val="both"/>
        <w:ind w:firstLine="1278"/>
        <w:spacing w:after="0" w:line="218" w:lineRule="auto"/>
        <w:tabs>
          <w:tab w:leader="none" w:pos="1902" w:val="left"/>
        </w:tabs>
        <w:numPr>
          <w:ilvl w:val="0"/>
          <w:numId w:val="300"/>
        </w:numPr>
        <w:rPr>
          <w:rFonts w:ascii="Times New Roman" w:cs="Times New Roman" w:eastAsia="Times New Roman" w:hAnsi="Times New Roman"/>
          <w:sz w:val="21"/>
          <w:szCs w:val="21"/>
          <w:b w:val="1"/>
          <w:bCs w:val="1"/>
          <w:u w:val="single" w:color="auto"/>
          <w:color w:val="0000FF"/>
        </w:rPr>
      </w:pPr>
      <w:r>
        <w:rPr>
          <w:rFonts w:ascii="Times New Roman" w:cs="Times New Roman" w:eastAsia="Times New Roman" w:hAnsi="Times New Roman"/>
          <w:sz w:val="21"/>
          <w:szCs w:val="21"/>
          <w:b w:val="1"/>
          <w:bCs w:val="1"/>
          <w:u w:val="single" w:color="auto"/>
          <w:color w:val="0000FF"/>
        </w:rPr>
        <w:t>Although the Approved Borrower Portal and its primary web portal are secured with generally-applicable security procedures and policies implemented or modified by the Administrative Agent from time to time (including, as of the First Amendment Effective Date, a user ID/password authorization system), each of the Lenders, each of the L/C Issuers and the Borrower acknowledges and agrees that the distribution of material through an electronic medium is not necessarily secure, that the Administrative Agent is not responsible for approving or vetting the representatives or contacts of the Borrower that are added to the Approved Borrower Portal, and that there may be confidentiality and other risks associated with such distribution. Each of the Lenders, each of the L/C Issuers and the Borrower hereby approves distribution of Borrower Communications through the Approved Borrower Portal and understands and assumes the risks of such distribution.</w:t>
      </w:r>
    </w:p>
    <w:p>
      <w:pPr>
        <w:spacing w:after="0" w:line="145" w:lineRule="exact"/>
        <w:rPr>
          <w:rFonts w:ascii="Times New Roman" w:cs="Times New Roman" w:eastAsia="Times New Roman" w:hAnsi="Times New Roman"/>
          <w:sz w:val="21"/>
          <w:szCs w:val="21"/>
          <w:b w:val="1"/>
          <w:bCs w:val="1"/>
          <w:u w:val="single" w:color="auto"/>
          <w:color w:val="0000FF"/>
        </w:rPr>
      </w:pPr>
    </w:p>
    <w:p>
      <w:pPr>
        <w:jc w:val="both"/>
        <w:ind w:firstLine="1278"/>
        <w:spacing w:after="0" w:line="233" w:lineRule="auto"/>
        <w:tabs>
          <w:tab w:leader="none" w:pos="1905" w:val="left"/>
        </w:tabs>
        <w:numPr>
          <w:ilvl w:val="0"/>
          <w:numId w:val="300"/>
        </w:numPr>
        <w:rPr>
          <w:rFonts w:ascii="Times New Roman" w:cs="Times New Roman" w:eastAsia="Times New Roman" w:hAnsi="Times New Roman"/>
          <w:sz w:val="21"/>
          <w:szCs w:val="21"/>
          <w:b w:val="1"/>
          <w:bCs w:val="1"/>
          <w:u w:val="single" w:color="auto"/>
          <w:color w:val="0000FF"/>
        </w:rPr>
      </w:pPr>
      <w:r>
        <w:rPr>
          <w:rFonts w:ascii="Times New Roman" w:cs="Times New Roman" w:eastAsia="Times New Roman" w:hAnsi="Times New Roman"/>
          <w:sz w:val="21"/>
          <w:szCs w:val="21"/>
          <w:b w:val="1"/>
          <w:bCs w:val="1"/>
          <w:u w:val="single" w:color="auto"/>
          <w:color w:val="0000FF"/>
        </w:rPr>
        <w:t>THE APPROVED BORROWER PORTAL IS PROVIDED “AS IS” AND “AS AVAILABLE”. THE APPLICABLE PARTIES (AS DEFINED BELOW) DO NOT WARRANT THE ACCURACY OR COMPLETENESS OF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169</w:t>
      </w:r>
    </w:p>
    <w:p>
      <w:pPr>
        <w:sectPr>
          <w:pgSz w:w="11900" w:h="16838" w:orient="portrait"/>
          <w:cols w:equalWidth="0" w:num="1">
            <w:col w:w="11240"/>
          </w:cols>
          <w:pgMar w:left="320" w:top="1371" w:right="339" w:bottom="1440" w:gutter="0" w:footer="0" w:header="0"/>
        </w:sectPr>
      </w:pPr>
    </w:p>
    <w:bookmarkStart w:id="275" w:name="page276"/>
    <w:bookmarkEnd w:id="275"/>
    <w:p>
      <w:pPr>
        <w:jc w:val="both"/>
        <w:spacing w:after="0" w:line="215" w:lineRule="auto"/>
        <w:rPr>
          <w:sz w:val="20"/>
          <w:szCs w:val="20"/>
          <w:color w:val="auto"/>
        </w:rPr>
      </w:pPr>
      <w:r>
        <w:rPr>
          <w:rFonts w:ascii="Times New Roman" w:cs="Times New Roman" w:eastAsia="Times New Roman" w:hAnsi="Times New Roman"/>
          <w:sz w:val="21"/>
          <w:szCs w:val="21"/>
          <w:b w:val="1"/>
          <w:bCs w:val="1"/>
          <w:u w:val="single" w:color="auto"/>
          <w:color w:val="0000FF"/>
        </w:rPr>
        <w:t>COMMUNICATIONS, OR THE ADEQUACY OF THE APPROVED BORROWER PORTAL AND EXPRESSLY DISCLAIM LIABILITY FOR ERRORS OR OMISSIONS IN THE APPROVED BORROWER PORTAL AND THE BORROWER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BORROWER COMMUNICATIONS OR THE APPROVED BORROWER PORTAL. IN NO EVENT SHALL THE ADMINISTRATIVE AGENT, ANY ARRANGER, ANY SYNDICATION AGENT OR ANY OF THEIR RESPECTIVE RELATED PARTIES (COLLECTIVELY, “APPLICABLE PARTIES”) HAVE ANY LIABILITY TO ANY LOAN PARTY, ANY LENDER, ANY L/C ISSUER OR ANY OTHER PERSON OR ENTITY FOR DAMAGES OF ANY KIND, INCLUDING DIRECT OR INDIRECT, SPECIAL, INCIDENTAL OR CONSEQUENTIAL DAMAGES, LOSSES OR EXPENSES (WHETHER IN TORT, CONTRACT OR OTHERWISE) ARISING OUT OF THE BORROWER’S TRANSMISSION OF BORROWER COMMUNICATIONS THROUGH THE INTERNET OR THE APPROVED BORROWER PORTAL.</w:t>
      </w:r>
    </w:p>
    <w:p>
      <w:pPr>
        <w:spacing w:after="0" w:line="156" w:lineRule="exact"/>
        <w:rPr>
          <w:sz w:val="20"/>
          <w:szCs w:val="20"/>
          <w:color w:val="auto"/>
        </w:rPr>
      </w:pPr>
    </w:p>
    <w:p>
      <w:pPr>
        <w:jc w:val="both"/>
        <w:ind w:firstLine="1278"/>
        <w:spacing w:after="0" w:line="227" w:lineRule="auto"/>
        <w:tabs>
          <w:tab w:leader="none" w:pos="1902" w:val="left"/>
        </w:tabs>
        <w:numPr>
          <w:ilvl w:val="0"/>
          <w:numId w:val="301"/>
        </w:numPr>
        <w:rPr>
          <w:rFonts w:ascii="Times New Roman" w:cs="Times New Roman" w:eastAsia="Times New Roman" w:hAnsi="Times New Roman"/>
          <w:sz w:val="21"/>
          <w:szCs w:val="21"/>
          <w:b w:val="1"/>
          <w:bCs w:val="1"/>
          <w:u w:val="single" w:color="auto"/>
          <w:color w:val="0000FF"/>
        </w:rPr>
      </w:pPr>
      <w:r>
        <w:rPr>
          <w:rFonts w:ascii="Times New Roman" w:cs="Times New Roman" w:eastAsia="Times New Roman" w:hAnsi="Times New Roman"/>
          <w:sz w:val="21"/>
          <w:szCs w:val="21"/>
          <w:b w:val="1"/>
          <w:bCs w:val="1"/>
          <w:u w:val="single" w:color="auto"/>
          <w:color w:val="0000FF"/>
        </w:rPr>
        <w:t>Each of the Lenders, each of the L/C Issuers and the Borrower agrees that the Administrative Agent may, but (except as may be required by applicable law) shall not be obligated to, store the Borrower Communications on the Approved Borrower Portal in accordance with the Administrative Agent’s generally applicable document retention procedures and policies.</w:t>
      </w:r>
    </w:p>
    <w:p>
      <w:pPr>
        <w:spacing w:after="0" w:line="146" w:lineRule="exact"/>
        <w:rPr>
          <w:rFonts w:ascii="Times New Roman" w:cs="Times New Roman" w:eastAsia="Times New Roman" w:hAnsi="Times New Roman"/>
          <w:sz w:val="21"/>
          <w:szCs w:val="21"/>
          <w:b w:val="1"/>
          <w:bCs w:val="1"/>
          <w:u w:val="single" w:color="auto"/>
          <w:color w:val="0000FF"/>
        </w:rPr>
      </w:pPr>
    </w:p>
    <w:p>
      <w:pPr>
        <w:ind w:firstLine="1278"/>
        <w:spacing w:after="0" w:line="249" w:lineRule="auto"/>
        <w:tabs>
          <w:tab w:leader="none" w:pos="1905" w:val="left"/>
        </w:tabs>
        <w:numPr>
          <w:ilvl w:val="0"/>
          <w:numId w:val="301"/>
        </w:numPr>
        <w:rPr>
          <w:rFonts w:ascii="Times New Roman" w:cs="Times New Roman" w:eastAsia="Times New Roman" w:hAnsi="Times New Roman"/>
          <w:sz w:val="21"/>
          <w:szCs w:val="21"/>
          <w:b w:val="1"/>
          <w:bCs w:val="1"/>
          <w:u w:val="single" w:color="auto"/>
          <w:color w:val="0000FF"/>
        </w:rPr>
      </w:pPr>
      <w:r>
        <w:rPr>
          <w:rFonts w:ascii="Times New Roman" w:cs="Times New Roman" w:eastAsia="Times New Roman" w:hAnsi="Times New Roman"/>
          <w:sz w:val="21"/>
          <w:szCs w:val="21"/>
          <w:b w:val="1"/>
          <w:bCs w:val="1"/>
          <w:u w:val="single" w:color="auto"/>
          <w:color w:val="0000FF"/>
        </w:rPr>
        <w:t>Nothing herein shall prejudice the right of the Borrower to give any notice or other communication pursuant to any Loan Document in any other manner specified in such Loan Document.</w:t>
      </w:r>
    </w:p>
    <w:p>
      <w:pPr>
        <w:spacing w:after="0" w:line="13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b w:val="1"/>
          <w:bCs w:val="1"/>
          <w:color w:val="auto"/>
        </w:rPr>
        <w:t>Article 10.</w:t>
      </w:r>
    </w:p>
    <w:p>
      <w:pPr>
        <w:ind w:left="4700"/>
        <w:spacing w:after="0"/>
        <w:rPr>
          <w:sz w:val="20"/>
          <w:szCs w:val="20"/>
          <w:color w:val="auto"/>
        </w:rPr>
      </w:pPr>
      <w:r>
        <w:rPr>
          <w:rFonts w:ascii="Times New Roman" w:cs="Times New Roman" w:eastAsia="Times New Roman" w:hAnsi="Times New Roman"/>
          <w:sz w:val="21"/>
          <w:szCs w:val="21"/>
          <w:b w:val="1"/>
          <w:bCs w:val="1"/>
          <w:color w:val="auto"/>
        </w:rPr>
        <w:t>MISCELLANEOUS</w:t>
      </w:r>
    </w:p>
    <w:p>
      <w:pPr>
        <w:spacing w:after="0" w:line="15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Section 10.01 </w:t>
      </w:r>
      <w:r>
        <w:rPr>
          <w:rFonts w:ascii="Times New Roman" w:cs="Times New Roman" w:eastAsia="Times New Roman" w:hAnsi="Times New Roman"/>
          <w:sz w:val="21"/>
          <w:szCs w:val="21"/>
          <w:i w:val="1"/>
          <w:iCs w:val="1"/>
          <w:color w:val="auto"/>
        </w:rPr>
        <w:t>Amendments, Etc.</w:t>
      </w:r>
    </w:p>
    <w:p>
      <w:pPr>
        <w:spacing w:after="0" w:line="211"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21"/>
          <w:szCs w:val="21"/>
          <w:color w:val="auto"/>
        </w:rPr>
        <w:t xml:space="preserve">Except as set forth below in this </w:t>
      </w:r>
      <w:r>
        <w:rPr>
          <w:rFonts w:ascii="Times New Roman" w:cs="Times New Roman" w:eastAsia="Times New Roman" w:hAnsi="Times New Roman"/>
          <w:sz w:val="21"/>
          <w:szCs w:val="21"/>
          <w:u w:val="single" w:color="auto"/>
          <w:color w:val="auto"/>
        </w:rPr>
        <w:t>Section 10.01</w:t>
      </w:r>
      <w:r>
        <w:rPr>
          <w:rFonts w:ascii="Times New Roman" w:cs="Times New Roman" w:eastAsia="Times New Roman" w:hAnsi="Times New Roman"/>
          <w:sz w:val="21"/>
          <w:szCs w:val="21"/>
          <w:color w:val="auto"/>
        </w:rPr>
        <w:t xml:space="preserve">, no amendment or waiver of any provision of this Agreement or any other Loan Document, and no consent to any departure by the Borrower or any other Loan Party therefrom, shall be effective unless in writing signed by the Required Lenders and the Borrower or the applicable Loan Party, as the case may be, and acknowledged by the Administrative Agent (or signed by the Administrative Agent on behalf of and with the written consent of the Required Lenders), and each such waiver or consent shall be effective only in the specific instance and for the specific purpose for which given;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(i) any term or provision of Section 7.11 or the definition of “Total Net Leverage Ratio” (or any of its component definitions (as used solely in such Section but not as used in other Sections of this Agreement)) may be amended, waived, consented to or otherwise modified with the consent of the Required Revolving Credit Lenders (and no other consents from any other Lenders or group thereof shall be necessary unless any such group of Lenders is given the benefit of such covenant in the applicable Joinder Agreement, in which case such additional consent of such Lenders shall be required to the extent set forth in such Joinder Agreement); and (ii) no such amendment, waiver, consent or other modification shall (and/or, in the case of clause (l) below, no document or instrument effectuating any subordination referred to therein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170</w:t>
      </w:r>
    </w:p>
    <w:p>
      <w:pPr>
        <w:sectPr>
          <w:pgSz w:w="11900" w:h="16838" w:orient="portrait"/>
          <w:cols w:equalWidth="0" w:num="1">
            <w:col w:w="11240"/>
          </w:cols>
          <w:pgMar w:left="320" w:top="1367" w:right="339" w:bottom="1440" w:gutter="0" w:footer="0" w:header="0"/>
        </w:sectPr>
      </w:pPr>
    </w:p>
    <w:bookmarkStart w:id="276" w:name="page277"/>
    <w:bookmarkEnd w:id="276"/>
    <w:p>
      <w:pPr>
        <w:ind w:left="1920" w:hanging="642"/>
        <w:spacing w:after="0"/>
        <w:tabs>
          <w:tab w:leader="none" w:pos="1920" w:val="left"/>
        </w:tabs>
        <w:numPr>
          <w:ilvl w:val="0"/>
          <w:numId w:val="3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waive any condition set forth in </w:t>
      </w:r>
      <w:r>
        <w:rPr>
          <w:rFonts w:ascii="Times New Roman" w:cs="Times New Roman" w:eastAsia="Times New Roman" w:hAnsi="Times New Roman"/>
          <w:sz w:val="21"/>
          <w:szCs w:val="21"/>
          <w:u w:val="single" w:color="auto"/>
          <w:color w:val="auto"/>
        </w:rPr>
        <w:t>Section 4.01</w:t>
      </w:r>
      <w:r>
        <w:rPr>
          <w:rFonts w:ascii="Times New Roman" w:cs="Times New Roman" w:eastAsia="Times New Roman" w:hAnsi="Times New Roman"/>
          <w:sz w:val="21"/>
          <w:szCs w:val="21"/>
          <w:color w:val="auto"/>
        </w:rPr>
        <w:t xml:space="preserve"> without the written consent of each Lender adversely affected</w:t>
      </w:r>
    </w:p>
    <w:p>
      <w:pPr>
        <w:spacing w:after="0"/>
        <w:rPr>
          <w:sz w:val="20"/>
          <w:szCs w:val="20"/>
          <w:color w:val="auto"/>
        </w:rPr>
      </w:pPr>
      <w:r>
        <w:rPr>
          <w:rFonts w:ascii="Times New Roman" w:cs="Times New Roman" w:eastAsia="Times New Roman" w:hAnsi="Times New Roman"/>
          <w:sz w:val="21"/>
          <w:szCs w:val="21"/>
          <w:color w:val="auto"/>
        </w:rPr>
        <w:t>thereby;</w:t>
      </w:r>
    </w:p>
    <w:p>
      <w:pPr>
        <w:spacing w:after="0" w:line="159" w:lineRule="exact"/>
        <w:rPr>
          <w:sz w:val="20"/>
          <w:szCs w:val="20"/>
          <w:color w:val="auto"/>
        </w:rPr>
      </w:pPr>
    </w:p>
    <w:p>
      <w:pPr>
        <w:ind w:firstLine="1278"/>
        <w:spacing w:after="0" w:line="245" w:lineRule="auto"/>
        <w:tabs>
          <w:tab w:leader="none" w:pos="1903" w:val="left"/>
        </w:tabs>
        <w:numPr>
          <w:ilvl w:val="0"/>
          <w:numId w:val="3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without limiting the generality of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above, waive any condition set forth in </w:t>
      </w:r>
      <w:r>
        <w:rPr>
          <w:rFonts w:ascii="Times New Roman" w:cs="Times New Roman" w:eastAsia="Times New Roman" w:hAnsi="Times New Roman"/>
          <w:sz w:val="21"/>
          <w:szCs w:val="21"/>
          <w:u w:val="single" w:color="auto"/>
          <w:color w:val="auto"/>
        </w:rPr>
        <w:t>Section 4.02</w:t>
      </w:r>
      <w:r>
        <w:rPr>
          <w:rFonts w:ascii="Times New Roman" w:cs="Times New Roman" w:eastAsia="Times New Roman" w:hAnsi="Times New Roman"/>
          <w:sz w:val="21"/>
          <w:szCs w:val="21"/>
          <w:color w:val="auto"/>
        </w:rPr>
        <w:t xml:space="preserve"> as to any Credit Extension under the Revolving Credit Facility without the written consent of the Required Revolving Credit Lenders;</w:t>
      </w:r>
    </w:p>
    <w:p>
      <w:pPr>
        <w:spacing w:after="0" w:line="142" w:lineRule="exact"/>
        <w:rPr>
          <w:rFonts w:ascii="Times New Roman" w:cs="Times New Roman" w:eastAsia="Times New Roman" w:hAnsi="Times New Roman"/>
          <w:sz w:val="21"/>
          <w:szCs w:val="21"/>
          <w:color w:val="auto"/>
        </w:rPr>
      </w:pPr>
    </w:p>
    <w:p>
      <w:pPr>
        <w:ind w:firstLine="1278"/>
        <w:spacing w:after="0" w:line="245" w:lineRule="auto"/>
        <w:tabs>
          <w:tab w:leader="none" w:pos="1905" w:val="left"/>
        </w:tabs>
        <w:numPr>
          <w:ilvl w:val="0"/>
          <w:numId w:val="3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extend or increase the Commitment of any Lender (or reinstate any Commitment terminated pursuant to </w:t>
      </w:r>
      <w:r>
        <w:rPr>
          <w:rFonts w:ascii="Times New Roman" w:cs="Times New Roman" w:eastAsia="Times New Roman" w:hAnsi="Times New Roman"/>
          <w:sz w:val="21"/>
          <w:szCs w:val="21"/>
          <w:u w:val="single" w:color="auto"/>
          <w:color w:val="auto"/>
        </w:rPr>
        <w:t>Section 2.06</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8.02</w:t>
      </w:r>
      <w:r>
        <w:rPr>
          <w:rFonts w:ascii="Times New Roman" w:cs="Times New Roman" w:eastAsia="Times New Roman" w:hAnsi="Times New Roman"/>
          <w:sz w:val="21"/>
          <w:szCs w:val="21"/>
          <w:color w:val="auto"/>
        </w:rPr>
        <w:t>) without the written consent of such Lender;</w:t>
      </w:r>
    </w:p>
    <w:p>
      <w:pPr>
        <w:spacing w:after="0" w:line="142" w:lineRule="exact"/>
        <w:rPr>
          <w:rFonts w:ascii="Times New Roman" w:cs="Times New Roman" w:eastAsia="Times New Roman" w:hAnsi="Times New Roman"/>
          <w:sz w:val="21"/>
          <w:szCs w:val="21"/>
          <w:color w:val="auto"/>
        </w:rPr>
      </w:pPr>
    </w:p>
    <w:p>
      <w:pPr>
        <w:jc w:val="both"/>
        <w:ind w:firstLine="1278"/>
        <w:spacing w:after="0" w:line="226" w:lineRule="auto"/>
        <w:tabs>
          <w:tab w:leader="none" w:pos="1903" w:val="left"/>
        </w:tabs>
        <w:numPr>
          <w:ilvl w:val="0"/>
          <w:numId w:val="3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postpone any date fixed by this Agreement or any other Loan Document for any payment (excluding mandatory prepayments pursuant to </w:t>
      </w:r>
      <w:r>
        <w:rPr>
          <w:rFonts w:ascii="Times New Roman" w:cs="Times New Roman" w:eastAsia="Times New Roman" w:hAnsi="Times New Roman"/>
          <w:sz w:val="21"/>
          <w:szCs w:val="21"/>
          <w:u w:val="single" w:color="auto"/>
          <w:color w:val="auto"/>
        </w:rPr>
        <w:t>Section 2.05(b)</w:t>
      </w:r>
      <w:r>
        <w:rPr>
          <w:rFonts w:ascii="Times New Roman" w:cs="Times New Roman" w:eastAsia="Times New Roman" w:hAnsi="Times New Roman"/>
          <w:sz w:val="21"/>
          <w:szCs w:val="21"/>
          <w:color w:val="auto"/>
        </w:rPr>
        <w:t>) of principal, interest, fees or other amounts due to the Lenders (or any of them) or any scheduled or mandatory reduction of any Facility hereunder or under any other Loan Document without the written consent of each Appropriate Lender directly affected thereby;</w:t>
      </w:r>
    </w:p>
    <w:p>
      <w:pPr>
        <w:spacing w:after="0" w:line="150" w:lineRule="exact"/>
        <w:rPr>
          <w:rFonts w:ascii="Times New Roman" w:cs="Times New Roman" w:eastAsia="Times New Roman" w:hAnsi="Times New Roman"/>
          <w:sz w:val="21"/>
          <w:szCs w:val="21"/>
          <w:color w:val="auto"/>
        </w:rPr>
      </w:pPr>
    </w:p>
    <w:p>
      <w:pPr>
        <w:jc w:val="both"/>
        <w:ind w:firstLine="1278"/>
        <w:spacing w:after="0" w:line="217" w:lineRule="auto"/>
        <w:tabs>
          <w:tab w:leader="none" w:pos="1905" w:val="left"/>
        </w:tabs>
        <w:numPr>
          <w:ilvl w:val="0"/>
          <w:numId w:val="3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reduce the principal of, or the rate of interest specified herein on, any Loan or L/C Borrowing, or any fees or other amounts payable hereunder or under any other Loan Document without the written consent of each Lender directly affected thereby;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only the consent of the Required Lenders shall be necessary to amend (i) the definition of “</w:t>
      </w:r>
      <w:r>
        <w:rPr>
          <w:rFonts w:ascii="Times New Roman" w:cs="Times New Roman" w:eastAsia="Times New Roman" w:hAnsi="Times New Roman"/>
          <w:sz w:val="21"/>
          <w:szCs w:val="21"/>
          <w:b w:val="1"/>
          <w:bCs w:val="1"/>
          <w:color w:val="auto"/>
        </w:rPr>
        <w:t>Default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Rate</w:t>
      </w:r>
      <w:r>
        <w:rPr>
          <w:rFonts w:ascii="Times New Roman" w:cs="Times New Roman" w:eastAsia="Times New Roman" w:hAnsi="Times New Roman"/>
          <w:sz w:val="21"/>
          <w:szCs w:val="21"/>
          <w:color w:val="auto"/>
        </w:rPr>
        <w:t>” or to waive any obligation of the Borrower to pay interest or Letter of Credit Fees at the Default Rate and (ii) except as set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forth in </w:t>
      </w:r>
      <w:r>
        <w:rPr>
          <w:rFonts w:ascii="Times New Roman" w:cs="Times New Roman" w:eastAsia="Times New Roman" w:hAnsi="Times New Roman"/>
          <w:sz w:val="21"/>
          <w:szCs w:val="21"/>
          <w:u w:val="single" w:color="auto"/>
          <w:color w:val="auto"/>
        </w:rPr>
        <w:t>clause (i)</w:t>
      </w:r>
      <w:r>
        <w:rPr>
          <w:rFonts w:ascii="Times New Roman" w:cs="Times New Roman" w:eastAsia="Times New Roman" w:hAnsi="Times New Roman"/>
          <w:sz w:val="21"/>
          <w:szCs w:val="21"/>
          <w:color w:val="auto"/>
        </w:rPr>
        <w:t xml:space="preserve"> of the first proviso to this </w:t>
      </w:r>
      <w:r>
        <w:rPr>
          <w:rFonts w:ascii="Times New Roman" w:cs="Times New Roman" w:eastAsia="Times New Roman" w:hAnsi="Times New Roman"/>
          <w:sz w:val="21"/>
          <w:szCs w:val="21"/>
          <w:u w:val="single" w:color="auto"/>
          <w:color w:val="auto"/>
        </w:rPr>
        <w:t>Section 10.01</w:t>
      </w:r>
      <w:r>
        <w:rPr>
          <w:rFonts w:ascii="Times New Roman" w:cs="Times New Roman" w:eastAsia="Times New Roman" w:hAnsi="Times New Roman"/>
          <w:sz w:val="21"/>
          <w:szCs w:val="21"/>
          <w:color w:val="auto"/>
        </w:rPr>
        <w:t xml:space="preserve">, any financial ratio (including any defined term used therein) or any definition relating to any (x) financial calculation or (y) currency exchange rate calculation affecting compliance with </w:t>
      </w:r>
      <w:r>
        <w:rPr>
          <w:rFonts w:ascii="Times New Roman" w:cs="Times New Roman" w:eastAsia="Times New Roman" w:hAnsi="Times New Roman"/>
          <w:sz w:val="21"/>
          <w:szCs w:val="21"/>
          <w:u w:val="single" w:color="auto"/>
          <w:color w:val="auto"/>
        </w:rPr>
        <w:t>Sections 7.01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7.02</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7.03</w:t>
      </w:r>
      <w:r>
        <w:rPr>
          <w:rFonts w:ascii="Times New Roman" w:cs="Times New Roman" w:eastAsia="Times New Roman" w:hAnsi="Times New Roman"/>
          <w:sz w:val="21"/>
          <w:szCs w:val="21"/>
          <w:color w:val="auto"/>
        </w:rPr>
        <w:t xml:space="preserve"> with respect to the amount of Liens, Investments, or Indebtedness in currencies other than U.S. Dollars hereunder even if, in the case of </w:t>
      </w:r>
      <w:r>
        <w:rPr>
          <w:rFonts w:ascii="Times New Roman" w:cs="Times New Roman" w:eastAsia="Times New Roman" w:hAnsi="Times New Roman"/>
          <w:sz w:val="21"/>
          <w:szCs w:val="21"/>
          <w:u w:val="single" w:color="auto"/>
          <w:color w:val="auto"/>
        </w:rPr>
        <w:t>clause (x)</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(y)</w:t>
      </w:r>
      <w:r>
        <w:rPr>
          <w:rFonts w:ascii="Times New Roman" w:cs="Times New Roman" w:eastAsia="Times New Roman" w:hAnsi="Times New Roman"/>
          <w:sz w:val="21"/>
          <w:szCs w:val="21"/>
          <w:color w:val="auto"/>
        </w:rPr>
        <w:t>, the effect of such amendment would be to reduce the rate of interest on any Loan or L/C Borrowing or to reduce any fee payable hereunder;</w:t>
      </w:r>
    </w:p>
    <w:p>
      <w:pPr>
        <w:spacing w:after="0" w:line="154" w:lineRule="exact"/>
        <w:rPr>
          <w:rFonts w:ascii="Times New Roman" w:cs="Times New Roman" w:eastAsia="Times New Roman" w:hAnsi="Times New Roman"/>
          <w:sz w:val="21"/>
          <w:szCs w:val="21"/>
          <w:color w:val="auto"/>
        </w:rPr>
      </w:pPr>
    </w:p>
    <w:p>
      <w:pPr>
        <w:jc w:val="both"/>
        <w:ind w:firstLine="1278"/>
        <w:spacing w:after="0" w:line="218" w:lineRule="auto"/>
        <w:tabs>
          <w:tab w:leader="none" w:pos="1908" w:val="left"/>
        </w:tabs>
        <w:numPr>
          <w:ilvl w:val="0"/>
          <w:numId w:val="3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change (i) </w:t>
      </w:r>
      <w:r>
        <w:rPr>
          <w:rFonts w:ascii="Times New Roman" w:cs="Times New Roman" w:eastAsia="Times New Roman" w:hAnsi="Times New Roman"/>
          <w:sz w:val="21"/>
          <w:szCs w:val="21"/>
          <w:u w:val="single" w:color="auto"/>
          <w:color w:val="auto"/>
        </w:rPr>
        <w:t>Section 8.03</w:t>
      </w:r>
      <w:r>
        <w:rPr>
          <w:rFonts w:ascii="Times New Roman" w:cs="Times New Roman" w:eastAsia="Times New Roman" w:hAnsi="Times New Roman"/>
          <w:sz w:val="21"/>
          <w:szCs w:val="21"/>
          <w:color w:val="auto"/>
        </w:rPr>
        <w:t xml:space="preserve"> of this Agreement or </w:t>
      </w:r>
      <w:r>
        <w:rPr>
          <w:rFonts w:ascii="Times New Roman" w:cs="Times New Roman" w:eastAsia="Times New Roman" w:hAnsi="Times New Roman"/>
          <w:sz w:val="21"/>
          <w:szCs w:val="21"/>
          <w:u w:val="single" w:color="auto"/>
          <w:color w:val="auto"/>
        </w:rPr>
        <w:t>Section 6.5</w:t>
      </w:r>
      <w:r>
        <w:rPr>
          <w:rFonts w:ascii="Times New Roman" w:cs="Times New Roman" w:eastAsia="Times New Roman" w:hAnsi="Times New Roman"/>
          <w:sz w:val="21"/>
          <w:szCs w:val="21"/>
          <w:color w:val="auto"/>
        </w:rPr>
        <w:t xml:space="preserve"> of the Collateral Agreement in a manner that would alter the order of application or pro rata sharing of payments required thereby without the written consent of each Lender or (ii) the definition of “Applicable Percentage,” the definition of “Applicable Revolving Credit Percentage”, the order of application or pro rata nature of application of any reduction in the Commitments or any prepayment of Loans within or among the Facilities from the application thereof set forth in the applicable provisions of </w:t>
      </w:r>
      <w:r>
        <w:rPr>
          <w:rFonts w:ascii="Times New Roman" w:cs="Times New Roman" w:eastAsia="Times New Roman" w:hAnsi="Times New Roman"/>
          <w:sz w:val="21"/>
          <w:szCs w:val="21"/>
          <w:u w:val="single" w:color="auto"/>
          <w:color w:val="auto"/>
        </w:rPr>
        <w:t>Sections 2.05(a)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2.05(b)</w:t>
      </w:r>
      <w:r>
        <w:rPr>
          <w:rFonts w:ascii="Times New Roman" w:cs="Times New Roman" w:eastAsia="Times New Roman" w:hAnsi="Times New Roman"/>
          <w:sz w:val="21"/>
          <w:szCs w:val="21"/>
          <w:color w:val="auto"/>
        </w:rPr>
        <w:t xml:space="preserve"> or 2.06(c), or other provisions in respect of the pro rata application of payments or offers hereunder under </w:t>
      </w:r>
      <w:r>
        <w:rPr>
          <w:rFonts w:ascii="Times New Roman" w:cs="Times New Roman" w:eastAsia="Times New Roman" w:hAnsi="Times New Roman"/>
          <w:sz w:val="21"/>
          <w:szCs w:val="21"/>
          <w:u w:val="single" w:color="auto"/>
          <w:color w:val="auto"/>
        </w:rPr>
        <w:t>Section 2.12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2.13</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2.14</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2.15</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2.16</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10.06(b)(vii)</w:t>
      </w:r>
      <w:r>
        <w:rPr>
          <w:rFonts w:ascii="Times New Roman" w:cs="Times New Roman" w:eastAsia="Times New Roman" w:hAnsi="Times New Roman"/>
          <w:sz w:val="21"/>
          <w:szCs w:val="21"/>
          <w:color w:val="auto"/>
        </w:rPr>
        <w:t xml:space="preserve"> in any manner that materially and adversely affects the Lenders under a Facility or Class without the written consent of the Lenders with respect to the relevant Facility or Class adversely affected thereby;</w:t>
      </w:r>
    </w:p>
    <w:p>
      <w:pPr>
        <w:spacing w:after="0" w:line="153" w:lineRule="exact"/>
        <w:rPr>
          <w:rFonts w:ascii="Times New Roman" w:cs="Times New Roman" w:eastAsia="Times New Roman" w:hAnsi="Times New Roman"/>
          <w:sz w:val="21"/>
          <w:szCs w:val="21"/>
          <w:color w:val="auto"/>
        </w:rPr>
      </w:pPr>
    </w:p>
    <w:p>
      <w:pPr>
        <w:jc w:val="both"/>
        <w:ind w:firstLine="1278"/>
        <w:spacing w:after="0" w:line="218" w:lineRule="auto"/>
        <w:tabs>
          <w:tab w:leader="none" w:pos="1903" w:val="left"/>
        </w:tabs>
        <w:numPr>
          <w:ilvl w:val="0"/>
          <w:numId w:val="3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change (i) any provision of this </w:t>
      </w:r>
      <w:r>
        <w:rPr>
          <w:rFonts w:ascii="Times New Roman" w:cs="Times New Roman" w:eastAsia="Times New Roman" w:hAnsi="Times New Roman"/>
          <w:sz w:val="21"/>
          <w:szCs w:val="21"/>
          <w:u w:val="single" w:color="auto"/>
          <w:color w:val="auto"/>
        </w:rPr>
        <w:t>Section 10.01</w:t>
      </w:r>
      <w:r>
        <w:rPr>
          <w:rFonts w:ascii="Times New Roman" w:cs="Times New Roman" w:eastAsia="Times New Roman" w:hAnsi="Times New Roman"/>
          <w:sz w:val="21"/>
          <w:szCs w:val="21"/>
          <w:color w:val="auto"/>
        </w:rPr>
        <w:t xml:space="preserve"> or the definition of “Required Lenders” or any other provision hereof specifying the number or percentage of Lenders required to amend, waive or otherwise modify any rights hereunder or make any determination or grant any consent hereunder (other than the definitions specified in </w:t>
      </w:r>
      <w:r>
        <w:rPr>
          <w:rFonts w:ascii="Times New Roman" w:cs="Times New Roman" w:eastAsia="Times New Roman" w:hAnsi="Times New Roman"/>
          <w:sz w:val="21"/>
          <w:szCs w:val="21"/>
          <w:u w:val="single" w:color="auto"/>
          <w:color w:val="auto"/>
        </w:rPr>
        <w:t>clause (ii)</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u w:val="single" w:color="auto"/>
          <w:color w:val="auto"/>
        </w:rPr>
        <w:t>Section 10.01(g)</w:t>
      </w:r>
      <w:r>
        <w:rPr>
          <w:rFonts w:ascii="Times New Roman" w:cs="Times New Roman" w:eastAsia="Times New Roman" w:hAnsi="Times New Roman"/>
          <w:sz w:val="21"/>
          <w:szCs w:val="21"/>
          <w:color w:val="auto"/>
        </w:rPr>
        <w:t>), without the written consent of each Lender; (ii) the definition of “Required Lenders”, “Required Facility Lenders” or “Required Revolving Credit Lenders” without the written consent of each Lender under the applicable Facility or (iii) any other provision of this Agreement or the other Loan Documents in a manner that creates a materially disadvantaged Class or otherwise materially adversely affects a Class, without the written consent of the Required Lenders with respect to such Class determined in a manner consistent with the definition of “Required Facility Lenders” (as if such Class constituted a Facility for purposes of such definition);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4698365</wp:posOffset>
            </wp:positionH>
            <wp:positionV relativeFrom="paragraph">
              <wp:posOffset>-1643380</wp:posOffset>
            </wp:positionV>
            <wp:extent cx="41846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6">
                      <a:extLst>
                        <a:ext uri="{28A0092B-C50C-407E-A947-70E740481C1C}"/>
                      </a:extLst>
                    </a:blip>
                    <a:srcRect/>
                    <a:stretch>
                      <a:fillRect/>
                    </a:stretch>
                  </pic:blipFill>
                  <pic:spPr bwMode="auto">
                    <a:xfrm>
                      <a:off x="0" y="0"/>
                      <a:ext cx="4184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171</w:t>
      </w:r>
    </w:p>
    <w:p>
      <w:pPr>
        <w:sectPr>
          <w:pgSz w:w="11900" w:h="16838" w:orient="portrait"/>
          <w:cols w:equalWidth="0" w:num="1">
            <w:col w:w="11240"/>
          </w:cols>
          <w:pgMar w:left="320" w:top="1365" w:right="339" w:bottom="1440" w:gutter="0" w:footer="0" w:header="0"/>
        </w:sectPr>
      </w:pPr>
    </w:p>
    <w:bookmarkStart w:id="277" w:name="page278"/>
    <w:bookmarkEnd w:id="277"/>
    <w:p>
      <w:pPr>
        <w:jc w:val="both"/>
        <w:ind w:firstLine="1278"/>
        <w:spacing w:after="0" w:line="232" w:lineRule="auto"/>
        <w:tabs>
          <w:tab w:leader="none" w:pos="1903" w:val="left"/>
        </w:tabs>
        <w:numPr>
          <w:ilvl w:val="0"/>
          <w:numId w:val="3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release all or substantially all of the value of the Guarantees of the Obligations in any transaction or series of transactions without the written consent of each Lender, except to the extent the release of any Guarantor is permitted pursuant to </w:t>
      </w:r>
      <w:r>
        <w:rPr>
          <w:rFonts w:ascii="Times New Roman" w:cs="Times New Roman" w:eastAsia="Times New Roman" w:hAnsi="Times New Roman"/>
          <w:sz w:val="21"/>
          <w:szCs w:val="21"/>
          <w:u w:val="single" w:color="auto"/>
          <w:color w:val="auto"/>
        </w:rPr>
        <w:t>Section 9.10</w:t>
      </w:r>
      <w:r>
        <w:rPr>
          <w:rFonts w:ascii="Times New Roman" w:cs="Times New Roman" w:eastAsia="Times New Roman" w:hAnsi="Times New Roman"/>
          <w:sz w:val="21"/>
          <w:szCs w:val="21"/>
          <w:color w:val="auto"/>
        </w:rPr>
        <w:t xml:space="preserve"> (in which case such release may be made by the Administrative Agent acting alone);</w:t>
      </w:r>
    </w:p>
    <w:p>
      <w:pPr>
        <w:spacing w:after="0" w:line="147" w:lineRule="exact"/>
        <w:rPr>
          <w:rFonts w:ascii="Times New Roman" w:cs="Times New Roman" w:eastAsia="Times New Roman" w:hAnsi="Times New Roman"/>
          <w:sz w:val="21"/>
          <w:szCs w:val="21"/>
          <w:color w:val="auto"/>
        </w:rPr>
      </w:pPr>
    </w:p>
    <w:p>
      <w:pPr>
        <w:jc w:val="both"/>
        <w:ind w:firstLine="1278"/>
        <w:spacing w:after="0" w:line="232" w:lineRule="auto"/>
        <w:tabs>
          <w:tab w:leader="none" w:pos="1896" w:val="left"/>
        </w:tabs>
        <w:numPr>
          <w:ilvl w:val="0"/>
          <w:numId w:val="3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release all or substantially all of the Collateral in any transaction or series of related transactions without the written consent of each Lender, except to the extent the release of any Collateral is permitted pursuant to </w:t>
      </w:r>
      <w:r>
        <w:rPr>
          <w:rFonts w:ascii="Times New Roman" w:cs="Times New Roman" w:eastAsia="Times New Roman" w:hAnsi="Times New Roman"/>
          <w:sz w:val="21"/>
          <w:szCs w:val="21"/>
          <w:u w:val="single" w:color="auto"/>
          <w:color w:val="auto"/>
        </w:rPr>
        <w:t>Section 9.10</w:t>
      </w:r>
      <w:r>
        <w:rPr>
          <w:rFonts w:ascii="Times New Roman" w:cs="Times New Roman" w:eastAsia="Times New Roman" w:hAnsi="Times New Roman"/>
          <w:sz w:val="21"/>
          <w:szCs w:val="21"/>
          <w:color w:val="auto"/>
        </w:rPr>
        <w:t xml:space="preserve"> (in which case such release may be made by the Administrative Agent acting alone);</w:t>
      </w:r>
    </w:p>
    <w:p>
      <w:pPr>
        <w:spacing w:after="0" w:line="147" w:lineRule="exact"/>
        <w:rPr>
          <w:rFonts w:ascii="Times New Roman" w:cs="Times New Roman" w:eastAsia="Times New Roman" w:hAnsi="Times New Roman"/>
          <w:sz w:val="21"/>
          <w:szCs w:val="21"/>
          <w:color w:val="auto"/>
        </w:rPr>
      </w:pPr>
    </w:p>
    <w:p>
      <w:pPr>
        <w:ind w:right="20" w:firstLine="1278"/>
        <w:spacing w:after="0" w:line="245" w:lineRule="auto"/>
        <w:tabs>
          <w:tab w:leader="none" w:pos="1896" w:val="left"/>
        </w:tabs>
        <w:numPr>
          <w:ilvl w:val="0"/>
          <w:numId w:val="3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impose any greater restriction on the ability of any Lender under a Facility to assign any of its rights or obligations hereunder without the written consent of the Required Facility Lenders with respect to the relevant Facility;</w:t>
      </w:r>
    </w:p>
    <w:p>
      <w:pPr>
        <w:spacing w:after="0" w:line="137" w:lineRule="exact"/>
        <w:rPr>
          <w:rFonts w:ascii="Times New Roman" w:cs="Times New Roman" w:eastAsia="Times New Roman" w:hAnsi="Times New Roman"/>
          <w:sz w:val="21"/>
          <w:szCs w:val="21"/>
          <w:color w:val="auto"/>
        </w:rPr>
      </w:pPr>
    </w:p>
    <w:p>
      <w:pPr>
        <w:ind w:left="1900" w:hanging="622"/>
        <w:spacing w:after="0"/>
        <w:tabs>
          <w:tab w:leader="none" w:pos="1900" w:val="left"/>
        </w:tabs>
        <w:numPr>
          <w:ilvl w:val="0"/>
          <w:numId w:val="3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amend the definition of “Alternative Currency” without the written consent of each Revolving Credit Lender</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and L/C Issuer;</w:t>
      </w:r>
    </w:p>
    <w:p>
      <w:pPr>
        <w:spacing w:after="0" w:line="158" w:lineRule="exact"/>
        <w:rPr>
          <w:rFonts w:ascii="Times New Roman" w:cs="Times New Roman" w:eastAsia="Times New Roman" w:hAnsi="Times New Roman"/>
          <w:sz w:val="21"/>
          <w:szCs w:val="21"/>
          <w:color w:val="auto"/>
        </w:rPr>
      </w:pPr>
    </w:p>
    <w:p>
      <w:pPr>
        <w:jc w:val="both"/>
        <w:ind w:firstLine="1278"/>
        <w:spacing w:after="0" w:line="226" w:lineRule="auto"/>
        <w:tabs>
          <w:tab w:leader="none" w:pos="1896" w:val="left"/>
        </w:tabs>
        <w:numPr>
          <w:ilvl w:val="0"/>
          <w:numId w:val="3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in each case, as otherwise permitted by this Agreement as of the date hereof, subordinate the Liens securing the Obligations to Liens securing any other Indebtedness for borrowed money or subordinate payment of the Obligations to any other Indebtedness for borrowed money or subordinate the obligations in respect of the Guarantees to any other Indebtedness for borrowed money without the written consent of each Lender adversely affected thereby; or</w:t>
      </w:r>
    </w:p>
    <w:p>
      <w:pPr>
        <w:spacing w:after="0" w:line="150" w:lineRule="exact"/>
        <w:rPr>
          <w:rFonts w:ascii="Times New Roman" w:cs="Times New Roman" w:eastAsia="Times New Roman" w:hAnsi="Times New Roman"/>
          <w:sz w:val="21"/>
          <w:szCs w:val="21"/>
          <w:color w:val="auto"/>
        </w:rPr>
      </w:pPr>
    </w:p>
    <w:p>
      <w:pPr>
        <w:ind w:left="1900" w:hanging="622"/>
        <w:spacing w:after="0"/>
        <w:tabs>
          <w:tab w:leader="none" w:pos="1900" w:val="left"/>
        </w:tabs>
        <w:numPr>
          <w:ilvl w:val="0"/>
          <w:numId w:val="3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amend </w:t>
      </w:r>
      <w:r>
        <w:rPr>
          <w:rFonts w:ascii="Times New Roman" w:cs="Times New Roman" w:eastAsia="Times New Roman" w:hAnsi="Times New Roman"/>
          <w:sz w:val="21"/>
          <w:szCs w:val="21"/>
          <w:u w:val="single" w:color="auto"/>
          <w:color w:val="auto"/>
        </w:rPr>
        <w:t>clause (x)</w:t>
      </w:r>
      <w:r>
        <w:rPr>
          <w:rFonts w:ascii="Times New Roman" w:cs="Times New Roman" w:eastAsia="Times New Roman" w:hAnsi="Times New Roman"/>
          <w:sz w:val="21"/>
          <w:szCs w:val="21"/>
          <w:color w:val="auto"/>
        </w:rPr>
        <w:t xml:space="preserve"> of </w:t>
      </w:r>
      <w:r>
        <w:rPr>
          <w:rFonts w:ascii="Times New Roman" w:cs="Times New Roman" w:eastAsia="Times New Roman" w:hAnsi="Times New Roman"/>
          <w:sz w:val="21"/>
          <w:szCs w:val="21"/>
          <w:u w:val="single" w:color="auto"/>
          <w:color w:val="auto"/>
        </w:rPr>
        <w:t>Section 10.06(a)</w:t>
      </w:r>
      <w:r>
        <w:rPr>
          <w:rFonts w:ascii="Times New Roman" w:cs="Times New Roman" w:eastAsia="Times New Roman" w:hAnsi="Times New Roman"/>
          <w:sz w:val="21"/>
          <w:szCs w:val="21"/>
          <w:color w:val="auto"/>
        </w:rPr>
        <w:t xml:space="preserve"> without the written consent of each Lender;</w:t>
      </w:r>
    </w:p>
    <w:p>
      <w:pPr>
        <w:spacing w:after="0" w:line="20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1"/>
          <w:szCs w:val="21"/>
          <w:color w:val="auto"/>
        </w:rPr>
        <w:t xml:space="preserve">and,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further</w:t>
      </w:r>
      <w:r>
        <w:rPr>
          <w:rFonts w:ascii="Times New Roman" w:cs="Times New Roman" w:eastAsia="Times New Roman" w:hAnsi="Times New Roman"/>
          <w:sz w:val="21"/>
          <w:szCs w:val="21"/>
          <w:color w:val="auto"/>
        </w:rPr>
        <w:t>, that (i) no amendment, waiver, consent or modification shall, unless in writing and signed by the applicable L/C Issuer in addition to the Lenders required above, affect the rights or duties of such L/C Issuer under this Agreement or any Issuer Document, in each case, relating to any Letter of Credit issued or to be issued by it; (ii) no amendment, waiver, consent or modification shall, unless in writing and signed by the Administrative Agent in addition to the Lenders required above, affect the rights or duties of the Administrative Agent under this Agreement or any other Loan Document, (iii) no amendment, waiver, consent or modification shall, unless in writing and signed by any Person that formerly served as an administrative agent under this Agreement and the other Loan Documents in addition to the Lenders required above and the Administrative Agent, that adversely affects the rights or duties, taken as a whole, of such former administrative agent solely in such capacity under this Agreement or any other Loan Document and (iv) any Fee Letter may be amended, and rights or privileges thereunder may be waived, in a writing executed only by the parties thereto.</w:t>
      </w:r>
    </w:p>
    <w:p>
      <w:pPr>
        <w:spacing w:after="0" w:line="172" w:lineRule="exact"/>
        <w:rPr>
          <w:sz w:val="20"/>
          <w:szCs w:val="20"/>
          <w:color w:val="auto"/>
        </w:rPr>
      </w:pPr>
    </w:p>
    <w:p>
      <w:pPr>
        <w:jc w:val="both"/>
        <w:ind w:firstLine="310"/>
        <w:spacing w:after="0" w:line="259" w:lineRule="auto"/>
        <w:rPr>
          <w:sz w:val="20"/>
          <w:szCs w:val="20"/>
          <w:color w:val="auto"/>
        </w:rPr>
      </w:pPr>
      <w:r>
        <w:rPr>
          <w:rFonts w:ascii="Times New Roman" w:cs="Times New Roman" w:eastAsia="Times New Roman" w:hAnsi="Times New Roman"/>
          <w:sz w:val="21"/>
          <w:szCs w:val="21"/>
          <w:color w:val="auto"/>
        </w:rPr>
        <w:t>Notwithstanding anything to the contrary contained herein, if, following the Closing Date, the Administrative Agent and the Borrower shall have jointly identified an obvious error or any error or omission of a technical or immaterial nature, in each case, in any provision of this Agreement or any other Loan Document, then the Administrative Agent and the Borrower shall be permitted to amend such provision and such amendment shall become effective without any further action or consent of any other party to this Agreement or any other Loan Document if the same is not objected to in writing by the Required Lenders within three Business Days following receipt of notice thereof. It is understood that posting such amendment electronically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172</w:t>
      </w:r>
    </w:p>
    <w:p>
      <w:pPr>
        <w:sectPr>
          <w:pgSz w:w="11900" w:h="16838" w:orient="portrait"/>
          <w:cols w:equalWidth="0" w:num="1">
            <w:col w:w="11240"/>
          </w:cols>
          <w:pgMar w:left="320" w:top="1371" w:right="339" w:bottom="1440" w:gutter="0" w:footer="0" w:header="0"/>
        </w:sectPr>
      </w:pPr>
    </w:p>
    <w:bookmarkStart w:id="278" w:name="page279"/>
    <w:bookmarkEnd w:id="278"/>
    <w:p>
      <w:pPr>
        <w:spacing w:after="0" w:line="285" w:lineRule="auto"/>
        <w:rPr>
          <w:sz w:val="20"/>
          <w:szCs w:val="20"/>
          <w:color w:val="auto"/>
        </w:rPr>
      </w:pPr>
      <w:r>
        <w:rPr>
          <w:rFonts w:ascii="Times New Roman" w:cs="Times New Roman" w:eastAsia="Times New Roman" w:hAnsi="Times New Roman"/>
          <w:sz w:val="21"/>
          <w:szCs w:val="21"/>
          <w:color w:val="auto"/>
        </w:rPr>
        <w:t>IntraLinks/IntraAgency, SyndTrak or another relevant website with notice of such posting by the Administrative Agent to the Required Lenders shall be deemed adequate receipt of notice thereof.</w:t>
      </w:r>
    </w:p>
    <w:p>
      <w:pPr>
        <w:spacing w:after="0" w:line="1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Section 10.02 </w:t>
      </w:r>
      <w:r>
        <w:rPr>
          <w:rFonts w:ascii="Times New Roman" w:cs="Times New Roman" w:eastAsia="Times New Roman" w:hAnsi="Times New Roman"/>
          <w:sz w:val="21"/>
          <w:szCs w:val="21"/>
          <w:i w:val="1"/>
          <w:iCs w:val="1"/>
          <w:color w:val="auto"/>
        </w:rPr>
        <w:t>Notices; Effectiveness; Electronic Communication</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p>
    <w:p>
      <w:pPr>
        <w:spacing w:after="0" w:line="207" w:lineRule="exact"/>
        <w:rPr>
          <w:sz w:val="20"/>
          <w:szCs w:val="20"/>
          <w:color w:val="auto"/>
        </w:rPr>
      </w:pPr>
    </w:p>
    <w:p>
      <w:pPr>
        <w:jc w:val="both"/>
        <w:ind w:firstLine="1278"/>
        <w:spacing w:after="0" w:line="232" w:lineRule="auto"/>
        <w:tabs>
          <w:tab w:leader="none" w:pos="1905" w:val="left"/>
        </w:tabs>
        <w:numPr>
          <w:ilvl w:val="0"/>
          <w:numId w:val="3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Notices Generally</w:t>
      </w:r>
      <w:r>
        <w:rPr>
          <w:rFonts w:ascii="Times New Roman" w:cs="Times New Roman" w:eastAsia="Times New Roman" w:hAnsi="Times New Roman"/>
          <w:sz w:val="21"/>
          <w:szCs w:val="21"/>
          <w:color w:val="auto"/>
        </w:rPr>
        <w:t>. Except as provided in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u w:val="single" w:color="auto"/>
          <w:color w:val="auto"/>
        </w:rPr>
        <w:t>Section 10.02(b),</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all notices and other communications provided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for herein shall be in writing and shall be delivered by hand or overnight courier service, mailed by certified or registered mail or sent by facsimile as follows:</w:t>
      </w:r>
    </w:p>
    <w:p>
      <w:pPr>
        <w:spacing w:after="0" w:line="149" w:lineRule="exact"/>
        <w:rPr>
          <w:rFonts w:ascii="Times New Roman" w:cs="Times New Roman" w:eastAsia="Times New Roman" w:hAnsi="Times New Roman"/>
          <w:sz w:val="21"/>
          <w:szCs w:val="21"/>
          <w:color w:val="auto"/>
        </w:rPr>
      </w:pPr>
    </w:p>
    <w:p>
      <w:pPr>
        <w:ind w:left="640" w:firstLine="1274"/>
        <w:spacing w:after="0" w:line="245" w:lineRule="auto"/>
        <w:tabs>
          <w:tab w:leader="none" w:pos="2536" w:val="left"/>
        </w:tabs>
        <w:numPr>
          <w:ilvl w:val="1"/>
          <w:numId w:val="3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to the Borrower, the Administrative Agent or any L/C Issuer party hereto on the Closing Date, to the address, </w:t>
      </w:r>
      <w:r>
        <w:rPr>
          <w:rFonts w:ascii="Times New Roman" w:cs="Times New Roman" w:eastAsia="Times New Roman" w:hAnsi="Times New Roman"/>
          <w:sz w:val="21"/>
          <w:szCs w:val="21"/>
          <w:b w:val="1"/>
          <w:bCs w:val="1"/>
          <w:color w:val="FF0000"/>
          <w:strike w:val="1"/>
        </w:rPr>
        <w:t>facsimile number,</w:t>
      </w:r>
      <w:r>
        <w:rPr>
          <w:rFonts w:ascii="Times New Roman" w:cs="Times New Roman" w:eastAsia="Times New Roman" w:hAnsi="Times New Roman"/>
          <w:sz w:val="21"/>
          <w:szCs w:val="21"/>
          <w:color w:val="auto"/>
        </w:rPr>
        <w:t xml:space="preserve"> or electronic mail address specified for such Person on </w:t>
      </w:r>
      <w:r>
        <w:rPr>
          <w:rFonts w:ascii="Times New Roman" w:cs="Times New Roman" w:eastAsia="Times New Roman" w:hAnsi="Times New Roman"/>
          <w:sz w:val="21"/>
          <w:szCs w:val="21"/>
          <w:u w:val="single" w:color="auto"/>
          <w:color w:val="auto"/>
        </w:rPr>
        <w:t>Schedule 10.02</w:t>
      </w:r>
      <w:r>
        <w:rPr>
          <w:rFonts w:ascii="Times New Roman" w:cs="Times New Roman" w:eastAsia="Times New Roman" w:hAnsi="Times New Roman"/>
          <w:sz w:val="21"/>
          <w:szCs w:val="21"/>
          <w:color w:val="auto"/>
        </w:rPr>
        <w:t>; and</w:t>
      </w:r>
    </w:p>
    <w:p>
      <w:pPr>
        <w:spacing w:after="0" w:line="142" w:lineRule="exact"/>
        <w:rPr>
          <w:rFonts w:ascii="Times New Roman" w:cs="Times New Roman" w:eastAsia="Times New Roman" w:hAnsi="Times New Roman"/>
          <w:sz w:val="21"/>
          <w:szCs w:val="21"/>
          <w:color w:val="auto"/>
        </w:rPr>
      </w:pPr>
    </w:p>
    <w:p>
      <w:pPr>
        <w:ind w:left="640" w:firstLine="1274"/>
        <w:spacing w:after="0" w:line="245" w:lineRule="auto"/>
        <w:tabs>
          <w:tab w:leader="none" w:pos="2542" w:val="left"/>
        </w:tabs>
        <w:numPr>
          <w:ilvl w:val="1"/>
          <w:numId w:val="3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to any other Lender, to the address, facsimile number, or electronic mail address specified in its Administrative Questionnaire.</w:t>
      </w:r>
    </w:p>
    <w:p>
      <w:pPr>
        <w:spacing w:after="0" w:line="169"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21"/>
          <w:szCs w:val="21"/>
          <w:color w:val="auto"/>
        </w:rPr>
        <w:t xml:space="preserve">Notices and other communications sent by hand or overnight courier service, or mailed by certified or registered mail, shall be deemed to have been given when received; notices and other communications sent by facsimile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w:t>
      </w:r>
      <w:r>
        <w:rPr>
          <w:rFonts w:ascii="Times New Roman" w:cs="Times New Roman" w:eastAsia="Times New Roman" w:hAnsi="Times New Roman"/>
          <w:sz w:val="21"/>
          <w:szCs w:val="21"/>
          <w:u w:val="single" w:color="auto"/>
          <w:color w:val="auto"/>
        </w:rPr>
        <w:t>Section 10.02(b</w:t>
      </w:r>
      <w:r>
        <w:rPr>
          <w:rFonts w:ascii="Times New Roman" w:cs="Times New Roman" w:eastAsia="Times New Roman" w:hAnsi="Times New Roman"/>
          <w:sz w:val="21"/>
          <w:szCs w:val="21"/>
          <w:color w:val="auto"/>
        </w:rPr>
        <w:t xml:space="preserve">) shall be effective as provided in such </w:t>
      </w:r>
      <w:r>
        <w:rPr>
          <w:rFonts w:ascii="Times New Roman" w:cs="Times New Roman" w:eastAsia="Times New Roman" w:hAnsi="Times New Roman"/>
          <w:sz w:val="21"/>
          <w:szCs w:val="21"/>
          <w:u w:val="single" w:color="auto"/>
          <w:color w:val="auto"/>
        </w:rPr>
        <w:t>Section 10.02(b)</w:t>
      </w:r>
      <w:r>
        <w:rPr>
          <w:rFonts w:ascii="Times New Roman" w:cs="Times New Roman" w:eastAsia="Times New Roman" w:hAnsi="Times New Roman"/>
          <w:sz w:val="21"/>
          <w:szCs w:val="21"/>
          <w:color w:val="auto"/>
        </w:rPr>
        <w:t>.</w:t>
      </w:r>
    </w:p>
    <w:p>
      <w:pPr>
        <w:spacing w:after="0" w:line="153" w:lineRule="exact"/>
        <w:rPr>
          <w:sz w:val="20"/>
          <w:szCs w:val="20"/>
          <w:color w:val="auto"/>
        </w:rPr>
      </w:pPr>
    </w:p>
    <w:p>
      <w:pPr>
        <w:jc w:val="both"/>
        <w:ind w:firstLine="1278"/>
        <w:spacing w:after="0" w:line="220" w:lineRule="auto"/>
        <w:tabs>
          <w:tab w:leader="none" w:pos="1903" w:val="left"/>
        </w:tabs>
        <w:numPr>
          <w:ilvl w:val="0"/>
          <w:numId w:val="3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Electronic Communications</w:t>
      </w:r>
      <w:r>
        <w:rPr>
          <w:rFonts w:ascii="Times New Roman" w:cs="Times New Roman" w:eastAsia="Times New Roman" w:hAnsi="Times New Roman"/>
          <w:sz w:val="21"/>
          <w:szCs w:val="21"/>
          <w:color w:val="auto"/>
        </w:rPr>
        <w:t>. Notices and other communications to the Lenders and the L/C Issuers hereunder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may be delivered or furnished by electronic communication (including e-mail and Internet or intranet websites) pursuant to procedures approved by the Administrative Agent,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foregoing shall not apply to notices to any Lender or L/C Issuer pursuant to </w:t>
      </w:r>
      <w:r>
        <w:rPr>
          <w:rFonts w:ascii="Times New Roman" w:cs="Times New Roman" w:eastAsia="Times New Roman" w:hAnsi="Times New Roman"/>
          <w:sz w:val="21"/>
          <w:szCs w:val="21"/>
          <w:u w:val="single" w:color="auto"/>
          <w:color w:val="auto"/>
        </w:rPr>
        <w:t>Article 2</w:t>
      </w:r>
      <w:r>
        <w:rPr>
          <w:rFonts w:ascii="Times New Roman" w:cs="Times New Roman" w:eastAsia="Times New Roman" w:hAnsi="Times New Roman"/>
          <w:sz w:val="21"/>
          <w:szCs w:val="21"/>
          <w:color w:val="auto"/>
        </w:rPr>
        <w:t xml:space="preserve"> if such Lender or L/C Issuer, as applicable, has notified the Administrative Agent that it is incapable of receiving notices under such Article by electronic communication. The Administrative Agent </w:t>
      </w:r>
      <w:r>
        <w:rPr>
          <w:rFonts w:ascii="Times New Roman" w:cs="Times New Roman" w:eastAsia="Times New Roman" w:hAnsi="Times New Roman"/>
          <w:sz w:val="21"/>
          <w:szCs w:val="21"/>
          <w:b w:val="1"/>
          <w:bCs w:val="1"/>
          <w:color w:val="FF0000"/>
        </w:rPr>
        <w:t>or the Borrower</w:t>
      </w:r>
      <w:r>
        <w:rPr>
          <w:rFonts w:ascii="Times New Roman" w:cs="Times New Roman" w:eastAsia="Times New Roman" w:hAnsi="Times New Roman"/>
          <w:sz w:val="21"/>
          <w:szCs w:val="21"/>
          <w:color w:val="auto"/>
        </w:rPr>
        <w:t xml:space="preserve"> may, in its discretion, agree to accept notices and other communications to it hereunder by electronic communications pursuant to procedures approved by it,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approval of such procedures may be limited to particular notices or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5368290</wp:posOffset>
            </wp:positionH>
            <wp:positionV relativeFrom="paragraph">
              <wp:posOffset>-350520</wp:posOffset>
            </wp:positionV>
            <wp:extent cx="106680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7">
                      <a:extLst>
                        <a:ext uri="{28A0092B-C50C-407E-A947-70E740481C1C}"/>
                      </a:extLst>
                    </a:blip>
                    <a:srcRect/>
                    <a:stretch>
                      <a:fillRect/>
                    </a:stretch>
                  </pic:blipFill>
                  <pic:spPr bwMode="auto">
                    <a:xfrm>
                      <a:off x="0" y="0"/>
                      <a:ext cx="1066800" cy="8255"/>
                    </a:xfrm>
                    <a:prstGeom prst="rect">
                      <a:avLst/>
                    </a:prstGeom>
                    <a:noFill/>
                  </pic:spPr>
                </pic:pic>
              </a:graphicData>
            </a:graphic>
          </wp:anchor>
        </w:drawing>
      </w:r>
    </w:p>
    <w:p>
      <w:pPr>
        <w:spacing w:after="0" w:line="155" w:lineRule="exact"/>
        <w:rPr>
          <w:sz w:val="20"/>
          <w:szCs w:val="20"/>
          <w:color w:val="auto"/>
        </w:rPr>
      </w:pPr>
    </w:p>
    <w:p>
      <w:pPr>
        <w:jc w:val="both"/>
        <w:ind w:firstLine="636"/>
        <w:spacing w:after="0" w:line="257" w:lineRule="auto"/>
        <w:rPr>
          <w:sz w:val="20"/>
          <w:szCs w:val="20"/>
          <w:color w:val="auto"/>
        </w:rPr>
      </w:pPr>
      <w:r>
        <w:rPr>
          <w:rFonts w:ascii="Times New Roman" w:cs="Times New Roman" w:eastAsia="Times New Roman" w:hAnsi="Times New Roman"/>
          <w:sz w:val="21"/>
          <w:szCs w:val="21"/>
          <w:color w:val="auto"/>
        </w:rPr>
        <w:t xml:space="preserve">Unless the Administrative Agent otherwise prescribes, (i) notices and other communications sent to an e-mail address shall be deemed received </w:t>
      </w:r>
      <w:r>
        <w:rPr>
          <w:rFonts w:ascii="Times New Roman" w:cs="Times New Roman" w:eastAsia="Times New Roman" w:hAnsi="Times New Roman"/>
          <w:sz w:val="21"/>
          <w:szCs w:val="21"/>
          <w:b w:val="1"/>
          <w:bCs w:val="1"/>
          <w:color w:val="FF0000"/>
          <w:strike w:val="1"/>
        </w:rPr>
        <w:t>upon</w:t>
      </w:r>
      <w:r>
        <w:rPr>
          <w:rFonts w:ascii="Times New Roman" w:cs="Times New Roman" w:eastAsia="Times New Roman" w:hAnsi="Times New Roman"/>
          <w:sz w:val="21"/>
          <w:szCs w:val="21"/>
          <w:b w:val="1"/>
          <w:bCs w:val="1"/>
          <w:u w:val="single" w:color="auto"/>
          <w:color w:val="0000FF"/>
        </w:rPr>
        <w:t>unless</w:t>
      </w:r>
      <w:r>
        <w:rPr>
          <w:rFonts w:ascii="Times New Roman" w:cs="Times New Roman" w:eastAsia="Times New Roman" w:hAnsi="Times New Roman"/>
          <w:sz w:val="21"/>
          <w:szCs w:val="21"/>
          <w:color w:val="auto"/>
        </w:rPr>
        <w:t xml:space="preserve"> the sender</w:t>
      </w:r>
      <w:r>
        <w:rPr>
          <w:rFonts w:ascii="Times New Roman" w:cs="Times New Roman" w:eastAsia="Times New Roman" w:hAnsi="Times New Roman"/>
          <w:sz w:val="21"/>
          <w:szCs w:val="21"/>
          <w:b w:val="1"/>
          <w:bCs w:val="1"/>
          <w:color w:val="FF0000"/>
          <w:strike w:val="1"/>
        </w:rPr>
        <w:t>’s receipt of an acknowledgement from the intended recipient (such as by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FF0000"/>
          <w:strike w:val="1"/>
        </w:rPr>
        <w:t xml:space="preserve">“return receipt requested” function, as available, return e-mail or other written acknowledgment) </w:t>
      </w:r>
      <w:r>
        <w:rPr>
          <w:rFonts w:ascii="Times New Roman" w:cs="Times New Roman" w:eastAsia="Times New Roman" w:hAnsi="Times New Roman"/>
          <w:sz w:val="21"/>
          <w:szCs w:val="21"/>
          <w:b w:val="1"/>
          <w:bCs w:val="1"/>
          <w:u w:val="single" w:color="auto"/>
          <w:color w:val="0000FF"/>
          <w:strike w:val="1"/>
        </w:rPr>
        <w:t>receives a notice of non-delivery</w:t>
      </w:r>
      <w:r>
        <w:rPr>
          <w:rFonts w:ascii="Times New Roman" w:cs="Times New Roman" w:eastAsia="Times New Roman" w:hAnsi="Times New Roman"/>
          <w:sz w:val="21"/>
          <w:szCs w:val="21"/>
          <w:color w:val="000000"/>
          <w:strike w:val="1"/>
        </w:rPr>
        <w:t>,</w:t>
      </w:r>
      <w:r>
        <w:rPr>
          <w:rFonts w:ascii="Times New Roman" w:cs="Times New Roman" w:eastAsia="Times New Roman" w:hAnsi="Times New Roman"/>
          <w:sz w:val="21"/>
          <w:szCs w:val="21"/>
          <w:b w:val="1"/>
          <w:bCs w:val="1"/>
          <w:color w:val="0000FF"/>
          <w:strike w:val="1"/>
        </w:rPr>
        <w:t xml:space="preserve"> </w:t>
      </w:r>
      <w:r>
        <w:rPr>
          <w:rFonts w:ascii="Times New Roman" w:cs="Times New Roman" w:eastAsia="Times New Roman" w:hAnsi="Times New Roman"/>
          <w:sz w:val="21"/>
          <w:szCs w:val="21"/>
          <w:i w:val="1"/>
          <w:iCs w:val="1"/>
          <w:color w:val="000000"/>
          <w:strike w:val="1"/>
        </w:rPr>
        <w:t>provided</w:t>
      </w:r>
      <w:r>
        <w:rPr>
          <w:rFonts w:ascii="Times New Roman" w:cs="Times New Roman" w:eastAsia="Times New Roman" w:hAnsi="Times New Roman"/>
          <w:sz w:val="21"/>
          <w:szCs w:val="21"/>
          <w:b w:val="1"/>
          <w:bCs w:val="1"/>
          <w:color w:val="0000FF"/>
          <w:strike w:val="1"/>
        </w:rPr>
        <w:t xml:space="preserve"> </w:t>
      </w:r>
      <w:r>
        <w:rPr>
          <w:rFonts w:ascii="Times New Roman" w:cs="Times New Roman" w:eastAsia="Times New Roman" w:hAnsi="Times New Roman"/>
          <w:sz w:val="21"/>
          <w:szCs w:val="21"/>
          <w:color w:val="000000"/>
          <w:strike w:val="1"/>
        </w:rPr>
        <w:t>that if such notice or other communication is not sent during the normal business hours of the recipient, such</w:t>
      </w:r>
      <w:r>
        <w:rPr>
          <w:rFonts w:ascii="Times New Roman" w:cs="Times New Roman" w:eastAsia="Times New Roman" w:hAnsi="Times New Roman"/>
          <w:sz w:val="21"/>
          <w:szCs w:val="21"/>
          <w:b w:val="1"/>
          <w:bCs w:val="1"/>
          <w:color w:val="0000FF"/>
          <w:strike w:val="1"/>
        </w:rPr>
        <w:t xml:space="preserve"> </w:t>
      </w:r>
      <w:r>
        <w:rPr>
          <w:rFonts w:ascii="Times New Roman" w:cs="Times New Roman" w:eastAsia="Times New Roman" w:hAnsi="Times New Roman"/>
          <w:sz w:val="21"/>
          <w:szCs w:val="21"/>
          <w:color w:val="000000"/>
          <w:strike w:val="1"/>
        </w:rPr>
        <w:t xml:space="preserve">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w:t>
      </w:r>
      <w:r>
        <w:rPr>
          <w:rFonts w:ascii="Times New Roman" w:cs="Times New Roman" w:eastAsia="Times New Roman" w:hAnsi="Times New Roman"/>
          <w:sz w:val="21"/>
          <w:szCs w:val="21"/>
          <w:u w:val="single" w:color="auto"/>
          <w:color w:val="000000"/>
          <w:strike w:val="1"/>
        </w:rPr>
        <w:t>clause (i)</w:t>
      </w:r>
      <w:r>
        <w:rPr>
          <w:rFonts w:ascii="Times New Roman" w:cs="Times New Roman" w:eastAsia="Times New Roman" w:hAnsi="Times New Roman"/>
          <w:sz w:val="21"/>
          <w:szCs w:val="21"/>
          <w:color w:val="000000"/>
          <w:strike w:val="1"/>
        </w:rPr>
        <w:t xml:space="preserve"> </w:t>
      </w:r>
      <w:r>
        <w:rPr>
          <w:rFonts w:ascii="Times New Roman" w:cs="Times New Roman" w:eastAsia="Times New Roman" w:hAnsi="Times New Roman"/>
          <w:sz w:val="21"/>
          <w:szCs w:val="21"/>
          <w:b w:val="1"/>
          <w:bCs w:val="1"/>
          <w:color w:val="FF0000"/>
          <w:strike w:val="1"/>
        </w:rPr>
        <w:t>of</w:t>
      </w:r>
      <w:r>
        <w:rPr>
          <w:rFonts w:ascii="Times New Roman" w:cs="Times New Roman" w:eastAsia="Times New Roman" w:hAnsi="Times New Roman"/>
          <w:sz w:val="21"/>
          <w:szCs w:val="21"/>
          <w:b w:val="1"/>
          <w:bCs w:val="1"/>
          <w:u w:val="single" w:color="auto"/>
          <w:color w:val="0000FF"/>
          <w:strike w:val="1"/>
        </w:rPr>
        <w:t>or</w:t>
      </w:r>
      <w:r>
        <w:rPr>
          <w:rFonts w:ascii="Times New Roman" w:cs="Times New Roman" w:eastAsia="Times New Roman" w:hAnsi="Times New Roman"/>
          <w:sz w:val="21"/>
          <w:szCs w:val="21"/>
          <w:color w:val="000000"/>
          <w:strike w:val="1"/>
        </w:rPr>
        <w:t xml:space="preserve"> notification that such notice or communication is available and identifying the website address therefor.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173</w:t>
      </w:r>
    </w:p>
    <w:p>
      <w:pPr>
        <w:sectPr>
          <w:pgSz w:w="11900" w:h="16838" w:orient="portrait"/>
          <w:cols w:equalWidth="0" w:num="1">
            <w:col w:w="11240"/>
          </w:cols>
          <w:pgMar w:left="320" w:top="1397" w:right="339" w:bottom="1440" w:gutter="0" w:footer="0" w:header="0"/>
        </w:sectPr>
      </w:pPr>
    </w:p>
    <w:bookmarkStart w:id="279" w:name="page280"/>
    <w:bookmarkEnd w:id="279"/>
    <w:p>
      <w:pPr>
        <w:jc w:val="both"/>
        <w:ind w:firstLine="1278"/>
        <w:spacing w:after="0" w:line="215" w:lineRule="auto"/>
        <w:tabs>
          <w:tab w:leader="none" w:pos="1905" w:val="left"/>
        </w:tabs>
        <w:numPr>
          <w:ilvl w:val="0"/>
          <w:numId w:val="3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The Platform</w:t>
      </w:r>
      <w:r>
        <w:rPr>
          <w:rFonts w:ascii="Times New Roman" w:cs="Times New Roman" w:eastAsia="Times New Roman" w:hAnsi="Times New Roman"/>
          <w:sz w:val="21"/>
          <w:szCs w:val="21"/>
          <w:color w:val="auto"/>
        </w:rPr>
        <w:t>. THE PLATFORM IS PROVIDED “AS IS” AND “AS AVAILABLE.” THE AGENT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PARTIES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Times New Roman" w:cs="Times New Roman" w:eastAsia="Times New Roman" w:hAnsi="Times New Roman"/>
          <w:sz w:val="21"/>
          <w:szCs w:val="21"/>
          <w:b w:val="1"/>
          <w:bCs w:val="1"/>
          <w:color w:val="auto"/>
        </w:rPr>
        <w:t>Agent Parties</w:t>
      </w:r>
      <w:r>
        <w:rPr>
          <w:rFonts w:ascii="Times New Roman" w:cs="Times New Roman" w:eastAsia="Times New Roman" w:hAnsi="Times New Roman"/>
          <w:sz w:val="21"/>
          <w:szCs w:val="21"/>
          <w:color w:val="auto"/>
        </w:rPr>
        <w:t xml:space="preserve">”) have any liability to the Borrower, any Lender, any L/C Issuer or any other Person for losses, claims, damages, liabilities or expenses of any kind (whether in tort, contract or otherwise) arising out of the Borrower’s or the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in no event shall any Agent Party have any liability to the Borrower, any Lender, any L/C Issuer or any other Person for indirect, special, incidental, consequential or punitive damages (as opposed to direct or actual damages).</w:t>
      </w:r>
    </w:p>
    <w:p>
      <w:pPr>
        <w:spacing w:after="0" w:line="151" w:lineRule="exact"/>
        <w:rPr>
          <w:rFonts w:ascii="Times New Roman" w:cs="Times New Roman" w:eastAsia="Times New Roman" w:hAnsi="Times New Roman"/>
          <w:sz w:val="21"/>
          <w:szCs w:val="21"/>
          <w:color w:val="auto"/>
        </w:rPr>
      </w:pPr>
    </w:p>
    <w:p>
      <w:pPr>
        <w:jc w:val="both"/>
        <w:ind w:firstLine="1278"/>
        <w:spacing w:after="0" w:line="216" w:lineRule="auto"/>
        <w:tabs>
          <w:tab w:leader="none" w:pos="1903" w:val="left"/>
        </w:tabs>
        <w:numPr>
          <w:ilvl w:val="0"/>
          <w:numId w:val="3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Change of Address</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Etc</w:t>
      </w:r>
      <w:r>
        <w:rPr>
          <w:rFonts w:ascii="Times New Roman" w:cs="Times New Roman" w:eastAsia="Times New Roman" w:hAnsi="Times New Roman"/>
          <w:sz w:val="21"/>
          <w:szCs w:val="21"/>
          <w:color w:val="auto"/>
        </w:rPr>
        <w:t>. Each of the Borrower, the Administrative Agent and the L/C Issuers may change its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address or facsimile for notices and other communications hereunder by notice to the other parties hereto. Each Lender may change its address or facsimile for notices and other communications hereunder by notice to the Borrower, the Administrative Agent and the L/C Issuers. In addition, each Lender agrees to notify the Administrative Agent from time to time to ensure that the Administrative Agent has on record (i) an effective address, contact name, facsimile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MNPI with respect to the Borrower or any of its Subsidiaries or their respective securities for purposes of United States Federal or state securities laws.</w:t>
      </w:r>
    </w:p>
    <w:p>
      <w:pPr>
        <w:spacing w:after="0" w:line="147" w:lineRule="exact"/>
        <w:rPr>
          <w:rFonts w:ascii="Times New Roman" w:cs="Times New Roman" w:eastAsia="Times New Roman" w:hAnsi="Times New Roman"/>
          <w:sz w:val="21"/>
          <w:szCs w:val="21"/>
          <w:color w:val="auto"/>
        </w:rPr>
      </w:pPr>
    </w:p>
    <w:p>
      <w:pPr>
        <w:jc w:val="both"/>
        <w:ind w:firstLine="1278"/>
        <w:spacing w:after="0" w:line="217" w:lineRule="auto"/>
        <w:tabs>
          <w:tab w:leader="none" w:pos="1905" w:val="left"/>
        </w:tabs>
        <w:numPr>
          <w:ilvl w:val="0"/>
          <w:numId w:val="3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Reliance by Administrative Agent</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L/C Issuers and Lenders</w:t>
      </w:r>
      <w:r>
        <w:rPr>
          <w:rFonts w:ascii="Times New Roman" w:cs="Times New Roman" w:eastAsia="Times New Roman" w:hAnsi="Times New Roman"/>
          <w:sz w:val="21"/>
          <w:szCs w:val="21"/>
          <w:color w:val="auto"/>
        </w:rPr>
        <w:t>. The Administrative Agent, the L/C Issuers and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the Lenders shall be entitled to rely and act upon any notices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The Borrower shall indemnify the Administrative Agent, the L/C Issuers, each Lender and the Related Parties of each of them from all losses, costs, expenses and liabilities resulting from the reliance by such Person on each notice purportedly given by or on behalf of the Borrower except to the extent that such losses, claims, damages, liabilities or related expenses are determined by a court of competent jurisdiction by final and nonappealable judgment to have resulted from the gross negligence or willful misconduct of such Person. All telephonic communications with the Administrative Agent may be recorded by the Administrative Agent, and each of the parties hereby consents to such recording.</w:t>
      </w:r>
    </w:p>
    <w:p>
      <w:pPr>
        <w:spacing w:after="0" w:line="14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Section 10.03 </w:t>
      </w:r>
      <w:r>
        <w:rPr>
          <w:rFonts w:ascii="Times New Roman" w:cs="Times New Roman" w:eastAsia="Times New Roman" w:hAnsi="Times New Roman"/>
          <w:sz w:val="21"/>
          <w:szCs w:val="21"/>
          <w:i w:val="1"/>
          <w:iCs w:val="1"/>
          <w:color w:val="auto"/>
        </w:rPr>
        <w:t>No Waiver; Cumulative Remedies; Enforcement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174</w:t>
      </w:r>
    </w:p>
    <w:p>
      <w:pPr>
        <w:sectPr>
          <w:pgSz w:w="11900" w:h="16838" w:orient="portrait"/>
          <w:cols w:equalWidth="0" w:num="1">
            <w:col w:w="11240"/>
          </w:cols>
          <w:pgMar w:left="320" w:top="1369" w:right="339" w:bottom="1440" w:gutter="0" w:footer="0" w:header="0"/>
        </w:sectPr>
      </w:pPr>
    </w:p>
    <w:bookmarkStart w:id="280" w:name="page281"/>
    <w:bookmarkEnd w:id="280"/>
    <w:p>
      <w:pPr>
        <w:jc w:val="both"/>
        <w:ind w:firstLine="642"/>
        <w:spacing w:after="0" w:line="262" w:lineRule="auto"/>
        <w:tabs>
          <w:tab w:leader="none" w:pos="755" w:val="left"/>
        </w:tabs>
        <w:numPr>
          <w:ilvl w:val="0"/>
          <w:numId w:val="3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failure by any Lender, any L/C Issuer or the Administrative Agent to exercise, and no delay by any such Person in exercising, any right, remedy, power or privilege hereunder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66"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21"/>
          <w:szCs w:val="21"/>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Times New Roman" w:cs="Times New Roman" w:eastAsia="Times New Roman" w:hAnsi="Times New Roman"/>
          <w:sz w:val="21"/>
          <w:szCs w:val="21"/>
          <w:u w:val="single" w:color="auto"/>
          <w:color w:val="auto"/>
        </w:rPr>
        <w:t>Section 8.02</w:t>
      </w:r>
      <w:r>
        <w:rPr>
          <w:rFonts w:ascii="Times New Roman" w:cs="Times New Roman" w:eastAsia="Times New Roman" w:hAnsi="Times New Roman"/>
          <w:sz w:val="21"/>
          <w:szCs w:val="21"/>
          <w:color w:val="auto"/>
        </w:rPr>
        <w:t xml:space="preserve"> for the benefit of all the Lenders and the L/C Issuers and, in respect of the Collateral Documents, any other Secured Party;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each of the L/C Issuers from exercising the rights and remedies that inure to its benefit (solely in its capacity as L/C Issuer) hereunder and under the other Loan Documents, (c) any Lender from exercising setoff rights in accordance with </w:t>
      </w:r>
      <w:r>
        <w:rPr>
          <w:rFonts w:ascii="Times New Roman" w:cs="Times New Roman" w:eastAsia="Times New Roman" w:hAnsi="Times New Roman"/>
          <w:sz w:val="21"/>
          <w:szCs w:val="21"/>
          <w:u w:val="single" w:color="auto"/>
          <w:color w:val="auto"/>
        </w:rPr>
        <w:t>Section 10.08</w:t>
      </w:r>
      <w:r>
        <w:rPr>
          <w:rFonts w:ascii="Times New Roman" w:cs="Times New Roman" w:eastAsia="Times New Roman" w:hAnsi="Times New Roman"/>
          <w:sz w:val="21"/>
          <w:szCs w:val="21"/>
          <w:color w:val="auto"/>
        </w:rPr>
        <w:t xml:space="preserve"> (subject to the terms of </w:t>
      </w:r>
      <w:r>
        <w:rPr>
          <w:rFonts w:ascii="Times New Roman" w:cs="Times New Roman" w:eastAsia="Times New Roman" w:hAnsi="Times New Roman"/>
          <w:sz w:val="21"/>
          <w:szCs w:val="21"/>
          <w:u w:val="single" w:color="auto"/>
          <w:color w:val="auto"/>
        </w:rPr>
        <w:t>Section 2.13</w:t>
      </w:r>
      <w:r>
        <w:rPr>
          <w:rFonts w:ascii="Times New Roman" w:cs="Times New Roman" w:eastAsia="Times New Roman" w:hAnsi="Times New Roman"/>
          <w:sz w:val="21"/>
          <w:szCs w:val="21"/>
          <w:color w:val="auto"/>
        </w:rPr>
        <w:t xml:space="preserve">), or (d) any Secured Party from filing proofs of claim or appearing and filing pleadings on its own behalf during the pendency of a proceeding relative to any Loan Party under any Debtor Relief Law and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Times New Roman" w:cs="Times New Roman" w:eastAsia="Times New Roman" w:hAnsi="Times New Roman"/>
          <w:sz w:val="21"/>
          <w:szCs w:val="21"/>
          <w:u w:val="single" w:color="auto"/>
          <w:color w:val="auto"/>
        </w:rPr>
        <w:t>Section 8.02</w:t>
      </w:r>
      <w:r>
        <w:rPr>
          <w:rFonts w:ascii="Times New Roman" w:cs="Times New Roman" w:eastAsia="Times New Roman" w:hAnsi="Times New Roman"/>
          <w:sz w:val="21"/>
          <w:szCs w:val="21"/>
          <w:color w:val="auto"/>
        </w:rPr>
        <w:t xml:space="preserve"> and (ii) in addition to the matters set forth in </w:t>
      </w:r>
      <w:r>
        <w:rPr>
          <w:rFonts w:ascii="Times New Roman" w:cs="Times New Roman" w:eastAsia="Times New Roman" w:hAnsi="Times New Roman"/>
          <w:sz w:val="21"/>
          <w:szCs w:val="21"/>
          <w:u w:val="single" w:color="auto"/>
          <w:color w:val="auto"/>
        </w:rPr>
        <w:t>clauses (b)</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(d)</w:t>
      </w:r>
      <w:r>
        <w:rPr>
          <w:rFonts w:ascii="Times New Roman" w:cs="Times New Roman" w:eastAsia="Times New Roman" w:hAnsi="Times New Roman"/>
          <w:sz w:val="21"/>
          <w:szCs w:val="21"/>
          <w:color w:val="auto"/>
        </w:rPr>
        <w:t xml:space="preserve"> of the preceding proviso and subject to </w:t>
      </w:r>
      <w:r>
        <w:rPr>
          <w:rFonts w:ascii="Times New Roman" w:cs="Times New Roman" w:eastAsia="Times New Roman" w:hAnsi="Times New Roman"/>
          <w:sz w:val="21"/>
          <w:szCs w:val="21"/>
          <w:u w:val="single" w:color="auto"/>
          <w:color w:val="auto"/>
        </w:rPr>
        <w:t>Section 2.13</w:t>
      </w:r>
      <w:r>
        <w:rPr>
          <w:rFonts w:ascii="Times New Roman" w:cs="Times New Roman" w:eastAsia="Times New Roman" w:hAnsi="Times New Roman"/>
          <w:sz w:val="21"/>
          <w:szCs w:val="21"/>
          <w:color w:val="auto"/>
        </w:rPr>
        <w:t>, any Lender may, with the consent of the Required Lenders, enforce any rights and remedies available to it and as authorized by the Required Lenders.</w:t>
      </w:r>
    </w:p>
    <w:p>
      <w:pPr>
        <w:spacing w:after="0" w:line="15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Section 10.04 </w:t>
      </w:r>
      <w:r>
        <w:rPr>
          <w:rFonts w:ascii="Times New Roman" w:cs="Times New Roman" w:eastAsia="Times New Roman" w:hAnsi="Times New Roman"/>
          <w:sz w:val="21"/>
          <w:szCs w:val="21"/>
          <w:i w:val="1"/>
          <w:iCs w:val="1"/>
          <w:color w:val="auto"/>
        </w:rPr>
        <w:t>Expenses; Indemnity; Damage Waiver</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p>
    <w:p>
      <w:pPr>
        <w:spacing w:after="0" w:line="194" w:lineRule="exact"/>
        <w:rPr>
          <w:sz w:val="20"/>
          <w:szCs w:val="20"/>
          <w:color w:val="auto"/>
        </w:rPr>
      </w:pPr>
    </w:p>
    <w:p>
      <w:pPr>
        <w:jc w:val="both"/>
        <w:ind w:firstLine="1278"/>
        <w:spacing w:after="0" w:line="216" w:lineRule="auto"/>
        <w:tabs>
          <w:tab w:leader="none" w:pos="1905" w:val="left"/>
        </w:tabs>
        <w:numPr>
          <w:ilvl w:val="0"/>
          <w:numId w:val="3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Costs and Expenses</w:t>
      </w:r>
      <w:r>
        <w:rPr>
          <w:rFonts w:ascii="Times New Roman" w:cs="Times New Roman" w:eastAsia="Times New Roman" w:hAnsi="Times New Roman"/>
          <w:sz w:val="21"/>
          <w:szCs w:val="21"/>
          <w:color w:val="auto"/>
        </w:rPr>
        <w:t>. The Borrower shall pay (i) all reasonable out-of-pocket expenses incurred by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Administrative Agent</w:t>
      </w:r>
      <w:r>
        <w:rPr>
          <w:rFonts w:ascii="Times New Roman" w:cs="Times New Roman" w:eastAsia="Times New Roman" w:hAnsi="Times New Roman"/>
          <w:sz w:val="21"/>
          <w:szCs w:val="21"/>
          <w:b w:val="1"/>
          <w:bCs w:val="1"/>
          <w:u w:val="single" w:color="auto"/>
          <w:color w:val="0000FF"/>
        </w:rPr>
        <w:t>, the Arrangers</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b w:val="1"/>
          <w:bCs w:val="1"/>
          <w:color w:val="FF0000"/>
          <w:strike w:val="1"/>
        </w:rPr>
        <w:t>its</w:t>
      </w:r>
      <w:r>
        <w:rPr>
          <w:rFonts w:ascii="Times New Roman" w:cs="Times New Roman" w:eastAsia="Times New Roman" w:hAnsi="Times New Roman"/>
          <w:sz w:val="21"/>
          <w:szCs w:val="21"/>
          <w:b w:val="1"/>
          <w:bCs w:val="1"/>
          <w:u w:val="single" w:color="auto"/>
          <w:color w:val="0000FF"/>
        </w:rPr>
        <w:t>their respective</w:t>
      </w:r>
      <w:r>
        <w:rPr>
          <w:rFonts w:ascii="Times New Roman" w:cs="Times New Roman" w:eastAsia="Times New Roman" w:hAnsi="Times New Roman"/>
          <w:sz w:val="21"/>
          <w:szCs w:val="21"/>
          <w:color w:val="auto"/>
        </w:rPr>
        <w:t xml:space="preserve"> Affiliates (including but not limited to expenses associated with the syndication of the Facilities, due diligence efforts, the reasonable fees, charges and disbursements of counsel, limited to a single counsel and, in each relevant jurisdiction, a single local counsel and one additional local counsel in each applicable jurisdiction for any such person in the event of a conflict of interest (including, without limitation, reasonable and actual travel expenses),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out-of-pocket expenses incurred by any L/C Issuer in connection with the issuance, amendment, renewal or extension of any Letter of Credit or any demand for payment thereunder and (iii) all out-of-pocket expenses incurred by the Administrative Agent, any Lender or any L/C Issuer (including the fees, charges and disbursements of any counsel for the Administrative Agent, the Lenders and the L/C Issuers (but limited to the fees, disbursements, and other charges of a single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175</w:t>
      </w:r>
    </w:p>
    <w:p>
      <w:pPr>
        <w:sectPr>
          <w:pgSz w:w="11900" w:h="16838" w:orient="portrait"/>
          <w:cols w:equalWidth="0" w:num="1">
            <w:col w:w="11240"/>
          </w:cols>
          <w:pgMar w:left="320" w:top="1397" w:right="339" w:bottom="1440" w:gutter="0" w:footer="0" w:header="0"/>
        </w:sectPr>
      </w:pPr>
    </w:p>
    <w:bookmarkStart w:id="281" w:name="page282"/>
    <w:bookmarkEnd w:id="281"/>
    <w:p>
      <w:pPr>
        <w:jc w:val="both"/>
        <w:spacing w:after="0" w:line="221" w:lineRule="auto"/>
        <w:rPr>
          <w:sz w:val="20"/>
          <w:szCs w:val="20"/>
          <w:color w:val="auto"/>
        </w:rPr>
      </w:pPr>
      <w:r>
        <w:rPr>
          <w:rFonts w:ascii="Times New Roman" w:cs="Times New Roman" w:eastAsia="Times New Roman" w:hAnsi="Times New Roman"/>
          <w:sz w:val="21"/>
          <w:szCs w:val="21"/>
          <w:color w:val="auto"/>
        </w:rPr>
        <w:t>law firm for the Administrative Agent, the Lenders and the L/C Issuers and, in each relevant jurisdiction, a single local counsel, in each case, representing the Administrative Agent, all Lenders and all L/C Issuers, and one additional counsel or local counsel, as applicable, in each applicable jurisdiction for any such person in the event of a conflict of interest)), in connection with the enforcement or protection of its rights (A) in connection with this Agreement and the other Loan Documents, including its rights under this Section or (B) in connection with the Loans made or Letters of Credit issued hereunder, including all such out-of-pocket expenses incurred during any workout, restructuring or negotiations in respect of such Loans or Letters of Credit.</w:t>
      </w:r>
    </w:p>
    <w:p>
      <w:pPr>
        <w:spacing w:after="0" w:line="148" w:lineRule="exact"/>
        <w:rPr>
          <w:sz w:val="20"/>
          <w:szCs w:val="20"/>
          <w:color w:val="auto"/>
        </w:rPr>
      </w:pPr>
    </w:p>
    <w:p>
      <w:pPr>
        <w:jc w:val="both"/>
        <w:ind w:firstLine="1278"/>
        <w:spacing w:after="0" w:line="213" w:lineRule="auto"/>
        <w:tabs>
          <w:tab w:leader="none" w:pos="1903" w:val="left"/>
        </w:tabs>
        <w:numPr>
          <w:ilvl w:val="0"/>
          <w:numId w:val="3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Indemnification</w:t>
      </w:r>
      <w:r>
        <w:rPr>
          <w:rFonts w:ascii="Times New Roman" w:cs="Times New Roman" w:eastAsia="Times New Roman" w:hAnsi="Times New Roman"/>
          <w:sz w:val="21"/>
          <w:szCs w:val="21"/>
          <w:color w:val="auto"/>
        </w:rPr>
        <w:t>. Each Loan Party shall indemnify the Administrative Agent (and any sub-agent thereof),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b w:val="1"/>
          <w:bCs w:val="1"/>
          <w:u w:val="single" w:color="auto"/>
          <w:color w:val="0000FF"/>
        </w:rPr>
        <w:t>each Arranger,</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each Lender and each L/C Issuer and each Related Party of any of the foregoing Persons (each such Person being</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called an “</w:t>
      </w:r>
      <w:r>
        <w:rPr>
          <w:rFonts w:ascii="Times New Roman" w:cs="Times New Roman" w:eastAsia="Times New Roman" w:hAnsi="Times New Roman"/>
          <w:sz w:val="21"/>
          <w:szCs w:val="21"/>
          <w:b w:val="1"/>
          <w:bCs w:val="1"/>
          <w:color w:val="000000"/>
        </w:rPr>
        <w:t>Indemnitee</w:t>
      </w:r>
      <w:r>
        <w:rPr>
          <w:rFonts w:ascii="Times New Roman" w:cs="Times New Roman" w:eastAsia="Times New Roman" w:hAnsi="Times New Roman"/>
          <w:sz w:val="21"/>
          <w:szCs w:val="21"/>
          <w:color w:val="000000"/>
        </w:rPr>
        <w:t xml:space="preserve">”) against, and hold each Indemnitee harmless from, any and all losses, claims, damages, liabilities and related expenses (including the fees, charges and disbursements of any external counsel for any Indemnitee), and shall indemnify and hold harmless each Indemnitee from all fees and time charges and disbursements for attorneys who may be employees of any Indemnitee, incurred by any Indemnitee or asserted against any Indemnitee by any third party or by the Borrower or any other Loan Party arising out of, in connection with, or as a result of (i) the execution or delivery of this Agreement, any other Loan Document or any agreement or instrument contemplated hereby or thereby, the performance by the parties hereto of their respective obligations hereunder or thereunder, the consummation of the Transactions and the transactions contemplated hereby or thereby, or, in the case of the Administrative Agent (and any sub-agent thereof) and its Related Parties only, the administration of this Agreement and the other Loan Documents (except for any taxes governed by </w:t>
      </w:r>
      <w:r>
        <w:rPr>
          <w:rFonts w:ascii="Times New Roman" w:cs="Times New Roman" w:eastAsia="Times New Roman" w:hAnsi="Times New Roman"/>
          <w:sz w:val="21"/>
          <w:szCs w:val="21"/>
          <w:u w:val="single" w:color="auto"/>
          <w:color w:val="000000"/>
        </w:rPr>
        <w:t>Section 3.01</w:t>
      </w:r>
      <w:r>
        <w:rPr>
          <w:rFonts w:ascii="Times New Roman" w:cs="Times New Roman" w:eastAsia="Times New Roman" w:hAnsi="Times New Roman"/>
          <w:sz w:val="21"/>
          <w:szCs w:val="21"/>
          <w:color w:val="000000"/>
        </w:rPr>
        <w:t>), other than any Taxes that represent losses, claims or damages arising from any non-Tax claim), (ii) any Loan or Letter of Credit or the use or intended use of the proceeds therefrom (including any refusal by any L/C Issuer to honor a demand for payment under a Letter of Credit if the documents presented in connection with such demand do not strictly comply with the terms of such Letter of Credit), (iii) any actual or alleged presence or release of Hazardous Materials on, through, under or from any property currently or formerly owned, leased or operated by the Borrower or any of its Restricted Subsidiaries, or any Environmental Claim or Environmental Liability related in any way to any of the Loan Parties or any of their respective Restricted Subsidiaries or (iv) any claim, litigation, investigation, inquiry or proceeding relating to any of the foregoing, whether based on contract, tort or any other theory, whether brought by a Lender, a third party or by the Borrower or any other Loan Party, and regardless of whether any Indemnitee is a party thereto (collectively, the “</w:t>
      </w:r>
      <w:r>
        <w:rPr>
          <w:rFonts w:ascii="Times New Roman" w:cs="Times New Roman" w:eastAsia="Times New Roman" w:hAnsi="Times New Roman"/>
          <w:sz w:val="21"/>
          <w:szCs w:val="21"/>
          <w:b w:val="1"/>
          <w:bCs w:val="1"/>
          <w:color w:val="000000"/>
        </w:rPr>
        <w:t>Indemnified</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b w:val="1"/>
          <w:bCs w:val="1"/>
          <w:color w:val="000000"/>
        </w:rPr>
        <w:t>Liabilities</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b w:val="1"/>
          <w:bCs w:val="1"/>
          <w:color w:val="000000"/>
        </w:rPr>
        <w:t xml:space="preserve"> </w:t>
      </w:r>
      <w:r>
        <w:rPr>
          <w:rFonts w:ascii="Times New Roman" w:cs="Times New Roman" w:eastAsia="Times New Roman" w:hAnsi="Times New Roman"/>
          <w:sz w:val="21"/>
          <w:szCs w:val="21"/>
          <w:i w:val="1"/>
          <w:iCs w:val="1"/>
          <w:color w:val="000000"/>
        </w:rPr>
        <w:t>provided</w:t>
      </w:r>
      <w:r>
        <w:rPr>
          <w:rFonts w:ascii="Times New Roman" w:cs="Times New Roman" w:eastAsia="Times New Roman" w:hAnsi="Times New Roman"/>
          <w:sz w:val="21"/>
          <w:szCs w:val="21"/>
          <w:b w:val="1"/>
          <w:bCs w:val="1"/>
          <w:color w:val="000000"/>
        </w:rPr>
        <w:t xml:space="preserve"> </w:t>
      </w:r>
      <w:r>
        <w:rPr>
          <w:rFonts w:ascii="Times New Roman" w:cs="Times New Roman" w:eastAsia="Times New Roman" w:hAnsi="Times New Roman"/>
          <w:sz w:val="21"/>
          <w:szCs w:val="21"/>
          <w:color w:val="000000"/>
        </w:rPr>
        <w:t>that such indemnity shall not, as to any Indemnitee, be available to the extent that such losses, claims,</w:t>
      </w:r>
      <w:r>
        <w:rPr>
          <w:rFonts w:ascii="Times New Roman" w:cs="Times New Roman" w:eastAsia="Times New Roman" w:hAnsi="Times New Roman"/>
          <w:sz w:val="21"/>
          <w:szCs w:val="21"/>
          <w:b w:val="1"/>
          <w:bCs w:val="1"/>
          <w:color w:val="000000"/>
        </w:rPr>
        <w:t xml:space="preserve"> </w:t>
      </w:r>
      <w:r>
        <w:rPr>
          <w:rFonts w:ascii="Times New Roman" w:cs="Times New Roman" w:eastAsia="Times New Roman" w:hAnsi="Times New Roman"/>
          <w:sz w:val="21"/>
          <w:szCs w:val="21"/>
          <w:color w:val="000000"/>
        </w:rPr>
        <w:t>damages, liabilities or related expenses are determined by a court of competent jurisdiction by final and nonappealable judgment to have resulted from (x) the gross negligence, bad faith or willful misconduct of such Indemnitee or (y) any proceedings between or among Indemnitees (other than any claims against an Indemnitee in its capacity as Administrative Agent, Arranger, Co-Manager or similar role under any Facility) that does not involve any act or omission of the Borrower or any of its Subsidiaries.</w:t>
      </w:r>
    </w:p>
    <w:p>
      <w:pPr>
        <w:spacing w:after="0" w:line="156" w:lineRule="exact"/>
        <w:rPr>
          <w:rFonts w:ascii="Times New Roman" w:cs="Times New Roman" w:eastAsia="Times New Roman" w:hAnsi="Times New Roman"/>
          <w:sz w:val="21"/>
          <w:szCs w:val="21"/>
          <w:color w:val="auto"/>
        </w:rPr>
      </w:pPr>
    </w:p>
    <w:p>
      <w:pPr>
        <w:jc w:val="both"/>
        <w:ind w:firstLine="1278"/>
        <w:spacing w:after="0" w:line="219" w:lineRule="auto"/>
        <w:tabs>
          <w:tab w:leader="none" w:pos="1905" w:val="left"/>
        </w:tabs>
        <w:numPr>
          <w:ilvl w:val="0"/>
          <w:numId w:val="3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Reimbursement by Lenders</w:t>
      </w:r>
      <w:r>
        <w:rPr>
          <w:rFonts w:ascii="Times New Roman" w:cs="Times New Roman" w:eastAsia="Times New Roman" w:hAnsi="Times New Roman"/>
          <w:sz w:val="21"/>
          <w:szCs w:val="21"/>
          <w:color w:val="auto"/>
        </w:rPr>
        <w:t>. To the extent that the Borrower for any reason fails to indefeasibly pay any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amount required under </w:t>
      </w:r>
      <w:r>
        <w:rPr>
          <w:rFonts w:ascii="Times New Roman" w:cs="Times New Roman" w:eastAsia="Times New Roman" w:hAnsi="Times New Roman"/>
          <w:sz w:val="21"/>
          <w:szCs w:val="21"/>
          <w:u w:val="single" w:color="auto"/>
          <w:color w:val="auto"/>
        </w:rPr>
        <w:t>subsection (a)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of this Section to be paid by it to the Administrative Agent (or any sub-agent thereof), </w:t>
      </w:r>
      <w:r>
        <w:rPr>
          <w:rFonts w:ascii="Times New Roman" w:cs="Times New Roman" w:eastAsia="Times New Roman" w:hAnsi="Times New Roman"/>
          <w:sz w:val="21"/>
          <w:szCs w:val="21"/>
          <w:b w:val="1"/>
          <w:bCs w:val="1"/>
          <w:u w:val="single" w:color="auto"/>
          <w:color w:val="0000FF"/>
        </w:rPr>
        <w:t>any Arranger,</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any L/C Issuer or any Related Party of any of the foregoing, each Lender severally agrees to pay to the</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 xml:space="preserve">Administrative Agent (or any such sub-agent), </w:t>
      </w:r>
      <w:r>
        <w:rPr>
          <w:rFonts w:ascii="Times New Roman" w:cs="Times New Roman" w:eastAsia="Times New Roman" w:hAnsi="Times New Roman"/>
          <w:sz w:val="21"/>
          <w:szCs w:val="21"/>
          <w:b w:val="1"/>
          <w:bCs w:val="1"/>
          <w:u w:val="single" w:color="auto"/>
          <w:color w:val="0000FF"/>
        </w:rPr>
        <w:t>such Arranger,</w:t>
      </w:r>
      <w:r>
        <w:rPr>
          <w:rFonts w:ascii="Times New Roman" w:cs="Times New Roman" w:eastAsia="Times New Roman" w:hAnsi="Times New Roman"/>
          <w:sz w:val="21"/>
          <w:szCs w:val="21"/>
          <w:color w:val="000000"/>
        </w:rPr>
        <w:t xml:space="preserve"> such L/C Issuer or such Related Party, as the case may be, such Lender’s Applicable Percentage (determined as of the time that the applicable unreimbursed expense or indemnity payment is sought) of such unpaid amount, </w:t>
      </w:r>
      <w:r>
        <w:rPr>
          <w:rFonts w:ascii="Times New Roman" w:cs="Times New Roman" w:eastAsia="Times New Roman" w:hAnsi="Times New Roman"/>
          <w:sz w:val="21"/>
          <w:szCs w:val="21"/>
          <w:i w:val="1"/>
          <w:iCs w:val="1"/>
          <w:color w:val="000000"/>
        </w:rPr>
        <w:t>provided</w:t>
      </w:r>
      <w:r>
        <w:rPr>
          <w:rFonts w:ascii="Times New Roman" w:cs="Times New Roman" w:eastAsia="Times New Roman" w:hAnsi="Times New Roman"/>
          <w:sz w:val="21"/>
          <w:szCs w:val="21"/>
          <w:color w:val="000000"/>
        </w:rPr>
        <w:t xml:space="preserve"> that the unreimbursed expense or indemnified loss, claim, damage, liability or related expense, as the case may be, was incurred by or asserted against the Administrative Agent (or any such sub-agent)</w:t>
      </w:r>
      <w:r>
        <w:rPr>
          <w:rFonts w:ascii="Times New Roman" w:cs="Times New Roman" w:eastAsia="Times New Roman" w:hAnsi="Times New Roman"/>
          <w:sz w:val="21"/>
          <w:szCs w:val="21"/>
          <w:b w:val="1"/>
          <w:bCs w:val="1"/>
          <w:u w:val="single" w:color="auto"/>
          <w:color w:val="0000FF"/>
        </w:rPr>
        <w:t>, such Arranger</w:t>
      </w:r>
      <w:r>
        <w:rPr>
          <w:rFonts w:ascii="Times New Roman" w:cs="Times New Roman" w:eastAsia="Times New Roman" w:hAnsi="Times New Roman"/>
          <w:sz w:val="21"/>
          <w:szCs w:val="21"/>
          <w:color w:val="000000"/>
        </w:rPr>
        <w:t xml:space="preserve"> or such L/C Issuer in its capacity as such, or against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176</w:t>
      </w:r>
    </w:p>
    <w:p>
      <w:pPr>
        <w:sectPr>
          <w:pgSz w:w="11900" w:h="16838" w:orient="portrait"/>
          <w:cols w:equalWidth="0" w:num="1">
            <w:col w:w="11240"/>
          </w:cols>
          <w:pgMar w:left="320" w:top="1371" w:right="339" w:bottom="1440" w:gutter="0" w:footer="0" w:header="0"/>
        </w:sectPr>
      </w:pPr>
    </w:p>
    <w:bookmarkStart w:id="282" w:name="page283"/>
    <w:bookmarkEnd w:id="282"/>
    <w:p>
      <w:pPr>
        <w:jc w:val="both"/>
        <w:spacing w:after="0" w:line="216" w:lineRule="auto"/>
        <w:rPr>
          <w:sz w:val="20"/>
          <w:szCs w:val="20"/>
          <w:color w:val="auto"/>
        </w:rPr>
      </w:pPr>
      <w:r>
        <w:rPr>
          <w:rFonts w:ascii="Times New Roman" w:cs="Times New Roman" w:eastAsia="Times New Roman" w:hAnsi="Times New Roman"/>
          <w:sz w:val="21"/>
          <w:szCs w:val="21"/>
          <w:color w:val="auto"/>
        </w:rPr>
        <w:t>Related Party of any of the foregoing acting for the Administrative Agent (or any such sub-agent)</w:t>
      </w:r>
      <w:r>
        <w:rPr>
          <w:rFonts w:ascii="Times New Roman" w:cs="Times New Roman" w:eastAsia="Times New Roman" w:hAnsi="Times New Roman"/>
          <w:sz w:val="21"/>
          <w:szCs w:val="21"/>
          <w:b w:val="1"/>
          <w:bCs w:val="1"/>
          <w:u w:val="single" w:color="auto"/>
          <w:color w:val="0000FF"/>
        </w:rPr>
        <w:t>, such Arranger</w:t>
      </w:r>
      <w:r>
        <w:rPr>
          <w:rFonts w:ascii="Times New Roman" w:cs="Times New Roman" w:eastAsia="Times New Roman" w:hAnsi="Times New Roman"/>
          <w:sz w:val="21"/>
          <w:szCs w:val="21"/>
          <w:color w:val="auto"/>
        </w:rPr>
        <w:t xml:space="preserve"> or such L/C Issuer in connection with such capacity;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in respect of the proviso in </w:t>
      </w:r>
      <w:r>
        <w:rPr>
          <w:rFonts w:ascii="Times New Roman" w:cs="Times New Roman" w:eastAsia="Times New Roman" w:hAnsi="Times New Roman"/>
          <w:sz w:val="21"/>
          <w:szCs w:val="21"/>
          <w:u w:val="single" w:color="auto"/>
          <w:color w:val="auto"/>
        </w:rPr>
        <w:t>Section 10.04(b)</w:t>
      </w:r>
      <w:r>
        <w:rPr>
          <w:rFonts w:ascii="Times New Roman" w:cs="Times New Roman" w:eastAsia="Times New Roman" w:hAnsi="Times New Roman"/>
          <w:sz w:val="21"/>
          <w:szCs w:val="21"/>
          <w:color w:val="auto"/>
        </w:rPr>
        <w:t xml:space="preserve">, it is understood and agreed that any action taken by the Administrative Agent (and any sub-agent thereof) and/or any of its Related Parties in accordance with the directions of the Required Lenders or any other appropriate group of Lenders pursuant to </w:t>
      </w:r>
      <w:r>
        <w:rPr>
          <w:rFonts w:ascii="Times New Roman" w:cs="Times New Roman" w:eastAsia="Times New Roman" w:hAnsi="Times New Roman"/>
          <w:sz w:val="21"/>
          <w:szCs w:val="21"/>
          <w:u w:val="single" w:color="auto"/>
          <w:color w:val="auto"/>
        </w:rPr>
        <w:t>Section 10.01</w:t>
      </w:r>
      <w:r>
        <w:rPr>
          <w:rFonts w:ascii="Times New Roman" w:cs="Times New Roman" w:eastAsia="Times New Roman" w:hAnsi="Times New Roman"/>
          <w:sz w:val="21"/>
          <w:szCs w:val="21"/>
          <w:color w:val="auto"/>
        </w:rPr>
        <w:t xml:space="preserve"> shall not be deemed to constitute gross negligence or willful misconduct for purposes of such proviso. The obligations of the Lenders under this </w:t>
      </w:r>
      <w:r>
        <w:rPr>
          <w:rFonts w:ascii="Times New Roman" w:cs="Times New Roman" w:eastAsia="Times New Roman" w:hAnsi="Times New Roman"/>
          <w:sz w:val="21"/>
          <w:szCs w:val="21"/>
          <w:u w:val="single" w:color="auto"/>
          <w:color w:val="auto"/>
        </w:rPr>
        <w:t>subsection</w:t>
      </w:r>
    </w:p>
    <w:p>
      <w:pPr>
        <w:spacing w:after="0" w:line="1" w:lineRule="exact"/>
        <w:rPr>
          <w:sz w:val="20"/>
          <w:szCs w:val="20"/>
          <w:color w:val="auto"/>
        </w:rPr>
      </w:pPr>
    </w:p>
    <w:p>
      <w:pPr>
        <w:ind w:left="300" w:hanging="294"/>
        <w:spacing w:after="0"/>
        <w:tabs>
          <w:tab w:leader="none" w:pos="300" w:val="left"/>
        </w:tabs>
        <w:numPr>
          <w:ilvl w:val="0"/>
          <w:numId w:val="311"/>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color w:val="auto"/>
        </w:rPr>
        <w:t xml:space="preserve">are subject to the provisions of </w:t>
      </w:r>
      <w:r>
        <w:rPr>
          <w:rFonts w:ascii="Times New Roman" w:cs="Times New Roman" w:eastAsia="Times New Roman" w:hAnsi="Times New Roman"/>
          <w:sz w:val="21"/>
          <w:szCs w:val="21"/>
          <w:u w:val="single" w:color="auto"/>
          <w:color w:val="auto"/>
        </w:rPr>
        <w:t>Section 2.12(e</w:t>
      </w:r>
      <w:r>
        <w:rPr>
          <w:rFonts w:ascii="Times New Roman" w:cs="Times New Roman" w:eastAsia="Times New Roman" w:hAnsi="Times New Roman"/>
          <w:sz w:val="21"/>
          <w:szCs w:val="21"/>
          <w:color w:val="auto"/>
        </w:rPr>
        <w:t>).</w:t>
      </w:r>
    </w:p>
    <w:p>
      <w:pPr>
        <w:spacing w:after="0" w:line="156" w:lineRule="exact"/>
        <w:rPr>
          <w:rFonts w:ascii="Times New Roman" w:cs="Times New Roman" w:eastAsia="Times New Roman" w:hAnsi="Times New Roman"/>
          <w:sz w:val="21"/>
          <w:szCs w:val="21"/>
          <w:u w:val="single" w:color="auto"/>
          <w:color w:val="auto"/>
        </w:rPr>
      </w:pPr>
    </w:p>
    <w:p>
      <w:pPr>
        <w:jc w:val="both"/>
        <w:ind w:firstLine="1278"/>
        <w:spacing w:after="0" w:line="216" w:lineRule="auto"/>
        <w:tabs>
          <w:tab w:leader="none" w:pos="1903" w:val="left"/>
        </w:tabs>
        <w:numPr>
          <w:ilvl w:val="1"/>
          <w:numId w:val="3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Waiver of Consequential Damages</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Etc</w:t>
      </w:r>
      <w:r>
        <w:rPr>
          <w:rFonts w:ascii="Times New Roman" w:cs="Times New Roman" w:eastAsia="Times New Roman" w:hAnsi="Times New Roman"/>
          <w:sz w:val="21"/>
          <w:szCs w:val="21"/>
          <w:color w:val="auto"/>
        </w:rPr>
        <w:t>. To the fullest extent permitted by applicable law, the Borrower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waives and releases, and hereby waives, any claim against the Administrative Agent (and any sub-agent thereof), any Lender, any L/C Issuer or their respective affiliates or their or their respective affiliates’ officers, directors, employees, advisors and agents (each, a “</w:t>
      </w:r>
      <w:r>
        <w:rPr>
          <w:rFonts w:ascii="Times New Roman" w:cs="Times New Roman" w:eastAsia="Times New Roman" w:hAnsi="Times New Roman"/>
          <w:sz w:val="21"/>
          <w:szCs w:val="21"/>
          <w:b w:val="1"/>
          <w:bCs w:val="1"/>
          <w:u w:val="single" w:color="auto"/>
          <w:color w:val="auto"/>
        </w:rPr>
        <w:t>Lender Related Person</w:t>
      </w:r>
      <w:r>
        <w:rPr>
          <w:rFonts w:ascii="Times New Roman" w:cs="Times New Roman" w:eastAsia="Times New Roman" w:hAnsi="Times New Roman"/>
          <w:sz w:val="21"/>
          <w:szCs w:val="21"/>
          <w:color w:val="auto"/>
        </w:rPr>
        <w:t>”) ,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Lender Related Person shall be liable for any damages arising from the use by unintended recipients of any information or other materials distributed to such unintended recipients by such Lender Related Person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Lender Related Person as determined by a final and nonappealable judgment of a court of competent jurisdiction.</w:t>
      </w:r>
    </w:p>
    <w:p>
      <w:pPr>
        <w:spacing w:after="0" w:line="144" w:lineRule="exact"/>
        <w:rPr>
          <w:rFonts w:ascii="Times New Roman" w:cs="Times New Roman" w:eastAsia="Times New Roman" w:hAnsi="Times New Roman"/>
          <w:sz w:val="21"/>
          <w:szCs w:val="21"/>
          <w:color w:val="auto"/>
        </w:rPr>
      </w:pPr>
    </w:p>
    <w:p>
      <w:pPr>
        <w:ind w:left="1920" w:hanging="642"/>
        <w:spacing w:after="0"/>
        <w:tabs>
          <w:tab w:leader="none" w:pos="1920" w:val="left"/>
        </w:tabs>
        <w:numPr>
          <w:ilvl w:val="1"/>
          <w:numId w:val="3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Payments</w:t>
      </w:r>
      <w:r>
        <w:rPr>
          <w:rFonts w:ascii="Times New Roman" w:cs="Times New Roman" w:eastAsia="Times New Roman" w:hAnsi="Times New Roman"/>
          <w:sz w:val="21"/>
          <w:szCs w:val="21"/>
          <w:color w:val="auto"/>
        </w:rPr>
        <w:t>. All amounts due under this Section shall be payable not later than ten Business Days after demand</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therefor.</w:t>
      </w:r>
    </w:p>
    <w:p>
      <w:pPr>
        <w:spacing w:after="0" w:line="154" w:lineRule="exact"/>
        <w:rPr>
          <w:rFonts w:ascii="Times New Roman" w:cs="Times New Roman" w:eastAsia="Times New Roman" w:hAnsi="Times New Roman"/>
          <w:sz w:val="21"/>
          <w:szCs w:val="21"/>
          <w:color w:val="auto"/>
        </w:rPr>
      </w:pPr>
    </w:p>
    <w:p>
      <w:pPr>
        <w:jc w:val="both"/>
        <w:ind w:firstLine="1278"/>
        <w:spacing w:after="0" w:line="227" w:lineRule="auto"/>
        <w:tabs>
          <w:tab w:leader="none" w:pos="1908" w:val="left"/>
        </w:tabs>
        <w:numPr>
          <w:ilvl w:val="1"/>
          <w:numId w:val="3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Survival</w:t>
      </w:r>
      <w:r>
        <w:rPr>
          <w:rFonts w:ascii="Times New Roman" w:cs="Times New Roman" w:eastAsia="Times New Roman" w:hAnsi="Times New Roman"/>
          <w:sz w:val="21"/>
          <w:szCs w:val="21"/>
          <w:color w:val="auto"/>
        </w:rPr>
        <w:t>. The agreements in this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u w:val="single" w:color="auto"/>
          <w:color w:val="auto"/>
        </w:rPr>
        <w:t>Section 10.04</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shall survive the resignation of the Administrative Agent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b w:val="1"/>
          <w:bCs w:val="1"/>
          <w:color w:val="0000FF"/>
        </w:rPr>
        <w:t>any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b w:val="1"/>
          <w:bCs w:val="1"/>
          <w:u w:val="single" w:color="auto"/>
          <w:color w:val="0000FF"/>
        </w:rPr>
        <w:t>Arranger</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and any L/C Issuer, the replacement of the Administrative Agent,</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b w:val="1"/>
          <w:bCs w:val="1"/>
          <w:u w:val="single" w:color="auto"/>
          <w:color w:val="0000FF"/>
        </w:rPr>
        <w:t>any Arranger,</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any Lender or any L/C Issuer, the</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termination of the Aggregate Commitments, the repayment, satisfaction or discharge of all the other Obligations and the termination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6882130</wp:posOffset>
            </wp:positionH>
            <wp:positionV relativeFrom="paragraph">
              <wp:posOffset>-433070</wp:posOffset>
            </wp:positionV>
            <wp:extent cx="25146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8">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1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Section 10.05 </w:t>
      </w:r>
      <w:r>
        <w:rPr>
          <w:rFonts w:ascii="Times New Roman" w:cs="Times New Roman" w:eastAsia="Times New Roman" w:hAnsi="Times New Roman"/>
          <w:sz w:val="21"/>
          <w:szCs w:val="21"/>
          <w:i w:val="1"/>
          <w:iCs w:val="1"/>
          <w:color w:val="auto"/>
        </w:rPr>
        <w:t>Payments Set Aside</w:t>
      </w:r>
    </w:p>
    <w:p>
      <w:pPr>
        <w:spacing w:after="0" w:line="211" w:lineRule="exact"/>
        <w:rPr>
          <w:sz w:val="20"/>
          <w:szCs w:val="20"/>
          <w:color w:val="auto"/>
        </w:rPr>
      </w:pPr>
    </w:p>
    <w:p>
      <w:pPr>
        <w:jc w:val="both"/>
        <w:ind w:firstLine="642"/>
        <w:spacing w:after="0" w:line="257" w:lineRule="auto"/>
        <w:tabs>
          <w:tab w:leader="none" w:pos="742" w:val="left"/>
        </w:tabs>
        <w:numPr>
          <w:ilvl w:val="0"/>
          <w:numId w:val="3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the extent that any payment by or on behalf of the Borrower is made to the Administrative Agent, any L/C Issuer or any Lender, or the Administrative Agent, any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such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L/C Issuer severally agrees to pay to the Administrative Agent upon demand its applicable share (without duplication) of any amount so recovered from or repaid by the Administrative Agent,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interest thereon from the date of such demand to the date such payment is made at a rate per annum equal to the Federal Funds Effective Rate from time to time in effect. The obligations of the Lenders and the L/C Issuers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177</w:t>
      </w:r>
    </w:p>
    <w:p>
      <w:pPr>
        <w:sectPr>
          <w:pgSz w:w="11900" w:h="16838" w:orient="portrait"/>
          <w:cols w:equalWidth="0" w:num="1">
            <w:col w:w="11240"/>
          </w:cols>
          <w:pgMar w:left="320" w:top="1367" w:right="339" w:bottom="1440" w:gutter="0" w:footer="0" w:header="0"/>
        </w:sectPr>
      </w:pPr>
    </w:p>
    <w:bookmarkStart w:id="283" w:name="page284"/>
    <w:bookmarkEnd w:id="283"/>
    <w:p>
      <w:pPr>
        <w:spacing w:after="0" w:line="285" w:lineRule="auto"/>
        <w:rPr>
          <w:sz w:val="20"/>
          <w:szCs w:val="20"/>
          <w:color w:val="auto"/>
        </w:rPr>
      </w:pPr>
      <w:r>
        <w:rPr>
          <w:rFonts w:ascii="Times New Roman" w:cs="Times New Roman" w:eastAsia="Times New Roman" w:hAnsi="Times New Roman"/>
          <w:sz w:val="21"/>
          <w:szCs w:val="21"/>
          <w:color w:val="auto"/>
        </w:rPr>
        <w:t xml:space="preserve">under </w:t>
      </w:r>
      <w:r>
        <w:rPr>
          <w:rFonts w:ascii="Times New Roman" w:cs="Times New Roman" w:eastAsia="Times New Roman" w:hAnsi="Times New Roman"/>
          <w:sz w:val="21"/>
          <w:szCs w:val="21"/>
          <w:u w:val="single" w:color="auto"/>
          <w:color w:val="auto"/>
        </w:rPr>
        <w:t>clause (b)</w:t>
      </w:r>
      <w:r>
        <w:rPr>
          <w:rFonts w:ascii="Times New Roman" w:cs="Times New Roman" w:eastAsia="Times New Roman" w:hAnsi="Times New Roman"/>
          <w:sz w:val="21"/>
          <w:szCs w:val="21"/>
          <w:color w:val="auto"/>
        </w:rPr>
        <w:t xml:space="preserve"> of the preceding sentence shall survive the payment in full of the Obligations, the termination of the Commitments and the termination of this Agreement.</w:t>
      </w:r>
    </w:p>
    <w:p>
      <w:pPr>
        <w:spacing w:after="0" w:line="1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Section 10.06 </w:t>
      </w:r>
      <w:r>
        <w:rPr>
          <w:rFonts w:ascii="Times New Roman" w:cs="Times New Roman" w:eastAsia="Times New Roman" w:hAnsi="Times New Roman"/>
          <w:sz w:val="21"/>
          <w:szCs w:val="21"/>
          <w:i w:val="1"/>
          <w:iCs w:val="1"/>
          <w:color w:val="auto"/>
        </w:rPr>
        <w:t>Successors and Assigns</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p>
    <w:p>
      <w:pPr>
        <w:spacing w:after="0" w:line="207" w:lineRule="exact"/>
        <w:rPr>
          <w:sz w:val="20"/>
          <w:szCs w:val="20"/>
          <w:color w:val="auto"/>
        </w:rPr>
      </w:pPr>
    </w:p>
    <w:p>
      <w:pPr>
        <w:jc w:val="both"/>
        <w:ind w:firstLine="1278"/>
        <w:spacing w:after="0" w:line="216" w:lineRule="auto"/>
        <w:tabs>
          <w:tab w:leader="none" w:pos="1905" w:val="left"/>
        </w:tabs>
        <w:numPr>
          <w:ilvl w:val="0"/>
          <w:numId w:val="3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Successors and Assigns Generally</w:t>
      </w:r>
      <w:r>
        <w:rPr>
          <w:rFonts w:ascii="Times New Roman" w:cs="Times New Roman" w:eastAsia="Times New Roman" w:hAnsi="Times New Roman"/>
          <w:sz w:val="21"/>
          <w:szCs w:val="21"/>
          <w:color w:val="auto"/>
        </w:rPr>
        <w:t>. The provisions of this Agreement shall be binding upon and inure to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benefit of the parties hereto and their respective successors and assigns permitted hereby, except that (x) the Borrower may not assign or otherwise transfer any of its rights or obligations hereunder without the prior written consent of the Administrative Agent and each Lender and (y) no Lender may assign or otherwise transfer any of its rights or obligations hereunder except (i) to an assignee in accordance with the provisions of </w:t>
      </w:r>
      <w:r>
        <w:rPr>
          <w:rFonts w:ascii="Times New Roman" w:cs="Times New Roman" w:eastAsia="Times New Roman" w:hAnsi="Times New Roman"/>
          <w:sz w:val="21"/>
          <w:szCs w:val="21"/>
          <w:u w:val="single" w:color="auto"/>
          <w:color w:val="auto"/>
        </w:rPr>
        <w:t>subsection (b)</w:t>
      </w:r>
      <w:r>
        <w:rPr>
          <w:rFonts w:ascii="Times New Roman" w:cs="Times New Roman" w:eastAsia="Times New Roman" w:hAnsi="Times New Roman"/>
          <w:sz w:val="21"/>
          <w:szCs w:val="21"/>
          <w:color w:val="auto"/>
        </w:rPr>
        <w:t xml:space="preserve"> of this Section, (ii) by way of participation in accordance with the provisions of </w:t>
      </w:r>
      <w:r>
        <w:rPr>
          <w:rFonts w:ascii="Times New Roman" w:cs="Times New Roman" w:eastAsia="Times New Roman" w:hAnsi="Times New Roman"/>
          <w:sz w:val="21"/>
          <w:szCs w:val="21"/>
          <w:u w:val="single" w:color="auto"/>
          <w:color w:val="auto"/>
        </w:rPr>
        <w:t>subsection (d)</w:t>
      </w:r>
      <w:r>
        <w:rPr>
          <w:rFonts w:ascii="Times New Roman" w:cs="Times New Roman" w:eastAsia="Times New Roman" w:hAnsi="Times New Roman"/>
          <w:sz w:val="21"/>
          <w:szCs w:val="21"/>
          <w:color w:val="auto"/>
        </w:rPr>
        <w:t xml:space="preserve"> of this Section or (iii) by way of pledge or assignment of a security interest subject to the restrictions of </w:t>
      </w:r>
      <w:r>
        <w:rPr>
          <w:rFonts w:ascii="Times New Roman" w:cs="Times New Roman" w:eastAsia="Times New Roman" w:hAnsi="Times New Roman"/>
          <w:sz w:val="21"/>
          <w:szCs w:val="21"/>
          <w:u w:val="single" w:color="auto"/>
          <w:color w:val="auto"/>
        </w:rPr>
        <w:t>subsection (f)</w:t>
      </w:r>
      <w:r>
        <w:rPr>
          <w:rFonts w:ascii="Times New Roman" w:cs="Times New Roman" w:eastAsia="Times New Roman" w:hAnsi="Times New Roman"/>
          <w:sz w:val="21"/>
          <w:szCs w:val="21"/>
          <w:color w:val="auto"/>
        </w:rPr>
        <w:t xml:space="preserve"> of this Section (and any other attempted assignment or transfer by the Borrower shall be null and void). Nothing in this Agreement, expressed or implied, shall be construed to confer upon any Person (other than the parties hereto, their respective successors and assigns permitted hereby, Participants to the extent provided in </w:t>
      </w:r>
      <w:r>
        <w:rPr>
          <w:rFonts w:ascii="Times New Roman" w:cs="Times New Roman" w:eastAsia="Times New Roman" w:hAnsi="Times New Roman"/>
          <w:sz w:val="21"/>
          <w:szCs w:val="21"/>
          <w:u w:val="single" w:color="auto"/>
          <w:color w:val="auto"/>
        </w:rPr>
        <w:t>subsection (d)</w:t>
      </w:r>
      <w:r>
        <w:rPr>
          <w:rFonts w:ascii="Times New Roman" w:cs="Times New Roman" w:eastAsia="Times New Roman" w:hAnsi="Times New Roman"/>
          <w:sz w:val="21"/>
          <w:szCs w:val="21"/>
          <w:color w:val="auto"/>
        </w:rPr>
        <w:t xml:space="preserve"> of this Section and, to the extent expressly contemplated hereby, the Indemnitees and the Related Parties of each of the Administrative Agent, the L/C Issuers and the Lenders) any legal or equitable right, remedy or claim under or by reason of this Agreement.</w:t>
      </w:r>
    </w:p>
    <w:p>
      <w:pPr>
        <w:spacing w:after="0" w:line="153" w:lineRule="exact"/>
        <w:rPr>
          <w:rFonts w:ascii="Times New Roman" w:cs="Times New Roman" w:eastAsia="Times New Roman" w:hAnsi="Times New Roman"/>
          <w:sz w:val="21"/>
          <w:szCs w:val="21"/>
          <w:color w:val="auto"/>
        </w:rPr>
      </w:pPr>
    </w:p>
    <w:p>
      <w:pPr>
        <w:jc w:val="both"/>
        <w:ind w:firstLine="1278"/>
        <w:spacing w:after="0" w:line="227" w:lineRule="auto"/>
        <w:tabs>
          <w:tab w:leader="none" w:pos="1903" w:val="left"/>
        </w:tabs>
        <w:numPr>
          <w:ilvl w:val="0"/>
          <w:numId w:val="3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Assignments by Lenders</w:t>
      </w:r>
      <w:r>
        <w:rPr>
          <w:rFonts w:ascii="Times New Roman" w:cs="Times New Roman" w:eastAsia="Times New Roman" w:hAnsi="Times New Roman"/>
          <w:sz w:val="21"/>
          <w:szCs w:val="21"/>
          <w:color w:val="auto"/>
        </w:rPr>
        <w:t>. Any Lender may at any time assign to one or more assignees all or a portion of its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rights and obligations under this Agreement (including all or a portion of its Commitment and the Loans (including for purposes of this </w:t>
      </w:r>
      <w:r>
        <w:rPr>
          <w:rFonts w:ascii="Times New Roman" w:cs="Times New Roman" w:eastAsia="Times New Roman" w:hAnsi="Times New Roman"/>
          <w:sz w:val="21"/>
          <w:szCs w:val="21"/>
          <w:u w:val="single" w:color="auto"/>
          <w:color w:val="auto"/>
        </w:rPr>
        <w:t>subsection (b)</w:t>
      </w:r>
      <w:r>
        <w:rPr>
          <w:rFonts w:ascii="Times New Roman" w:cs="Times New Roman" w:eastAsia="Times New Roman" w:hAnsi="Times New Roman"/>
          <w:sz w:val="21"/>
          <w:szCs w:val="21"/>
          <w:color w:val="auto"/>
        </w:rPr>
        <w:t xml:space="preserve">, participations in L/C Obligations) at the time owing to it);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any such assignment shall be subject to the following conditions:</w:t>
      </w:r>
    </w:p>
    <w:p>
      <w:pPr>
        <w:spacing w:after="0" w:line="146" w:lineRule="exact"/>
        <w:rPr>
          <w:rFonts w:ascii="Times New Roman" w:cs="Times New Roman" w:eastAsia="Times New Roman" w:hAnsi="Times New Roman"/>
          <w:sz w:val="21"/>
          <w:szCs w:val="21"/>
          <w:color w:val="auto"/>
        </w:rPr>
      </w:pPr>
    </w:p>
    <w:p>
      <w:pPr>
        <w:ind w:left="2540" w:hanging="626"/>
        <w:spacing w:after="0"/>
        <w:tabs>
          <w:tab w:leader="none" w:pos="2540" w:val="left"/>
        </w:tabs>
        <w:numPr>
          <w:ilvl w:val="1"/>
          <w:numId w:val="3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Minimum Amounts</w:t>
      </w:r>
      <w:r>
        <w:rPr>
          <w:rFonts w:ascii="Times New Roman" w:cs="Times New Roman" w:eastAsia="Times New Roman" w:hAnsi="Times New Roman"/>
          <w:sz w:val="21"/>
          <w:szCs w:val="21"/>
          <w:color w:val="auto"/>
        </w:rPr>
        <w:t>.</w:t>
      </w:r>
    </w:p>
    <w:p>
      <w:pPr>
        <w:spacing w:after="0" w:line="184" w:lineRule="exact"/>
        <w:rPr>
          <w:rFonts w:ascii="Times New Roman" w:cs="Times New Roman" w:eastAsia="Times New Roman" w:hAnsi="Times New Roman"/>
          <w:sz w:val="21"/>
          <w:szCs w:val="21"/>
          <w:color w:val="auto"/>
        </w:rPr>
      </w:pPr>
    </w:p>
    <w:p>
      <w:pPr>
        <w:jc w:val="both"/>
        <w:ind w:left="1280" w:firstLine="1143"/>
        <w:spacing w:after="0" w:line="232" w:lineRule="auto"/>
        <w:tabs>
          <w:tab w:leader="none" w:pos="3184" w:val="left"/>
        </w:tabs>
        <w:numPr>
          <w:ilvl w:val="2"/>
          <w:numId w:val="313"/>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In the case of an assignment of the entire remaining amount of the assigning Lender’s Commitment under any Facility and the Loans at the time owing to it under such Facility, no minimum amount need be assigned; and</w:t>
      </w:r>
    </w:p>
    <w:p>
      <w:pPr>
        <w:spacing w:after="0" w:line="147" w:lineRule="exact"/>
        <w:rPr>
          <w:rFonts w:ascii="Times New Roman" w:cs="Times New Roman" w:eastAsia="Times New Roman" w:hAnsi="Times New Roman"/>
          <w:sz w:val="19"/>
          <w:szCs w:val="19"/>
          <w:color w:val="auto"/>
        </w:rPr>
      </w:pPr>
    </w:p>
    <w:p>
      <w:pPr>
        <w:jc w:val="both"/>
        <w:ind w:left="1280" w:firstLine="1143"/>
        <w:spacing w:after="0" w:line="215" w:lineRule="auto"/>
        <w:tabs>
          <w:tab w:leader="none" w:pos="3187" w:val="left"/>
        </w:tabs>
        <w:numPr>
          <w:ilvl w:val="2"/>
          <w:numId w:val="313"/>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 xml:space="preserve">in any case not described in </w:t>
      </w:r>
      <w:r>
        <w:rPr>
          <w:rFonts w:ascii="Times New Roman" w:cs="Times New Roman" w:eastAsia="Times New Roman" w:hAnsi="Times New Roman"/>
          <w:sz w:val="21"/>
          <w:szCs w:val="21"/>
          <w:u w:val="single" w:color="auto"/>
          <w:color w:val="auto"/>
        </w:rPr>
        <w:t>subsection (b)(i)(A)</w:t>
      </w:r>
      <w:r>
        <w:rPr>
          <w:rFonts w:ascii="Times New Roman" w:cs="Times New Roman" w:eastAsia="Times New Roman" w:hAnsi="Times New Roman"/>
          <w:sz w:val="21"/>
          <w:szCs w:val="21"/>
          <w:color w:val="auto"/>
        </w:rPr>
        <w:t xml:space="preserve"> of this Section, the aggregate amount of the Commitment (which for this purpose includes Loans outstanding thereunder) or, if the Commitment is not then in effect, the principal outstanding balance of the Loans (including such Lender’s participations in L/C Obligations)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(and whole multiples of $1,000,000 in excess thereof), in the case of any assignment in respect of the Revolving Credit Facility, or $1,000,000 (and whole multiples of $1,000,000 in excess thereof), in the case of any assignment in respect of the Term Loans, unless each of the Administrative Agent and, so long as no Event of Default under </w:t>
      </w:r>
      <w:r>
        <w:rPr>
          <w:rFonts w:ascii="Times New Roman" w:cs="Times New Roman" w:eastAsia="Times New Roman" w:hAnsi="Times New Roman"/>
          <w:sz w:val="21"/>
          <w:szCs w:val="21"/>
          <w:u w:val="single" w:color="auto"/>
          <w:color w:val="auto"/>
        </w:rPr>
        <w:t>Sections 8.01(a)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(g)</w:t>
      </w:r>
      <w:r>
        <w:rPr>
          <w:rFonts w:ascii="Times New Roman" w:cs="Times New Roman" w:eastAsia="Times New Roman" w:hAnsi="Times New Roman"/>
          <w:sz w:val="21"/>
          <w:szCs w:val="21"/>
          <w:color w:val="auto"/>
        </w:rPr>
        <w:t xml:space="preserve"> has occurred and is continuing, the Borrower otherwise consents (each such consent not to be unreasonably withheld or delayed);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concurrent assignments to members of an Assignee Group and concurrent assignments from members of an Assignee Group to a single Eligible Assignee (or to an Eligible Assignee and members of its Assignee Group) will be treated as a single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178</w:t>
      </w:r>
    </w:p>
    <w:p>
      <w:pPr>
        <w:sectPr>
          <w:pgSz w:w="11900" w:h="16838" w:orient="portrait"/>
          <w:cols w:equalWidth="0" w:num="1">
            <w:col w:w="11240"/>
          </w:cols>
          <w:pgMar w:left="320" w:top="1397" w:right="339" w:bottom="1440" w:gutter="0" w:footer="0" w:header="0"/>
        </w:sectPr>
      </w:pPr>
    </w:p>
    <w:bookmarkStart w:id="284" w:name="page285"/>
    <w:bookmarkEnd w:id="284"/>
    <w:p>
      <w:pPr>
        <w:ind w:left="160"/>
        <w:spacing w:after="0"/>
        <w:rPr>
          <w:sz w:val="20"/>
          <w:szCs w:val="20"/>
          <w:color w:val="auto"/>
        </w:rPr>
      </w:pPr>
      <w:r>
        <w:rPr>
          <w:rFonts w:ascii="Times New Roman" w:cs="Times New Roman" w:eastAsia="Times New Roman" w:hAnsi="Times New Roman"/>
          <w:sz w:val="21"/>
          <w:szCs w:val="21"/>
          <w:color w:val="auto"/>
        </w:rPr>
        <w:t>assignment for purposes of determining whether such minimum amount has been met.</w:t>
      </w:r>
    </w:p>
    <w:p>
      <w:pPr>
        <w:spacing w:after="0" w:line="181" w:lineRule="exact"/>
        <w:rPr>
          <w:sz w:val="20"/>
          <w:szCs w:val="20"/>
          <w:color w:val="auto"/>
        </w:rPr>
      </w:pPr>
    </w:p>
    <w:p>
      <w:pPr>
        <w:jc w:val="both"/>
        <w:ind w:left="-480" w:firstLine="1274"/>
        <w:spacing w:after="0" w:line="227" w:lineRule="auto"/>
        <w:tabs>
          <w:tab w:leader="none" w:pos="1422" w:val="left"/>
        </w:tabs>
        <w:numPr>
          <w:ilvl w:val="0"/>
          <w:numId w:val="3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Proportionate Amounts</w:t>
      </w:r>
      <w:r>
        <w:rPr>
          <w:rFonts w:ascii="Times New Roman" w:cs="Times New Roman" w:eastAsia="Times New Roman" w:hAnsi="Times New Roman"/>
          <w:sz w:val="21"/>
          <w:szCs w:val="21"/>
          <w:color w:val="auto"/>
        </w:rPr>
        <w:t>. Each partial assignment shall be made as an assignment of a proportionate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part of all the assigning Lender’s rights and obligations under this Agreement with respect to the Loans or the Commitment assigned, except that this </w:t>
      </w:r>
      <w:r>
        <w:rPr>
          <w:rFonts w:ascii="Times New Roman" w:cs="Times New Roman" w:eastAsia="Times New Roman" w:hAnsi="Times New Roman"/>
          <w:sz w:val="21"/>
          <w:szCs w:val="21"/>
          <w:u w:val="single" w:color="auto"/>
          <w:color w:val="auto"/>
        </w:rPr>
        <w:t>clause (ii)</w:t>
      </w:r>
      <w:r>
        <w:rPr>
          <w:rFonts w:ascii="Times New Roman" w:cs="Times New Roman" w:eastAsia="Times New Roman" w:hAnsi="Times New Roman"/>
          <w:sz w:val="21"/>
          <w:szCs w:val="21"/>
          <w:color w:val="auto"/>
        </w:rPr>
        <w:t xml:space="preserve"> shall not prohibit any Lender from assigning all or a portion of its rights and obligations among separate Facilities on a non-pro rata basis.</w:t>
      </w:r>
    </w:p>
    <w:p>
      <w:pPr>
        <w:spacing w:after="0" w:line="146" w:lineRule="exact"/>
        <w:rPr>
          <w:rFonts w:ascii="Times New Roman" w:cs="Times New Roman" w:eastAsia="Times New Roman" w:hAnsi="Times New Roman"/>
          <w:sz w:val="21"/>
          <w:szCs w:val="21"/>
          <w:color w:val="auto"/>
        </w:rPr>
      </w:pPr>
    </w:p>
    <w:p>
      <w:pPr>
        <w:ind w:left="-480" w:firstLine="1274"/>
        <w:spacing w:after="0" w:line="247" w:lineRule="auto"/>
        <w:tabs>
          <w:tab w:leader="none" w:pos="1428" w:val="left"/>
        </w:tabs>
        <w:numPr>
          <w:ilvl w:val="0"/>
          <w:numId w:val="3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Required Consents</w:t>
      </w:r>
      <w:r>
        <w:rPr>
          <w:rFonts w:ascii="Times New Roman" w:cs="Times New Roman" w:eastAsia="Times New Roman" w:hAnsi="Times New Roman"/>
          <w:sz w:val="21"/>
          <w:szCs w:val="21"/>
          <w:color w:val="auto"/>
        </w:rPr>
        <w:t>. No consent shall be required for any assignment except to the extent required by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u w:val="single" w:color="auto"/>
          <w:color w:val="auto"/>
        </w:rPr>
        <w:t>subsection (b)(i)(B)</w:t>
      </w:r>
      <w:r>
        <w:rPr>
          <w:rFonts w:ascii="Times New Roman" w:cs="Times New Roman" w:eastAsia="Times New Roman" w:hAnsi="Times New Roman"/>
          <w:sz w:val="21"/>
          <w:szCs w:val="21"/>
          <w:color w:val="auto"/>
        </w:rPr>
        <w:t xml:space="preserve"> of this Section and, in addition:</w:t>
      </w:r>
    </w:p>
    <w:p>
      <w:pPr>
        <w:spacing w:after="0" w:line="140" w:lineRule="exact"/>
        <w:rPr>
          <w:rFonts w:ascii="Times New Roman" w:cs="Times New Roman" w:eastAsia="Times New Roman" w:hAnsi="Times New Roman"/>
          <w:sz w:val="21"/>
          <w:szCs w:val="21"/>
          <w:color w:val="auto"/>
        </w:rPr>
      </w:pPr>
    </w:p>
    <w:p>
      <w:pPr>
        <w:jc w:val="both"/>
        <w:ind w:left="160" w:firstLine="1143"/>
        <w:spacing w:after="0" w:line="219" w:lineRule="auto"/>
        <w:tabs>
          <w:tab w:leader="none" w:pos="2064" w:val="left"/>
        </w:tabs>
        <w:numPr>
          <w:ilvl w:val="1"/>
          <w:numId w:val="314"/>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 xml:space="preserve">the consent of the Borrower (such consent not to be unreasonably withheld or delayed) shall be required unless (1) an Event of Default under </w:t>
      </w:r>
      <w:r>
        <w:rPr>
          <w:rFonts w:ascii="Times New Roman" w:cs="Times New Roman" w:eastAsia="Times New Roman" w:hAnsi="Times New Roman"/>
          <w:sz w:val="21"/>
          <w:szCs w:val="21"/>
          <w:u w:val="single" w:color="auto"/>
          <w:color w:val="auto"/>
        </w:rPr>
        <w:t>Sections 8.01(a)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(g)</w:t>
      </w:r>
      <w:r>
        <w:rPr>
          <w:rFonts w:ascii="Times New Roman" w:cs="Times New Roman" w:eastAsia="Times New Roman" w:hAnsi="Times New Roman"/>
          <w:sz w:val="21"/>
          <w:szCs w:val="21"/>
          <w:color w:val="auto"/>
        </w:rPr>
        <w:t xml:space="preserve"> has occurred and is continuing at the time of such assignment or (2) such assignment is to a Lender, an Affiliate of a Lender or an Approved Fund; </w:t>
      </w: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21"/>
          <w:szCs w:val="21"/>
          <w:color w:val="auto"/>
        </w:rPr>
        <w:t>that the Borrower shall be deemed to have consented to any such assignment unless it shall object thereto</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by written notice to the Administrative Agent within five (5) Business Days after having received notice thereof in the case of assignments of any Term Loans and ten (10) Business Days after having received notice thereof in the case of assignments of the Revolving Credit Facility;</w:t>
      </w:r>
    </w:p>
    <w:p>
      <w:pPr>
        <w:spacing w:after="0" w:line="153" w:lineRule="exact"/>
        <w:rPr>
          <w:rFonts w:ascii="Times New Roman" w:cs="Times New Roman" w:eastAsia="Times New Roman" w:hAnsi="Times New Roman"/>
          <w:sz w:val="19"/>
          <w:szCs w:val="19"/>
          <w:color w:val="auto"/>
        </w:rPr>
      </w:pPr>
    </w:p>
    <w:p>
      <w:pPr>
        <w:jc w:val="both"/>
        <w:ind w:left="160" w:firstLine="1143"/>
        <w:spacing w:after="0" w:line="223" w:lineRule="auto"/>
        <w:tabs>
          <w:tab w:leader="none" w:pos="2067" w:val="left"/>
        </w:tabs>
        <w:numPr>
          <w:ilvl w:val="1"/>
          <w:numId w:val="314"/>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the consent of the Administrative Agent (such consent not to be unreasonably withheld or delayed) shall be required for assignments in respect of (1) any Commitment if such assignment is to a Person that is not a Lender with a Commitment in respect of the applicable Facility, an Affiliate of such Lender or an Approved Fund with respect to such Lender or (2) any Term Loan to a Person that is not a Lender, an Affiliate of a Lender or an Approved Fund; and</w:t>
      </w:r>
    </w:p>
    <w:p>
      <w:pPr>
        <w:spacing w:after="0" w:line="150" w:lineRule="exact"/>
        <w:rPr>
          <w:rFonts w:ascii="Times New Roman" w:cs="Times New Roman" w:eastAsia="Times New Roman" w:hAnsi="Times New Roman"/>
          <w:sz w:val="19"/>
          <w:szCs w:val="19"/>
          <w:color w:val="auto"/>
        </w:rPr>
      </w:pPr>
    </w:p>
    <w:p>
      <w:pPr>
        <w:ind w:left="160" w:firstLine="1143"/>
        <w:spacing w:after="0" w:line="245" w:lineRule="auto"/>
        <w:tabs>
          <w:tab w:leader="none" w:pos="2067" w:val="left"/>
        </w:tabs>
        <w:numPr>
          <w:ilvl w:val="1"/>
          <w:numId w:val="314"/>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the consent of the L/C Issuers (each such consent not to be unreasonably withheld or delayed) shall be required for any assignment in respect of any Revolving Credit Facility.</w:t>
      </w:r>
    </w:p>
    <w:p>
      <w:pPr>
        <w:spacing w:after="0" w:line="140" w:lineRule="exact"/>
        <w:rPr>
          <w:rFonts w:ascii="Times New Roman" w:cs="Times New Roman" w:eastAsia="Times New Roman" w:hAnsi="Times New Roman"/>
          <w:sz w:val="19"/>
          <w:szCs w:val="19"/>
          <w:color w:val="auto"/>
        </w:rPr>
      </w:pPr>
    </w:p>
    <w:p>
      <w:pPr>
        <w:jc w:val="both"/>
        <w:ind w:left="-480" w:firstLine="1274"/>
        <w:spacing w:after="0" w:line="223" w:lineRule="auto"/>
        <w:tabs>
          <w:tab w:leader="none" w:pos="1416" w:val="left"/>
        </w:tabs>
        <w:numPr>
          <w:ilvl w:val="0"/>
          <w:numId w:val="3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Assignment and Assumption</w:t>
      </w:r>
      <w:r>
        <w:rPr>
          <w:rFonts w:ascii="Times New Roman" w:cs="Times New Roman" w:eastAsia="Times New Roman" w:hAnsi="Times New Roman"/>
          <w:sz w:val="21"/>
          <w:szCs w:val="21"/>
          <w:color w:val="auto"/>
        </w:rPr>
        <w:t>. The parties to each assignment shall execute and deliver to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Administrative Agent an Assignment and Assumption, together with a processing and recordation fee in the amount of $3,500;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150" w:lineRule="exact"/>
        <w:rPr>
          <w:rFonts w:ascii="Times New Roman" w:cs="Times New Roman" w:eastAsia="Times New Roman" w:hAnsi="Times New Roman"/>
          <w:sz w:val="21"/>
          <w:szCs w:val="21"/>
          <w:color w:val="auto"/>
        </w:rPr>
      </w:pPr>
    </w:p>
    <w:p>
      <w:pPr>
        <w:jc w:val="both"/>
        <w:ind w:left="-480" w:firstLine="1274"/>
        <w:spacing w:after="0" w:line="227" w:lineRule="auto"/>
        <w:tabs>
          <w:tab w:leader="none" w:pos="1423" w:val="left"/>
        </w:tabs>
        <w:numPr>
          <w:ilvl w:val="0"/>
          <w:numId w:val="3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No Assignment to Certain Persons</w:t>
      </w:r>
      <w:r>
        <w:rPr>
          <w:rFonts w:ascii="Times New Roman" w:cs="Times New Roman" w:eastAsia="Times New Roman" w:hAnsi="Times New Roman"/>
          <w:sz w:val="21"/>
          <w:szCs w:val="21"/>
          <w:color w:val="auto"/>
        </w:rPr>
        <w:t>. No such assignment shall be made (A) to the Borrower or any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the Borrower’s Affiliates or Subsidiaries, except as provided below in </w:t>
      </w:r>
      <w:r>
        <w:rPr>
          <w:rFonts w:ascii="Times New Roman" w:cs="Times New Roman" w:eastAsia="Times New Roman" w:hAnsi="Times New Roman"/>
          <w:sz w:val="21"/>
          <w:szCs w:val="21"/>
          <w:u w:val="single" w:color="auto"/>
          <w:color w:val="auto"/>
        </w:rPr>
        <w:t>clause (vii)</w:t>
      </w:r>
      <w:r>
        <w:rPr>
          <w:rFonts w:ascii="Times New Roman" w:cs="Times New Roman" w:eastAsia="Times New Roman" w:hAnsi="Times New Roman"/>
          <w:sz w:val="21"/>
          <w:szCs w:val="21"/>
          <w:color w:val="auto"/>
        </w:rPr>
        <w:t xml:space="preserve"> or (B) to a Defaulting Lender, a Disqualified Lender or any Person who, upon becoming a Lender hereunder, would constitute any of the foregoing Persons described in this </w:t>
      </w:r>
      <w:r>
        <w:rPr>
          <w:rFonts w:ascii="Times New Roman" w:cs="Times New Roman" w:eastAsia="Times New Roman" w:hAnsi="Times New Roman"/>
          <w:sz w:val="21"/>
          <w:szCs w:val="21"/>
          <w:u w:val="single" w:color="auto"/>
          <w:color w:val="auto"/>
        </w:rPr>
        <w:t>clause (B)</w:t>
      </w:r>
      <w:r>
        <w:rPr>
          <w:rFonts w:ascii="Times New Roman" w:cs="Times New Roman" w:eastAsia="Times New Roman" w:hAnsi="Times New Roman"/>
          <w:sz w:val="21"/>
          <w:szCs w:val="21"/>
          <w:color w:val="auto"/>
        </w:rPr>
        <w:t>.</w:t>
      </w:r>
    </w:p>
    <w:p>
      <w:pPr>
        <w:spacing w:after="0" w:line="146" w:lineRule="exact"/>
        <w:rPr>
          <w:rFonts w:ascii="Times New Roman" w:cs="Times New Roman" w:eastAsia="Times New Roman" w:hAnsi="Times New Roman"/>
          <w:sz w:val="21"/>
          <w:szCs w:val="21"/>
          <w:color w:val="auto"/>
        </w:rPr>
      </w:pPr>
    </w:p>
    <w:p>
      <w:pPr>
        <w:ind w:left="-480" w:firstLine="1274"/>
        <w:spacing w:after="0" w:line="247" w:lineRule="auto"/>
        <w:tabs>
          <w:tab w:leader="none" w:pos="1416" w:val="left"/>
        </w:tabs>
        <w:numPr>
          <w:ilvl w:val="0"/>
          <w:numId w:val="3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No Assignment to Natural Persons</w:t>
      </w:r>
      <w:r>
        <w:rPr>
          <w:rFonts w:ascii="Times New Roman" w:cs="Times New Roman" w:eastAsia="Times New Roman" w:hAnsi="Times New Roman"/>
          <w:sz w:val="21"/>
          <w:szCs w:val="21"/>
          <w:color w:val="auto"/>
        </w:rPr>
        <w:t>. No such assignment shall be made to a natural person (or a</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holding company, investment vehicle or trust for, or owned and operated for the primary benefit of, a natural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1"/>
          <w:szCs w:val="21"/>
          <w:color w:val="auto"/>
        </w:rPr>
        <w:t>179</w:t>
      </w:r>
    </w:p>
    <w:p>
      <w:pPr>
        <w:sectPr>
          <w:pgSz w:w="11900" w:h="16838" w:orient="portrait"/>
          <w:cols w:equalWidth="0" w:num="1">
            <w:col w:w="10120"/>
          </w:cols>
          <w:pgMar w:left="1440" w:top="1371" w:right="339" w:bottom="1440" w:gutter="0" w:footer="0" w:header="0"/>
        </w:sectPr>
      </w:pPr>
    </w:p>
    <w:bookmarkStart w:id="285" w:name="page286"/>
    <w:bookmarkEnd w:id="285"/>
    <w:p>
      <w:pPr>
        <w:jc w:val="both"/>
        <w:ind w:left="-480" w:firstLine="1274"/>
        <w:spacing w:after="0" w:line="227" w:lineRule="auto"/>
        <w:tabs>
          <w:tab w:leader="none" w:pos="1422" w:val="left"/>
        </w:tabs>
        <w:numPr>
          <w:ilvl w:val="1"/>
          <w:numId w:val="3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Borrower Purchases</w:t>
      </w:r>
      <w:r>
        <w:rPr>
          <w:rFonts w:ascii="Times New Roman" w:cs="Times New Roman" w:eastAsia="Times New Roman" w:hAnsi="Times New Roman"/>
          <w:sz w:val="21"/>
          <w:szCs w:val="21"/>
          <w:color w:val="auto"/>
        </w:rPr>
        <w:t>. Notwithstanding anything to the contrary contained in this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u w:val="single" w:color="auto"/>
          <w:color w:val="auto"/>
        </w:rPr>
        <w:t>Section 10.06</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or any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other provision of this Agreement, so long as no Event of Default under </w:t>
      </w:r>
      <w:r>
        <w:rPr>
          <w:rFonts w:ascii="Times New Roman" w:cs="Times New Roman" w:eastAsia="Times New Roman" w:hAnsi="Times New Roman"/>
          <w:sz w:val="21"/>
          <w:szCs w:val="21"/>
          <w:u w:val="single" w:color="auto"/>
          <w:color w:val="auto"/>
        </w:rPr>
        <w:t>Sections 8.01(a)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(g)</w:t>
      </w:r>
      <w:r>
        <w:rPr>
          <w:rFonts w:ascii="Times New Roman" w:cs="Times New Roman" w:eastAsia="Times New Roman" w:hAnsi="Times New Roman"/>
          <w:sz w:val="21"/>
          <w:szCs w:val="21"/>
          <w:color w:val="auto"/>
        </w:rPr>
        <w:t xml:space="preserve"> has occurred and is continuing or would result therefrom, the Borrower may repurchase outstanding Term Loans of any Facility on the following basis:</w:t>
      </w:r>
    </w:p>
    <w:p>
      <w:pPr>
        <w:spacing w:after="0" w:line="144" w:lineRule="exact"/>
        <w:rPr>
          <w:rFonts w:ascii="Times New Roman" w:cs="Times New Roman" w:eastAsia="Times New Roman" w:hAnsi="Times New Roman"/>
          <w:sz w:val="21"/>
          <w:szCs w:val="21"/>
          <w:color w:val="auto"/>
        </w:rPr>
      </w:pPr>
    </w:p>
    <w:p>
      <w:pPr>
        <w:jc w:val="both"/>
        <w:ind w:left="160" w:firstLine="1143"/>
        <w:spacing w:after="0" w:line="214" w:lineRule="auto"/>
        <w:tabs>
          <w:tab w:leader="none" w:pos="2064" w:val="left"/>
        </w:tabs>
        <w:numPr>
          <w:ilvl w:val="2"/>
          <w:numId w:val="315"/>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the Borrower may conduct one or more auctions (each, an “</w:t>
      </w:r>
      <w:r>
        <w:rPr>
          <w:rFonts w:ascii="Times New Roman" w:cs="Times New Roman" w:eastAsia="Times New Roman" w:hAnsi="Times New Roman"/>
          <w:sz w:val="21"/>
          <w:szCs w:val="21"/>
          <w:b w:val="1"/>
          <w:bCs w:val="1"/>
          <w:color w:val="auto"/>
        </w:rPr>
        <w:t>Auction</w:t>
      </w:r>
      <w:r>
        <w:rPr>
          <w:rFonts w:ascii="Times New Roman" w:cs="Times New Roman" w:eastAsia="Times New Roman" w:hAnsi="Times New Roman"/>
          <w:sz w:val="21"/>
          <w:szCs w:val="21"/>
          <w:color w:val="auto"/>
        </w:rPr>
        <w:t>”) to repurchase all or any portion of the applicable Term Loans of a given Class (such Term Loans, the “</w:t>
      </w:r>
      <w:r>
        <w:rPr>
          <w:rFonts w:ascii="Times New Roman" w:cs="Times New Roman" w:eastAsia="Times New Roman" w:hAnsi="Times New Roman"/>
          <w:sz w:val="21"/>
          <w:szCs w:val="21"/>
          <w:b w:val="1"/>
          <w:bCs w:val="1"/>
          <w:color w:val="auto"/>
        </w:rPr>
        <w:t>Offer Loans</w:t>
      </w:r>
      <w:r>
        <w:rPr>
          <w:rFonts w:ascii="Times New Roman" w:cs="Times New Roman" w:eastAsia="Times New Roman" w:hAnsi="Times New Roman"/>
          <w:sz w:val="21"/>
          <w:szCs w:val="21"/>
          <w:color w:val="auto"/>
        </w:rPr>
        <w:t xml:space="preserve">”) of Term Lenders; </w:t>
      </w: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21"/>
          <w:szCs w:val="21"/>
          <w:color w:val="auto"/>
        </w:rPr>
        <w:t>that (1) the Borrower delivers to the Administrative Agent (for distribution to all Lenders holding Term</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Loans of such Class) a notice of the aggregate principal amount of the Offer Loans that will be subject to such Auction no later than 12:00 p.m. at least five Business Days (or such shorter period as may be agreed to by the Administrative Agent) in advance of a proposed consummation date of such Auction indicating (a) the date on which the Auction will conclude, (b) the maximum principal amount of the Offer Loans the Borrower is willing to purchase in the Auction and (c) the range of discounts to par at which the Borrower would be willing to repurchase the Offer Loans; (2) the minimum dollar amount of the Auction shall be no less than $10,000,000 or whole multiples of $1,000,000 in excess thereof; (3) the Borrower shall hold the Auction open for a minimum period of three Business Days; (4) a Lender who elects to participate in the Auction may choose to tender all or part of such Lender’s Offer Loans; (5) the Auction shall be made to the Lenders holding the Offer Loans (and purchases of Offer Loans held by Lenders who elect to participate shall be made by the Borrower) on a pro rata basis in accordance with the respective principal amount then due and owing to the applicable Term Lenders; and (6) the Auction shall be conducted pursuant to such procedures as the Administrative Agent may establish which are consistent with this </w:t>
      </w:r>
      <w:r>
        <w:rPr>
          <w:rFonts w:ascii="Times New Roman" w:cs="Times New Roman" w:eastAsia="Times New Roman" w:hAnsi="Times New Roman"/>
          <w:sz w:val="21"/>
          <w:szCs w:val="21"/>
          <w:u w:val="single" w:color="auto"/>
          <w:color w:val="auto"/>
        </w:rPr>
        <w:t>Section 10.06</w:t>
      </w:r>
      <w:r>
        <w:rPr>
          <w:rFonts w:ascii="Times New Roman" w:cs="Times New Roman" w:eastAsia="Times New Roman" w:hAnsi="Times New Roman"/>
          <w:sz w:val="21"/>
          <w:szCs w:val="21"/>
          <w:color w:val="auto"/>
        </w:rPr>
        <w:t xml:space="preserve"> and are reasonably acceptable to the Borrower, which procedures must be followed by a Lender in order to have its Offer Loans repurchased;</w:t>
      </w:r>
    </w:p>
    <w:p>
      <w:pPr>
        <w:spacing w:after="0" w:line="159" w:lineRule="exact"/>
        <w:rPr>
          <w:rFonts w:ascii="Times New Roman" w:cs="Times New Roman" w:eastAsia="Times New Roman" w:hAnsi="Times New Roman"/>
          <w:sz w:val="19"/>
          <w:szCs w:val="19"/>
          <w:color w:val="auto"/>
        </w:rPr>
      </w:pPr>
    </w:p>
    <w:p>
      <w:pPr>
        <w:jc w:val="both"/>
        <w:ind w:left="160" w:firstLine="1143"/>
        <w:spacing w:after="0" w:line="221" w:lineRule="auto"/>
        <w:tabs>
          <w:tab w:leader="none" w:pos="2067" w:val="left"/>
        </w:tabs>
        <w:numPr>
          <w:ilvl w:val="2"/>
          <w:numId w:val="315"/>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 xml:space="preserve">with respect to all repurchases made pursuant to this </w:t>
      </w:r>
      <w:r>
        <w:rPr>
          <w:rFonts w:ascii="Times New Roman" w:cs="Times New Roman" w:eastAsia="Times New Roman" w:hAnsi="Times New Roman"/>
          <w:sz w:val="21"/>
          <w:szCs w:val="21"/>
          <w:u w:val="single" w:color="auto"/>
          <w:color w:val="auto"/>
        </w:rPr>
        <w:t>Section 10.06(vii)</w:t>
      </w:r>
      <w:r>
        <w:rPr>
          <w:rFonts w:ascii="Times New Roman" w:cs="Times New Roman" w:eastAsia="Times New Roman" w:hAnsi="Times New Roman"/>
          <w:sz w:val="21"/>
          <w:szCs w:val="21"/>
          <w:color w:val="auto"/>
        </w:rPr>
        <w:t xml:space="preserve">, (1) the Borrower shall pay to the applicable selling Lender all accrued and unpaid interest, if any, on the repurchased Offer Loans to the date of repurchase of such Offer Loans, (2) such repurchases shall not be deemed to be optional prepayments pursuant to </w:t>
      </w:r>
      <w:r>
        <w:rPr>
          <w:rFonts w:ascii="Times New Roman" w:cs="Times New Roman" w:eastAsia="Times New Roman" w:hAnsi="Times New Roman"/>
          <w:sz w:val="21"/>
          <w:szCs w:val="21"/>
          <w:u w:val="single" w:color="auto"/>
          <w:color w:val="auto"/>
        </w:rPr>
        <w:t>Section 2.05(a),</w:t>
      </w:r>
      <w:r>
        <w:rPr>
          <w:rFonts w:ascii="Times New Roman" w:cs="Times New Roman" w:eastAsia="Times New Roman" w:hAnsi="Times New Roman"/>
          <w:sz w:val="21"/>
          <w:szCs w:val="21"/>
          <w:color w:val="auto"/>
        </w:rPr>
        <w:t xml:space="preserve"> (3) the amount of the Loans so repurchased shall be applied on a pro rata basis to reduce the scheduled remaining installments of principal on the Offer Loans, and (4) the purchase consideration for such Auction shall in no event be funded with the proceeds of Revolving Credit Loans; and</w:t>
      </w:r>
    </w:p>
    <w:p>
      <w:pPr>
        <w:spacing w:after="0" w:line="149" w:lineRule="exact"/>
        <w:rPr>
          <w:rFonts w:ascii="Times New Roman" w:cs="Times New Roman" w:eastAsia="Times New Roman" w:hAnsi="Times New Roman"/>
          <w:sz w:val="19"/>
          <w:szCs w:val="19"/>
          <w:color w:val="auto"/>
        </w:rPr>
      </w:pPr>
    </w:p>
    <w:p>
      <w:pPr>
        <w:jc w:val="both"/>
        <w:ind w:left="160" w:firstLine="1143"/>
        <w:spacing w:after="0" w:line="216" w:lineRule="auto"/>
        <w:tabs>
          <w:tab w:leader="none" w:pos="2067" w:val="left"/>
        </w:tabs>
        <w:numPr>
          <w:ilvl w:val="2"/>
          <w:numId w:val="315"/>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 xml:space="preserve">following a repurchase pursuant to this </w:t>
      </w:r>
      <w:r>
        <w:rPr>
          <w:rFonts w:ascii="Times New Roman" w:cs="Times New Roman" w:eastAsia="Times New Roman" w:hAnsi="Times New Roman"/>
          <w:sz w:val="21"/>
          <w:szCs w:val="21"/>
          <w:u w:val="single" w:color="auto"/>
          <w:color w:val="auto"/>
        </w:rPr>
        <w:t>Section 10.06</w:t>
      </w:r>
      <w:r>
        <w:rPr>
          <w:rFonts w:ascii="Times New Roman" w:cs="Times New Roman" w:eastAsia="Times New Roman" w:hAnsi="Times New Roman"/>
          <w:sz w:val="21"/>
          <w:szCs w:val="21"/>
          <w:color w:val="auto"/>
        </w:rPr>
        <w:t>, the Offer Loans so repurchased shall, without further action by any Person, be deemed cancelled for all purposes and no longer outstanding (and may not be resold) for all purposes of this Agreement and all the other Loan Documents, including, but not limited to (1) the making of, or the application of, any payments to the Lenders under this Agreement or any other Loan Document,</w:t>
      </w:r>
    </w:p>
    <w:p>
      <w:pPr>
        <w:spacing w:after="0" w:line="2" w:lineRule="exact"/>
        <w:rPr>
          <w:rFonts w:ascii="Times New Roman" w:cs="Times New Roman" w:eastAsia="Times New Roman" w:hAnsi="Times New Roman"/>
          <w:sz w:val="19"/>
          <w:szCs w:val="19"/>
          <w:color w:val="auto"/>
        </w:rPr>
      </w:pPr>
    </w:p>
    <w:p>
      <w:pPr>
        <w:jc w:val="both"/>
        <w:ind w:left="160" w:hanging="2"/>
        <w:spacing w:after="0" w:line="218" w:lineRule="auto"/>
        <w:tabs>
          <w:tab w:leader="none" w:pos="475" w:val="left"/>
        </w:tabs>
        <w:numPr>
          <w:ilvl w:val="0"/>
          <w:numId w:val="3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making of any request, demand, authorization, direction, notice, consent or waiver under this Agreement or any other Loan Document or (3) the determination of Required Lenders, or for any similar or related purpose, under this Agreement or any other Loan Document. In connection with any Term Loans repurchased and cancelled pursuant to this </w:t>
      </w:r>
      <w:r>
        <w:rPr>
          <w:rFonts w:ascii="Times New Roman" w:cs="Times New Roman" w:eastAsia="Times New Roman" w:hAnsi="Times New Roman"/>
          <w:sz w:val="21"/>
          <w:szCs w:val="21"/>
          <w:u w:val="single" w:color="auto"/>
          <w:color w:val="auto"/>
        </w:rPr>
        <w:t>Section 10.06</w:t>
      </w:r>
      <w:r>
        <w:rPr>
          <w:rFonts w:ascii="Times New Roman" w:cs="Times New Roman" w:eastAsia="Times New Roman" w:hAnsi="Times New Roman"/>
          <w:sz w:val="21"/>
          <w:szCs w:val="21"/>
          <w:color w:val="auto"/>
        </w:rPr>
        <w:t>, the Administrative Agent is authorized to make appropriate entries in the Register to reflect any such cancellation.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1"/>
          <w:szCs w:val="21"/>
          <w:color w:val="auto"/>
        </w:rPr>
        <w:t>180</w:t>
      </w:r>
    </w:p>
    <w:p>
      <w:pPr>
        <w:sectPr>
          <w:pgSz w:w="11900" w:h="16838" w:orient="portrait"/>
          <w:cols w:equalWidth="0" w:num="1">
            <w:col w:w="10120"/>
          </w:cols>
          <w:pgMar w:left="1440" w:top="1369" w:right="339" w:bottom="1440" w:gutter="0" w:footer="0" w:header="0"/>
        </w:sectPr>
      </w:pPr>
    </w:p>
    <w:bookmarkStart w:id="286" w:name="page287"/>
    <w:bookmarkEnd w:id="286"/>
    <w:p>
      <w:pPr>
        <w:jc w:val="both"/>
        <w:ind w:left="640" w:firstLine="1274"/>
        <w:spacing w:after="0" w:line="215" w:lineRule="auto"/>
        <w:tabs>
          <w:tab w:leader="none" w:pos="2548" w:val="left"/>
        </w:tabs>
        <w:numPr>
          <w:ilvl w:val="0"/>
          <w:numId w:val="3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Certain Additional Payments</w:t>
      </w:r>
      <w:r>
        <w:rPr>
          <w:rFonts w:ascii="Times New Roman" w:cs="Times New Roman" w:eastAsia="Times New Roman" w:hAnsi="Times New Roman"/>
          <w:sz w:val="21"/>
          <w:szCs w:val="21"/>
          <w:color w:val="auto"/>
        </w:rPr>
        <w:t>. In connection with any assignment of rights and obligations of any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and any Lender hereunder (and interest accrued thereon) and (y) acquire (and fund as appropriate) its full pro rata share of all Loans and participations in Letters of Credit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 xml:space="preserve">Subject to acceptance and recording in the Register thereof by the Administrative Agent pursuant to </w:t>
      </w:r>
      <w:r>
        <w:rPr>
          <w:rFonts w:ascii="Times New Roman" w:cs="Times New Roman" w:eastAsia="Times New Roman" w:hAnsi="Times New Roman"/>
          <w:sz w:val="21"/>
          <w:szCs w:val="21"/>
          <w:u w:val="single" w:color="auto"/>
          <w:color w:val="auto"/>
        </w:rPr>
        <w:t>subsection (c)</w:t>
      </w:r>
      <w:r>
        <w:rPr>
          <w:rFonts w:ascii="Times New Roman" w:cs="Times New Roman" w:eastAsia="Times New Roman" w:hAnsi="Times New Roman"/>
          <w:sz w:val="21"/>
          <w:szCs w:val="21"/>
          <w:color w:val="auto"/>
        </w:rPr>
        <w:t xml:space="preserve">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21"/>
          <w:szCs w:val="21"/>
          <w:u w:val="single" w:color="auto"/>
          <w:color w:val="auto"/>
        </w:rPr>
        <w:t>Sections 3.01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3.04</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3.05</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10.04</w:t>
      </w:r>
      <w:r>
        <w:rPr>
          <w:rFonts w:ascii="Times New Roman" w:cs="Times New Roman" w:eastAsia="Times New Roman" w:hAnsi="Times New Roman"/>
          <w:sz w:val="21"/>
          <w:szCs w:val="21"/>
          <w:color w:val="auto"/>
        </w:rPr>
        <w:t xml:space="preserve"> with respect to facts and circumstances occurring prior to the effective date of such assignment. Upon request, the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w:t>
      </w:r>
      <w:r>
        <w:rPr>
          <w:rFonts w:ascii="Times New Roman" w:cs="Times New Roman" w:eastAsia="Times New Roman" w:hAnsi="Times New Roman"/>
          <w:sz w:val="21"/>
          <w:szCs w:val="21"/>
          <w:u w:val="single" w:color="auto"/>
          <w:color w:val="auto"/>
        </w:rPr>
        <w:t>subsection (d)</w:t>
      </w:r>
      <w:r>
        <w:rPr>
          <w:rFonts w:ascii="Times New Roman" w:cs="Times New Roman" w:eastAsia="Times New Roman" w:hAnsi="Times New Roman"/>
          <w:sz w:val="21"/>
          <w:szCs w:val="21"/>
          <w:color w:val="auto"/>
        </w:rPr>
        <w:t xml:space="preserve"> of this Section.</w:t>
      </w:r>
    </w:p>
    <w:p>
      <w:pPr>
        <w:spacing w:after="0" w:line="17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21"/>
          <w:szCs w:val="21"/>
          <w:color w:val="auto"/>
        </w:rPr>
        <w:t xml:space="preserve">Notwithstanding anything contained herein to the contrary, any assignment or transfer by a Lender (including to a Disqualified Lender) of rights or obligations under this Agreement that does not comply with this </w:t>
      </w:r>
      <w:r>
        <w:rPr>
          <w:rFonts w:ascii="Times New Roman" w:cs="Times New Roman" w:eastAsia="Times New Roman" w:hAnsi="Times New Roman"/>
          <w:sz w:val="21"/>
          <w:szCs w:val="21"/>
          <w:u w:val="single" w:color="auto"/>
          <w:color w:val="auto"/>
        </w:rPr>
        <w:t>Section 10.06</w:t>
      </w:r>
      <w:r>
        <w:rPr>
          <w:rFonts w:ascii="Times New Roman" w:cs="Times New Roman" w:eastAsia="Times New Roman" w:hAnsi="Times New Roman"/>
          <w:sz w:val="21"/>
          <w:szCs w:val="21"/>
          <w:color w:val="auto"/>
        </w:rPr>
        <w:t xml:space="preserve"> shall be treated for purposes of this Agreement as a sale by such Lender of a participation in such rights and obligations in accordance with </w:t>
      </w:r>
      <w:r>
        <w:rPr>
          <w:rFonts w:ascii="Times New Roman" w:cs="Times New Roman" w:eastAsia="Times New Roman" w:hAnsi="Times New Roman"/>
          <w:sz w:val="21"/>
          <w:szCs w:val="21"/>
          <w:u w:val="single" w:color="auto"/>
          <w:color w:val="auto"/>
        </w:rPr>
        <w:t>Section 10.06(d)</w:t>
      </w:r>
      <w:r>
        <w:rPr>
          <w:rFonts w:ascii="Times New Roman" w:cs="Times New Roman" w:eastAsia="Times New Roman" w:hAnsi="Times New Roman"/>
          <w:sz w:val="21"/>
          <w:szCs w:val="21"/>
          <w:color w:val="auto"/>
        </w:rPr>
        <w:t xml:space="preserve"> below.</w:t>
      </w:r>
    </w:p>
    <w:p>
      <w:pPr>
        <w:spacing w:after="0" w:line="385" w:lineRule="exact"/>
        <w:rPr>
          <w:sz w:val="20"/>
          <w:szCs w:val="20"/>
          <w:color w:val="auto"/>
        </w:rPr>
      </w:pPr>
    </w:p>
    <w:p>
      <w:pPr>
        <w:jc w:val="both"/>
        <w:ind w:firstLine="1278"/>
        <w:spacing w:after="0" w:line="223" w:lineRule="auto"/>
        <w:tabs>
          <w:tab w:leader="none" w:pos="1905" w:val="left"/>
        </w:tabs>
        <w:numPr>
          <w:ilvl w:val="0"/>
          <w:numId w:val="3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Register</w:t>
      </w:r>
      <w:r>
        <w:rPr>
          <w:rFonts w:ascii="Times New Roman" w:cs="Times New Roman" w:eastAsia="Times New Roman" w:hAnsi="Times New Roman"/>
          <w:sz w:val="21"/>
          <w:szCs w:val="21"/>
          <w:color w:val="auto"/>
        </w:rPr>
        <w:t>. The Administrative Agent, acting solely for this purpose as a non-fiduciary agent of the Borrower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(and such agency being solely for Tax purposes), shall maintain at the Administrative Agent’s Office a copy of each Assignment and Assumption delivered to it and a register for the recordation of the names and addresses of the Lenders, and the Commitments of, and principal amounts (and stated interest) of the Loans and L/C Obligations owing to, each Lender pursuant to the terms hereof from time to time (the “</w:t>
      </w:r>
      <w:r>
        <w:rPr>
          <w:rFonts w:ascii="Times New Roman" w:cs="Times New Roman" w:eastAsia="Times New Roman" w:hAnsi="Times New Roman"/>
          <w:sz w:val="21"/>
          <w:szCs w:val="21"/>
          <w:b w:val="1"/>
          <w:bCs w:val="1"/>
          <w:color w:val="auto"/>
        </w:rPr>
        <w:t>Register</w:t>
      </w:r>
      <w:r>
        <w:rPr>
          <w:rFonts w:ascii="Times New Roman" w:cs="Times New Roman" w:eastAsia="Times New Roman" w:hAnsi="Times New Roman"/>
          <w:sz w:val="21"/>
          <w:szCs w:val="21"/>
          <w:color w:val="auto"/>
        </w:rPr>
        <w:t>”). Upon its receipt of a duly completed and executed Assignment and Assumption,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181</w:t>
      </w:r>
    </w:p>
    <w:p>
      <w:pPr>
        <w:sectPr>
          <w:pgSz w:w="11900" w:h="16838" w:orient="portrait"/>
          <w:cols w:equalWidth="0" w:num="1">
            <w:col w:w="11240"/>
          </w:cols>
          <w:pgMar w:left="320" w:top="1369" w:right="339" w:bottom="1440" w:gutter="0" w:footer="0" w:header="0"/>
        </w:sectPr>
      </w:pPr>
    </w:p>
    <w:bookmarkStart w:id="287" w:name="page288"/>
    <w:bookmarkEnd w:id="287"/>
    <w:p>
      <w:pPr>
        <w:jc w:val="both"/>
        <w:spacing w:after="0" w:line="217" w:lineRule="auto"/>
        <w:rPr>
          <w:sz w:val="20"/>
          <w:szCs w:val="20"/>
          <w:color w:val="auto"/>
        </w:rPr>
      </w:pPr>
      <w:r>
        <w:rPr>
          <w:rFonts w:ascii="Times New Roman" w:cs="Times New Roman" w:eastAsia="Times New Roman" w:hAnsi="Times New Roman"/>
          <w:sz w:val="21"/>
          <w:szCs w:val="21"/>
          <w:color w:val="auto"/>
        </w:rPr>
        <w:t>the Administrative Agent shall record the information contained therein in the Register. The entries in the Register shall be conclusive absent manifest error, and the Borrower, the Administrative Agent and the Lenders shall treat each Person whose name is recorded in the Register pursuant to the terms hereof as a Lender hereunder for all purposes of this Agreement, notwithstanding notice to the contrary. In addition, the Administrative Agent shall maintain on the Register information regarding the designation, and revocation of designation, of any Lender as a Defaulting Lender. The Register is intended to cause each Loan and other obligation hereunder to be in registered form within the meaning of Section 5f.103-1(c) of the United States Treasury Regulations and Proposed Treasury Regulations Section 1.163-5(b) (or any amended or successor version) and within the meaning of Section 163(f), 871(h)(2) and 881(c)(2) of the Code. The Register shall be available for inspection by the Borrower and any Lender (with respect to such Lender’s entry), at any reasonable time and from time to time upon reasonable prior notice.</w:t>
      </w:r>
    </w:p>
    <w:p>
      <w:pPr>
        <w:spacing w:after="0" w:line="153" w:lineRule="exact"/>
        <w:rPr>
          <w:sz w:val="20"/>
          <w:szCs w:val="20"/>
          <w:color w:val="auto"/>
        </w:rPr>
      </w:pPr>
    </w:p>
    <w:p>
      <w:pPr>
        <w:jc w:val="both"/>
        <w:ind w:firstLine="1278"/>
        <w:spacing w:after="0" w:line="218" w:lineRule="auto"/>
        <w:tabs>
          <w:tab w:leader="none" w:pos="1903" w:val="left"/>
        </w:tabs>
        <w:numPr>
          <w:ilvl w:val="0"/>
          <w:numId w:val="3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Participations</w:t>
      </w:r>
      <w:r>
        <w:rPr>
          <w:rFonts w:ascii="Times New Roman" w:cs="Times New Roman" w:eastAsia="Times New Roman" w:hAnsi="Times New Roman"/>
          <w:sz w:val="21"/>
          <w:szCs w:val="21"/>
          <w:color w:val="auto"/>
        </w:rPr>
        <w:t>. Any Lender may at any time, without the consent of, or notice to, the Borrower, any L/C</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Issuer or the Administrative Agent, sell participations to any Person (other than a natural person (or a holding company, investment vehicle or trust for, or owned and operated for the primary benefit of, a natural Person), a Defaulting Lender or the Borrower or any of the Borrower’s Affiliates or Subsidiaries) (each, a “</w:t>
      </w:r>
      <w:r>
        <w:rPr>
          <w:rFonts w:ascii="Times New Roman" w:cs="Times New Roman" w:eastAsia="Times New Roman" w:hAnsi="Times New Roman"/>
          <w:sz w:val="21"/>
          <w:szCs w:val="21"/>
          <w:b w:val="1"/>
          <w:bCs w:val="1"/>
          <w:color w:val="auto"/>
        </w:rPr>
        <w:t>Participant</w:t>
      </w:r>
      <w:r>
        <w:rPr>
          <w:rFonts w:ascii="Times New Roman" w:cs="Times New Roman" w:eastAsia="Times New Roman" w:hAnsi="Times New Roman"/>
          <w:sz w:val="21"/>
          <w:szCs w:val="21"/>
          <w:color w:val="auto"/>
        </w:rPr>
        <w:t xml:space="preserve">”) in all or a portion of such Lender’s rights and/or obligations under this Agreement (including all or a portion of its Commitment and/or Loans (including such Lender’s participations in L/C Obligations) owing to it);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 such Lender’s obligations under this Agreement shall remain unchanged, (B) such Lender shall remain solely responsible to the other parties hereto for the performance of such obligations and (C) the Borrower, the Administrative Agent, the Lenders and the L/C Issuers shall continue to deal solely and directly with such Lender in connection with such Lender’s rights and obligations under this Agreement.</w:t>
      </w:r>
    </w:p>
    <w:p>
      <w:pPr>
        <w:spacing w:after="0" w:line="174" w:lineRule="exact"/>
        <w:rPr>
          <w:sz w:val="20"/>
          <w:szCs w:val="20"/>
          <w:color w:val="auto"/>
        </w:rPr>
      </w:pPr>
    </w:p>
    <w:p>
      <w:pPr>
        <w:jc w:val="both"/>
        <w:ind w:firstLine="636"/>
        <w:spacing w:after="0" w:line="254" w:lineRule="auto"/>
        <w:rPr>
          <w:sz w:val="20"/>
          <w:szCs w:val="20"/>
          <w:color w:val="auto"/>
        </w:rPr>
      </w:pPr>
      <w:r>
        <w:rPr>
          <w:rFonts w:ascii="Times New Roman" w:cs="Times New Roman" w:eastAsia="Times New Roman" w:hAnsi="Times New Roman"/>
          <w:sz w:val="21"/>
          <w:szCs w:val="21"/>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agreement or instrument may provide that such Lender will not, without the consent of the Participant, agree to any amendment, waiver or other modification described in clause (ii) of the first proviso to </w:t>
      </w:r>
      <w:r>
        <w:rPr>
          <w:rFonts w:ascii="Times New Roman" w:cs="Times New Roman" w:eastAsia="Times New Roman" w:hAnsi="Times New Roman"/>
          <w:sz w:val="21"/>
          <w:szCs w:val="21"/>
          <w:u w:val="single" w:color="auto"/>
          <w:color w:val="auto"/>
        </w:rPr>
        <w:t>Section 10.01</w:t>
      </w:r>
      <w:r>
        <w:rPr>
          <w:rFonts w:ascii="Times New Roman" w:cs="Times New Roman" w:eastAsia="Times New Roman" w:hAnsi="Times New Roman"/>
          <w:sz w:val="21"/>
          <w:szCs w:val="21"/>
          <w:color w:val="auto"/>
        </w:rPr>
        <w:t xml:space="preserve"> requiring the consent of each Lender affected thereby and that affects such Participant. Subject to </w:t>
      </w:r>
      <w:r>
        <w:rPr>
          <w:rFonts w:ascii="Times New Roman" w:cs="Times New Roman" w:eastAsia="Times New Roman" w:hAnsi="Times New Roman"/>
          <w:sz w:val="21"/>
          <w:szCs w:val="21"/>
          <w:u w:val="single" w:color="auto"/>
          <w:color w:val="auto"/>
        </w:rPr>
        <w:t>subsection (e)</w:t>
      </w:r>
      <w:r>
        <w:rPr>
          <w:rFonts w:ascii="Times New Roman" w:cs="Times New Roman" w:eastAsia="Times New Roman" w:hAnsi="Times New Roman"/>
          <w:sz w:val="21"/>
          <w:szCs w:val="21"/>
          <w:color w:val="auto"/>
        </w:rPr>
        <w:t xml:space="preserve"> of this Section, the Borrower agrees that each Participant shall be entitled to the benefits of </w:t>
      </w:r>
      <w:r>
        <w:rPr>
          <w:rFonts w:ascii="Times New Roman" w:cs="Times New Roman" w:eastAsia="Times New Roman" w:hAnsi="Times New Roman"/>
          <w:sz w:val="21"/>
          <w:szCs w:val="21"/>
          <w:u w:val="single" w:color="auto"/>
          <w:color w:val="auto"/>
        </w:rPr>
        <w:t>Sections 3.01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3.04</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3.05</w:t>
      </w:r>
      <w:r>
        <w:rPr>
          <w:rFonts w:ascii="Times New Roman" w:cs="Times New Roman" w:eastAsia="Times New Roman" w:hAnsi="Times New Roman"/>
          <w:sz w:val="21"/>
          <w:szCs w:val="21"/>
          <w:color w:val="auto"/>
        </w:rPr>
        <w:t xml:space="preserve"> to the same extent as if it were a Lender and had acquired its interest by assignment pursuant to </w:t>
      </w:r>
      <w:r>
        <w:rPr>
          <w:rFonts w:ascii="Times New Roman" w:cs="Times New Roman" w:eastAsia="Times New Roman" w:hAnsi="Times New Roman"/>
          <w:sz w:val="21"/>
          <w:szCs w:val="21"/>
          <w:u w:val="single" w:color="auto"/>
          <w:color w:val="auto"/>
        </w:rPr>
        <w:t>subsection (b)</w:t>
      </w:r>
      <w:r>
        <w:rPr>
          <w:rFonts w:ascii="Times New Roman" w:cs="Times New Roman" w:eastAsia="Times New Roman" w:hAnsi="Times New Roman"/>
          <w:sz w:val="21"/>
          <w:szCs w:val="21"/>
          <w:color w:val="auto"/>
        </w:rPr>
        <w:t xml:space="preserve"> of this Section;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further</w:t>
      </w:r>
      <w:r>
        <w:rPr>
          <w:rFonts w:ascii="Times New Roman" w:cs="Times New Roman" w:eastAsia="Times New Roman" w:hAnsi="Times New Roman"/>
          <w:sz w:val="21"/>
          <w:szCs w:val="21"/>
          <w:color w:val="auto"/>
        </w:rPr>
        <w:t xml:space="preserve"> that such agreement or instrument shall provide that the Participant understands that the value of the loan asset (including Participant’s pro rata share thereof) may increase or decrease based on fluctuations in currency exchange rates and agrees that any losses (gains) experienced as a result of changes in currency exchange rates shall be shared by such Participant in accordance with the Participant’s pro rata share. To the extent permitted by law, each Participant shall also be entitled to the benefits of </w:t>
      </w:r>
      <w:r>
        <w:rPr>
          <w:rFonts w:ascii="Times New Roman" w:cs="Times New Roman" w:eastAsia="Times New Roman" w:hAnsi="Times New Roman"/>
          <w:sz w:val="21"/>
          <w:szCs w:val="21"/>
          <w:u w:val="single" w:color="auto"/>
          <w:color w:val="auto"/>
        </w:rPr>
        <w:t>Section 10.08</w:t>
      </w:r>
      <w:r>
        <w:rPr>
          <w:rFonts w:ascii="Times New Roman" w:cs="Times New Roman" w:eastAsia="Times New Roman" w:hAnsi="Times New Roman"/>
          <w:sz w:val="21"/>
          <w:szCs w:val="21"/>
          <w:color w:val="auto"/>
        </w:rPr>
        <w:t xml:space="preserve"> as though it were a Lender,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Participant agrees to be subject to </w:t>
      </w:r>
      <w:r>
        <w:rPr>
          <w:rFonts w:ascii="Times New Roman" w:cs="Times New Roman" w:eastAsia="Times New Roman" w:hAnsi="Times New Roman"/>
          <w:sz w:val="21"/>
          <w:szCs w:val="21"/>
          <w:u w:val="single" w:color="auto"/>
          <w:color w:val="auto"/>
        </w:rPr>
        <w:t>Section 2.13</w:t>
      </w:r>
      <w:r>
        <w:rPr>
          <w:rFonts w:ascii="Times New Roman" w:cs="Times New Roman" w:eastAsia="Times New Roman" w:hAnsi="Times New Roman"/>
          <w:sz w:val="21"/>
          <w:szCs w:val="21"/>
          <w:color w:val="auto"/>
        </w:rPr>
        <w:t xml:space="preserve"> as though it were a Lender. Each Lender that sells a participation shall, acting solely for this purpose as an non-fiduciary agent of the Borrower (such agency being solely for Tax purposes),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21"/>
          <w:szCs w:val="21"/>
          <w:b w:val="1"/>
          <w:bCs w:val="1"/>
          <w:color w:val="auto"/>
        </w:rPr>
        <w:t>Participant Register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21"/>
          <w:szCs w:val="21"/>
          <w:color w:val="auto"/>
        </w:rPr>
        <w:t>that no Lender shall have any obligation to disclose all or any portion of the Participant Register (including the identity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any Participant or any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182</w:t>
      </w:r>
    </w:p>
    <w:p>
      <w:pPr>
        <w:sectPr>
          <w:pgSz w:w="11900" w:h="16838" w:orient="portrait"/>
          <w:cols w:equalWidth="0" w:num="1">
            <w:col w:w="11240"/>
          </w:cols>
          <w:pgMar w:left="320" w:top="1371" w:right="339" w:bottom="1440" w:gutter="0" w:footer="0" w:header="0"/>
        </w:sectPr>
      </w:pPr>
    </w:p>
    <w:bookmarkStart w:id="288" w:name="page289"/>
    <w:bookmarkEnd w:id="288"/>
    <w:p>
      <w:pPr>
        <w:jc w:val="both"/>
        <w:spacing w:after="0" w:line="257" w:lineRule="auto"/>
        <w:rPr>
          <w:sz w:val="20"/>
          <w:szCs w:val="20"/>
          <w:color w:val="auto"/>
        </w:rPr>
      </w:pPr>
      <w:r>
        <w:rPr>
          <w:rFonts w:ascii="Times New Roman" w:cs="Times New Roman" w:eastAsia="Times New Roman" w:hAnsi="Times New Roman"/>
          <w:sz w:val="21"/>
          <w:szCs w:val="21"/>
          <w:color w:val="auto"/>
        </w:rPr>
        <w:t>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United States Treasury Regulations Section 5f.103-1(c) and Proposed Treasury Regulations Section 1.163-5(b) (or, in each case, any amended or successor version) and within the meaning of Sections 163(f), 871(h)(2) and 881(c)(2) of the Code.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55" w:lineRule="exact"/>
        <w:rPr>
          <w:sz w:val="20"/>
          <w:szCs w:val="20"/>
          <w:color w:val="auto"/>
        </w:rPr>
      </w:pPr>
    </w:p>
    <w:p>
      <w:pPr>
        <w:jc w:val="both"/>
        <w:ind w:firstLine="1278"/>
        <w:spacing w:after="0" w:line="220" w:lineRule="auto"/>
        <w:tabs>
          <w:tab w:leader="none" w:pos="1905" w:val="left"/>
        </w:tabs>
        <w:numPr>
          <w:ilvl w:val="0"/>
          <w:numId w:val="3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Limitations upon Participant Rights</w:t>
      </w:r>
      <w:r>
        <w:rPr>
          <w:rFonts w:ascii="Times New Roman" w:cs="Times New Roman" w:eastAsia="Times New Roman" w:hAnsi="Times New Roman"/>
          <w:sz w:val="21"/>
          <w:szCs w:val="21"/>
          <w:color w:val="auto"/>
        </w:rPr>
        <w:t>. A Participant shall not be entitled to receive any greater payment under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u w:val="single" w:color="auto"/>
          <w:color w:val="auto"/>
        </w:rPr>
        <w:t>Section 3.01</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3.04</w:t>
      </w:r>
      <w:r>
        <w:rPr>
          <w:rFonts w:ascii="Times New Roman" w:cs="Times New Roman" w:eastAsia="Times New Roman" w:hAnsi="Times New Roman"/>
          <w:sz w:val="21"/>
          <w:szCs w:val="21"/>
          <w:color w:val="auto"/>
        </w:rPr>
        <w:t xml:space="preserve"> than the applicable Lender would have been entitled to receive with respect to the participation sold to such Participant, unless the sale of the participation to such Participant is made with the Borrower’s prior written consent or except to the extent such entitlement to receive a greater payment results from a Change in Law that occurs after the Participant acquired the applicable participation. A Participant shall be entitled to the benefits of </w:t>
      </w:r>
      <w:r>
        <w:rPr>
          <w:rFonts w:ascii="Times New Roman" w:cs="Times New Roman" w:eastAsia="Times New Roman" w:hAnsi="Times New Roman"/>
          <w:sz w:val="21"/>
          <w:szCs w:val="21"/>
          <w:u w:val="single" w:color="auto"/>
          <w:color w:val="auto"/>
        </w:rPr>
        <w:t>Section 3.01</w:t>
      </w:r>
      <w:r>
        <w:rPr>
          <w:rFonts w:ascii="Times New Roman" w:cs="Times New Roman" w:eastAsia="Times New Roman" w:hAnsi="Times New Roman"/>
          <w:sz w:val="21"/>
          <w:szCs w:val="21"/>
          <w:color w:val="auto"/>
        </w:rPr>
        <w:t xml:space="preserve"> if such Participant agrees, for the benefit of the Borrower, to comply with </w:t>
      </w:r>
      <w:r>
        <w:rPr>
          <w:rFonts w:ascii="Times New Roman" w:cs="Times New Roman" w:eastAsia="Times New Roman" w:hAnsi="Times New Roman"/>
          <w:sz w:val="21"/>
          <w:szCs w:val="21"/>
          <w:u w:val="single" w:color="auto"/>
          <w:color w:val="auto"/>
        </w:rPr>
        <w:t>Section 3.01(e)</w:t>
      </w:r>
      <w:r>
        <w:rPr>
          <w:rFonts w:ascii="Times New Roman" w:cs="Times New Roman" w:eastAsia="Times New Roman" w:hAnsi="Times New Roman"/>
          <w:sz w:val="21"/>
          <w:szCs w:val="21"/>
          <w:color w:val="auto"/>
        </w:rPr>
        <w:t xml:space="preserve"> as though it were a Lender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all forms required under </w:t>
      </w:r>
      <w:r>
        <w:rPr>
          <w:rFonts w:ascii="Times New Roman" w:cs="Times New Roman" w:eastAsia="Times New Roman" w:hAnsi="Times New Roman"/>
          <w:sz w:val="21"/>
          <w:szCs w:val="21"/>
          <w:u w:val="single" w:color="auto"/>
          <w:color w:val="auto"/>
        </w:rPr>
        <w:t>Section 3.01(e)</w:t>
      </w:r>
      <w:r>
        <w:rPr>
          <w:rFonts w:ascii="Times New Roman" w:cs="Times New Roman" w:eastAsia="Times New Roman" w:hAnsi="Times New Roman"/>
          <w:sz w:val="21"/>
          <w:szCs w:val="21"/>
          <w:color w:val="auto"/>
        </w:rPr>
        <w:t xml:space="preserve"> shall instead be delivered to the applicable Lender).</w:t>
      </w:r>
    </w:p>
    <w:p>
      <w:pPr>
        <w:spacing w:after="0" w:line="146" w:lineRule="exact"/>
        <w:rPr>
          <w:rFonts w:ascii="Times New Roman" w:cs="Times New Roman" w:eastAsia="Times New Roman" w:hAnsi="Times New Roman"/>
          <w:sz w:val="21"/>
          <w:szCs w:val="21"/>
          <w:color w:val="auto"/>
        </w:rPr>
      </w:pPr>
    </w:p>
    <w:p>
      <w:pPr>
        <w:jc w:val="both"/>
        <w:ind w:firstLine="1278"/>
        <w:spacing w:after="0" w:line="227" w:lineRule="auto"/>
        <w:tabs>
          <w:tab w:leader="none" w:pos="1908" w:val="left"/>
        </w:tabs>
        <w:numPr>
          <w:ilvl w:val="0"/>
          <w:numId w:val="3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Certain Pledges</w:t>
      </w:r>
      <w:r>
        <w:rPr>
          <w:rFonts w:ascii="Times New Roman" w:cs="Times New Roman" w:eastAsia="Times New Roman" w:hAnsi="Times New Roman"/>
          <w:sz w:val="21"/>
          <w:szCs w:val="21"/>
          <w:color w:val="auto"/>
        </w:rPr>
        <w:t>. Any Lender may at any time pledge or assign a security interest in all or any portion of its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rights under this Agreement (including under its Note, if any) to secure obligations of such Lender, including any pledge or assignment to secure obligations to a Federal Reserve Bank;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no such pledge or assignment shall release such Lender from any of its obligations hereunder or substitute any such pledgee or assignee for such Lender as a party hereto.</w:t>
      </w:r>
    </w:p>
    <w:p>
      <w:pPr>
        <w:spacing w:after="0" w:line="146" w:lineRule="exact"/>
        <w:rPr>
          <w:rFonts w:ascii="Times New Roman" w:cs="Times New Roman" w:eastAsia="Times New Roman" w:hAnsi="Times New Roman"/>
          <w:sz w:val="21"/>
          <w:szCs w:val="21"/>
          <w:color w:val="auto"/>
        </w:rPr>
      </w:pPr>
    </w:p>
    <w:p>
      <w:pPr>
        <w:jc w:val="both"/>
        <w:ind w:firstLine="1278"/>
        <w:spacing w:after="0" w:line="215" w:lineRule="auto"/>
        <w:tabs>
          <w:tab w:leader="none" w:pos="1903" w:val="left"/>
        </w:tabs>
        <w:numPr>
          <w:ilvl w:val="0"/>
          <w:numId w:val="3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Resignation as L/C Issuer after Assignment</w:t>
      </w:r>
      <w:r>
        <w:rPr>
          <w:rFonts w:ascii="Times New Roman" w:cs="Times New Roman" w:eastAsia="Times New Roman" w:hAnsi="Times New Roman"/>
          <w:sz w:val="21"/>
          <w:szCs w:val="21"/>
          <w:color w:val="auto"/>
        </w:rPr>
        <w:t>. Notwithstanding anything to the contrary contained herein, if at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any time a Lender serving as an L/C Issuer assigns all of its Revolving Credit Commitment and Revolving Credit Loans pursuant to </w:t>
      </w:r>
      <w:r>
        <w:rPr>
          <w:rFonts w:ascii="Times New Roman" w:cs="Times New Roman" w:eastAsia="Times New Roman" w:hAnsi="Times New Roman"/>
          <w:sz w:val="21"/>
          <w:szCs w:val="21"/>
          <w:u w:val="single" w:color="auto"/>
          <w:color w:val="auto"/>
        </w:rPr>
        <w:t>subsection (b)</w:t>
      </w:r>
      <w:r>
        <w:rPr>
          <w:rFonts w:ascii="Times New Roman" w:cs="Times New Roman" w:eastAsia="Times New Roman" w:hAnsi="Times New Roman"/>
          <w:sz w:val="21"/>
          <w:szCs w:val="21"/>
          <w:color w:val="auto"/>
        </w:rPr>
        <w:t xml:space="preserve"> above, such Lender may upon 30 days’ notice to the Borrower and the other Lenders, resign as an L/C Issuer. In the event of any such resignation as L/C Issuer, the Borrower shall be entitled to appoint from among the Revolving Credit Lenders a successor L/C Issuer hereunder if such Revolving Credit Lender is willing to act in such capacity;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no failure by the Borrower to appoint any such successor shall affect the resignation of the retiring entity as L/C Issuer. If any entity serving as L/C Issuer resigns as an L/C Issuer, it shall retain all the rights, powers, privileges and duties of an L/C Issuer hereunder with respect to all Letters of Credit outstanding as of the effective date of its resignation as an L/C Issuer and all L/C Obligations with respect thereto (including the right to require the Lenders to make Base Rate Loans or fund risk participations in Unreimbursed Amounts pursuant to </w:t>
      </w:r>
      <w:r>
        <w:rPr>
          <w:rFonts w:ascii="Times New Roman" w:cs="Times New Roman" w:eastAsia="Times New Roman" w:hAnsi="Times New Roman"/>
          <w:sz w:val="21"/>
          <w:szCs w:val="21"/>
          <w:u w:val="single" w:color="auto"/>
          <w:color w:val="auto"/>
        </w:rPr>
        <w:t>Section 2.03(c)</w:t>
      </w:r>
      <w:r>
        <w:rPr>
          <w:rFonts w:ascii="Times New Roman" w:cs="Times New Roman" w:eastAsia="Times New Roman" w:hAnsi="Times New Roman"/>
          <w:sz w:val="21"/>
          <w:szCs w:val="21"/>
          <w:color w:val="auto"/>
        </w:rPr>
        <w:t>). Upon the appointment of a successor L/C Issuer and the acceptance of such appointment by such successor, (a) such successor shall succeed to and become vested with all of the rights, powers, privileges and duties of the retiring L/C Issuer and (b) the successor L/C Issuer shall issue letters of credit in substitution for the Letters of Credit, if any, outstanding at the time of such succession or make other arrangements reasonably satisfactory to the retiring L/C Issuer to effectively assume the obligations of such L/C Issuer with respect to such Letters of Credit.</w:t>
      </w:r>
    </w:p>
    <w:p>
      <w:pPr>
        <w:spacing w:after="0" w:line="151" w:lineRule="exact"/>
        <w:rPr>
          <w:rFonts w:ascii="Times New Roman" w:cs="Times New Roman" w:eastAsia="Times New Roman" w:hAnsi="Times New Roman"/>
          <w:sz w:val="21"/>
          <w:szCs w:val="21"/>
          <w:color w:val="auto"/>
        </w:rPr>
      </w:pPr>
    </w:p>
    <w:p>
      <w:pPr>
        <w:ind w:left="1900" w:hanging="622"/>
        <w:spacing w:after="0"/>
        <w:tabs>
          <w:tab w:leader="none" w:pos="1900" w:val="left"/>
        </w:tabs>
        <w:numPr>
          <w:ilvl w:val="0"/>
          <w:numId w:val="3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Disqualified Lenders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183</w:t>
      </w:r>
    </w:p>
    <w:p>
      <w:pPr>
        <w:sectPr>
          <w:pgSz w:w="11900" w:h="16838" w:orient="portrait"/>
          <w:cols w:equalWidth="0" w:num="1">
            <w:col w:w="11240"/>
          </w:cols>
          <w:pgMar w:left="320" w:top="1397" w:right="339" w:bottom="1440" w:gutter="0" w:footer="0" w:header="0"/>
        </w:sectPr>
      </w:pPr>
    </w:p>
    <w:bookmarkStart w:id="289" w:name="page290"/>
    <w:bookmarkEnd w:id="289"/>
    <w:p>
      <w:pPr>
        <w:jc w:val="both"/>
        <w:ind w:left="-2" w:firstLine="1274"/>
        <w:spacing w:after="0" w:line="223" w:lineRule="auto"/>
        <w:tabs>
          <w:tab w:leader="none" w:pos="1894" w:val="left"/>
        </w:tabs>
        <w:numPr>
          <w:ilvl w:val="1"/>
          <w:numId w:val="3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assignment or participation shall be made to any Person that was a Disqualified Lender as of the date (the “</w:t>
      </w:r>
      <w:r>
        <w:rPr>
          <w:rFonts w:ascii="Times New Roman" w:cs="Times New Roman" w:eastAsia="Times New Roman" w:hAnsi="Times New Roman"/>
          <w:sz w:val="21"/>
          <w:szCs w:val="21"/>
          <w:b w:val="1"/>
          <w:bCs w:val="1"/>
          <w:color w:val="auto"/>
        </w:rPr>
        <w:t>Trade Date</w:t>
      </w:r>
      <w:r>
        <w:rPr>
          <w:rFonts w:ascii="Times New Roman" w:cs="Times New Roman" w:eastAsia="Times New Roman" w:hAnsi="Times New Roman"/>
          <w:sz w:val="21"/>
          <w:szCs w:val="21"/>
          <w:color w:val="auto"/>
        </w:rPr>
        <w:t xml:space="preserve">”) on which the assigning or transferring Lender entered into a binding agreement to sell and assign, or grant a participation in, all or a portion of its rights and obligations under this Agreement, as applicable, to such Person. For the avoidance of doubt, no assignment or participation shall be retroactively invalidated pursuant to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10.06(h)</w:t>
      </w:r>
      <w:r>
        <w:rPr>
          <w:rFonts w:ascii="Times New Roman" w:cs="Times New Roman" w:eastAsia="Times New Roman" w:hAnsi="Times New Roman"/>
          <w:sz w:val="21"/>
          <w:szCs w:val="21"/>
          <w:color w:val="auto"/>
        </w:rPr>
        <w:t xml:space="preserve"> if the Trade Date therefor occurred prior to the assignee’s or participant’s becoming a Disqualified Lender.</w:t>
      </w:r>
    </w:p>
    <w:p>
      <w:pPr>
        <w:spacing w:after="0" w:line="150" w:lineRule="exact"/>
        <w:rPr>
          <w:rFonts w:ascii="Times New Roman" w:cs="Times New Roman" w:eastAsia="Times New Roman" w:hAnsi="Times New Roman"/>
          <w:sz w:val="21"/>
          <w:szCs w:val="21"/>
          <w:color w:val="auto"/>
        </w:rPr>
      </w:pPr>
    </w:p>
    <w:p>
      <w:pPr>
        <w:jc w:val="both"/>
        <w:ind w:left="-2" w:firstLine="1274"/>
        <w:spacing w:after="0" w:line="223" w:lineRule="auto"/>
        <w:tabs>
          <w:tab w:leader="none" w:pos="1900" w:val="left"/>
        </w:tabs>
        <w:numPr>
          <w:ilvl w:val="1"/>
          <w:numId w:val="3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and each assignor of a Loan or Commitment or seller of a participation hereunder shall be entitled to rely conclusively on a representation of the assignee Lender or Participant in the relevant Assignment and Assumption or participation agreement, as applicable, that such assignee or purchaser is not a Disqualified Lender. The Administrative Agent shall have the right, and the Borrower hereby expressly authorizes the Administrative Agent, to provide the list of Disqualified Lenders to each Lender upon request.</w:t>
      </w:r>
    </w:p>
    <w:p>
      <w:pPr>
        <w:spacing w:after="0" w:line="150" w:lineRule="exact"/>
        <w:rPr>
          <w:rFonts w:ascii="Times New Roman" w:cs="Times New Roman" w:eastAsia="Times New Roman" w:hAnsi="Times New Roman"/>
          <w:sz w:val="21"/>
          <w:szCs w:val="21"/>
          <w:color w:val="auto"/>
        </w:rPr>
      </w:pPr>
    </w:p>
    <w:p>
      <w:pPr>
        <w:jc w:val="both"/>
        <w:ind w:left="-2" w:firstLine="1274"/>
        <w:spacing w:after="0" w:line="213" w:lineRule="auto"/>
        <w:tabs>
          <w:tab w:leader="none" w:pos="1975" w:val="left"/>
        </w:tabs>
        <w:numPr>
          <w:ilvl w:val="1"/>
          <w:numId w:val="3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any assignment or participation is made to any Disqualified Lender without the Borrower’s prior written consent in violation of </w:t>
      </w:r>
      <w:r>
        <w:rPr>
          <w:rFonts w:ascii="Times New Roman" w:cs="Times New Roman" w:eastAsia="Times New Roman" w:hAnsi="Times New Roman"/>
          <w:sz w:val="21"/>
          <w:szCs w:val="21"/>
          <w:u w:val="single" w:color="auto"/>
          <w:color w:val="auto"/>
        </w:rPr>
        <w:t>clause (i)</w:t>
      </w:r>
      <w:r>
        <w:rPr>
          <w:rFonts w:ascii="Times New Roman" w:cs="Times New Roman" w:eastAsia="Times New Roman" w:hAnsi="Times New Roman"/>
          <w:sz w:val="21"/>
          <w:szCs w:val="21"/>
          <w:color w:val="auto"/>
        </w:rPr>
        <w:t xml:space="preserve"> above, the Borrower may, at its sole expense and effort, upon notice to the applicable Disqualified Lender and the Administrative Agent, (A) terminate any Revolving Credit Commitment of such Disqualified Lender and repay all obligations of the Borrower owing to such Disqualified Lender in connection with such Revolving Credit Commitment or in accordance with and subject to the provisions of </w:t>
      </w:r>
      <w:r>
        <w:rPr>
          <w:rFonts w:ascii="Times New Roman" w:cs="Times New Roman" w:eastAsia="Times New Roman" w:hAnsi="Times New Roman"/>
          <w:sz w:val="21"/>
          <w:szCs w:val="21"/>
          <w:u w:val="single" w:color="auto"/>
          <w:color w:val="auto"/>
        </w:rPr>
        <w:t>Section 10.13</w:t>
      </w:r>
      <w:r>
        <w:rPr>
          <w:rFonts w:ascii="Times New Roman" w:cs="Times New Roman" w:eastAsia="Times New Roman" w:hAnsi="Times New Roman"/>
          <w:sz w:val="21"/>
          <w:szCs w:val="21"/>
          <w:color w:val="auto"/>
        </w:rPr>
        <w:t xml:space="preserve">, require such Disqualified Lender to assign and delegate all of its interests, rights (other than its existing rights to payments pursuant to </w:t>
      </w:r>
      <w:r>
        <w:rPr>
          <w:rFonts w:ascii="Times New Roman" w:cs="Times New Roman" w:eastAsia="Times New Roman" w:hAnsi="Times New Roman"/>
          <w:sz w:val="21"/>
          <w:szCs w:val="21"/>
          <w:u w:val="single" w:color="auto"/>
          <w:color w:val="auto"/>
        </w:rPr>
        <w:t>Section 3.01</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3.04</w:t>
      </w:r>
      <w:r>
        <w:rPr>
          <w:rFonts w:ascii="Times New Roman" w:cs="Times New Roman" w:eastAsia="Times New Roman" w:hAnsi="Times New Roman"/>
          <w:sz w:val="21"/>
          <w:szCs w:val="21"/>
          <w:color w:val="auto"/>
        </w:rPr>
        <w:t xml:space="preserve">) and obligations under this Agreement and the related Loan Documents to an Eligible Assignee as if such Disqualified Lender were required to do so pursuant to </w:t>
      </w:r>
      <w:r>
        <w:rPr>
          <w:rFonts w:ascii="Times New Roman" w:cs="Times New Roman" w:eastAsia="Times New Roman" w:hAnsi="Times New Roman"/>
          <w:sz w:val="21"/>
          <w:szCs w:val="21"/>
          <w:u w:val="single" w:color="auto"/>
          <w:color w:val="auto"/>
        </w:rPr>
        <w:t>Section 10.13</w:t>
      </w:r>
      <w:r>
        <w:rPr>
          <w:rFonts w:ascii="Times New Roman" w:cs="Times New Roman" w:eastAsia="Times New Roman" w:hAnsi="Times New Roman"/>
          <w:sz w:val="21"/>
          <w:szCs w:val="21"/>
          <w:color w:val="auto"/>
        </w:rPr>
        <w:t xml:space="preserve"> and (B) in the case of Term Loans held by a Disqualified Lender, (1) purchase or prepay such Term Loans by paying the lesser of (x) the principal amount thereof and</w:t>
      </w:r>
    </w:p>
    <w:p>
      <w:pPr>
        <w:spacing w:after="0" w:line="3" w:lineRule="exact"/>
        <w:rPr>
          <w:rFonts w:ascii="Times New Roman" w:cs="Times New Roman" w:eastAsia="Times New Roman" w:hAnsi="Times New Roman"/>
          <w:sz w:val="21"/>
          <w:szCs w:val="21"/>
          <w:color w:val="auto"/>
        </w:rPr>
      </w:pPr>
    </w:p>
    <w:p>
      <w:pPr>
        <w:jc w:val="both"/>
        <w:ind w:left="-2" w:firstLine="2"/>
        <w:spacing w:after="0" w:line="218" w:lineRule="auto"/>
        <w:tabs>
          <w:tab w:leader="none" w:pos="298" w:val="left"/>
        </w:tabs>
        <w:numPr>
          <w:ilvl w:val="0"/>
          <w:numId w:val="3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amount that such Disqualified Lender paid to acquire such Term Loans and/or (2) require such Disqualified Lender to assign, without recourse (in accordance with and subject to the restrictions contained in this </w:t>
      </w:r>
      <w:r>
        <w:rPr>
          <w:rFonts w:ascii="Times New Roman" w:cs="Times New Roman" w:eastAsia="Times New Roman" w:hAnsi="Times New Roman"/>
          <w:sz w:val="21"/>
          <w:szCs w:val="21"/>
          <w:u w:val="single" w:color="auto"/>
          <w:color w:val="auto"/>
        </w:rPr>
        <w:t>Section 10.06</w:t>
      </w:r>
      <w:r>
        <w:rPr>
          <w:rFonts w:ascii="Times New Roman" w:cs="Times New Roman" w:eastAsia="Times New Roman" w:hAnsi="Times New Roman"/>
          <w:sz w:val="21"/>
          <w:szCs w:val="21"/>
          <w:color w:val="auto"/>
        </w:rPr>
        <w:t>) all of its interest, rights and obligations under this Agreement to one or more Eligible Assignees that agrees to such assignment in writing at a price equal to the lesser of (x) the principal amount thereof and (y) the amount that such Disqualified Lender paid to acquire such interests, rights and obligations.</w:t>
      </w:r>
    </w:p>
    <w:p>
      <w:pPr>
        <w:spacing w:after="0" w:line="151" w:lineRule="exact"/>
        <w:rPr>
          <w:rFonts w:ascii="Times New Roman" w:cs="Times New Roman" w:eastAsia="Times New Roman" w:hAnsi="Times New Roman"/>
          <w:sz w:val="21"/>
          <w:szCs w:val="21"/>
          <w:color w:val="auto"/>
        </w:rPr>
      </w:pPr>
    </w:p>
    <w:p>
      <w:pPr>
        <w:jc w:val="both"/>
        <w:ind w:left="-2" w:firstLine="1274"/>
        <w:spacing w:after="0" w:line="215" w:lineRule="auto"/>
        <w:tabs>
          <w:tab w:leader="none" w:pos="1894" w:val="left"/>
        </w:tabs>
        <w:numPr>
          <w:ilvl w:val="1"/>
          <w:numId w:val="3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anything to the contrary contained in this Agreement, Disqualified Lenders (1) will not have the right to (x) receive information, reports or other materials provided to the Administrative Agent or the Lenders by the Borrower or any of its Subsidiaries, the Administrative Agent or any other Lender, (y) attend or participate (including by telephone) in meetings attended by any of the Lenders and/or the Administrative Agent, or (z) access any electronic site established for the Lenders or confidential communications from counsel to or financial advisors of the Administrative Agent or the Lenders and (2) (x) for purposes of any consent to any amendment, waiver or modification of, or any action under, and for the purpose of any direction to the Administrative Agent or any Lender to undertake any action (or refrain from taking any action) under this Agreement or any other Loan Document, each Disqualified Lender will be deemed to have consented to such matter in the same proportion as the Lenders that are not Disqualified Lenders consented to such matter;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any Disqualified Lender’s consent shall be required for any amendment, waiver or other modification described in </w:t>
      </w:r>
      <w:r>
        <w:rPr>
          <w:rFonts w:ascii="Times New Roman" w:cs="Times New Roman" w:eastAsia="Times New Roman" w:hAnsi="Times New Roman"/>
          <w:sz w:val="21"/>
          <w:szCs w:val="21"/>
          <w:u w:val="single" w:color="auto"/>
          <w:color w:val="auto"/>
        </w:rPr>
        <w:t>clause (c)</w:t>
      </w:r>
      <w:r>
        <w:rPr>
          <w:rFonts w:ascii="Times New Roman" w:cs="Times New Roman" w:eastAsia="Times New Roman" w:hAnsi="Times New Roman"/>
          <w:sz w:val="21"/>
          <w:szCs w:val="21"/>
          <w:color w:val="auto"/>
        </w:rPr>
        <w:t xml:space="preserve"> of </w:t>
      </w:r>
      <w:r>
        <w:rPr>
          <w:rFonts w:ascii="Times New Roman" w:cs="Times New Roman" w:eastAsia="Times New Roman" w:hAnsi="Times New Roman"/>
          <w:sz w:val="21"/>
          <w:szCs w:val="21"/>
          <w:u w:val="single" w:color="auto"/>
          <w:color w:val="auto"/>
        </w:rPr>
        <w:t>Section 10.01</w:t>
      </w:r>
      <w:r>
        <w:rPr>
          <w:rFonts w:ascii="Times New Roman" w:cs="Times New Roman" w:eastAsia="Times New Roman" w:hAnsi="Times New Roman"/>
          <w:sz w:val="21"/>
          <w:szCs w:val="21"/>
          <w:color w:val="auto"/>
        </w:rPr>
        <w:t xml:space="preserve"> with respect to any increase to the Commitments of such Disqualified Lender, and (y) for purposes of voting on any plan of reorganization pursuant to Section 1126 of the Bankruptcy Code of the United States or any similar plan or proposal under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818"/>
        <w:spacing w:after="0"/>
        <w:rPr>
          <w:sz w:val="20"/>
          <w:szCs w:val="20"/>
          <w:color w:val="auto"/>
        </w:rPr>
      </w:pPr>
      <w:r>
        <w:rPr>
          <w:rFonts w:ascii="Times New Roman" w:cs="Times New Roman" w:eastAsia="Times New Roman" w:hAnsi="Times New Roman"/>
          <w:sz w:val="21"/>
          <w:szCs w:val="21"/>
          <w:color w:val="auto"/>
        </w:rPr>
        <w:t>184</w:t>
      </w:r>
    </w:p>
    <w:p>
      <w:pPr>
        <w:sectPr>
          <w:pgSz w:w="11900" w:h="16838" w:orient="portrait"/>
          <w:cols w:equalWidth="0" w:num="1">
            <w:col w:w="10598"/>
          </w:cols>
          <w:pgMar w:left="962" w:top="1371" w:right="339" w:bottom="1440" w:gutter="0" w:footer="0" w:header="0"/>
        </w:sectPr>
      </w:pPr>
    </w:p>
    <w:bookmarkStart w:id="290" w:name="page291"/>
    <w:bookmarkEnd w:id="290"/>
    <w:p>
      <w:pPr>
        <w:jc w:val="both"/>
        <w:ind w:left="640"/>
        <w:spacing w:after="0" w:line="217" w:lineRule="auto"/>
        <w:rPr>
          <w:sz w:val="20"/>
          <w:szCs w:val="20"/>
          <w:color w:val="auto"/>
        </w:rPr>
      </w:pPr>
      <w:r>
        <w:rPr>
          <w:rFonts w:ascii="Times New Roman" w:cs="Times New Roman" w:eastAsia="Times New Roman" w:hAnsi="Times New Roman"/>
          <w:sz w:val="21"/>
          <w:szCs w:val="21"/>
          <w:color w:val="auto"/>
        </w:rPr>
        <w:t xml:space="preserve">Debtor Relief Law with respect to the Borrower or any of its Subsidiaries, each Disqualified Lender hereby agrees (1) not to vote on such plan, (2) if such Disqualified Lender does vote on such plan notwithstanding the restriction in the immediately foregoing </w:t>
      </w:r>
      <w:r>
        <w:rPr>
          <w:rFonts w:ascii="Times New Roman" w:cs="Times New Roman" w:eastAsia="Times New Roman" w:hAnsi="Times New Roman"/>
          <w:sz w:val="21"/>
          <w:szCs w:val="21"/>
          <w:u w:val="single" w:color="auto"/>
          <w:color w:val="auto"/>
        </w:rPr>
        <w:t>clause (1)</w:t>
      </w:r>
      <w:r>
        <w:rPr>
          <w:rFonts w:ascii="Times New Roman" w:cs="Times New Roman" w:eastAsia="Times New Roman" w:hAnsi="Times New Roman"/>
          <w:sz w:val="21"/>
          <w:szCs w:val="21"/>
          <w:color w:val="auto"/>
        </w:rPr>
        <w:t xml:space="preserve">, such vote will be deemed not to be in good faith and shall be “designated” pursuant to Section 1126(e) of the Bankruptcy Code of the United States (or any similar provision in any other similar federal, state or foreign law affecting creditor’s rights, including any Debtor Relief Law), and such vote shall not be counted in determining whether the applicable class has accepted or rejected such plan in accordance with Section 1126(c) of the Bankruptcy Code of the United States (or any similar provision in any other similar federal, state or foreign law affecting creditor’s rights including any Debtor Relief Laws) and (3) not to contest any request by any party for a determination by the bankruptcy court (or other applicable court of competent jurisdiction) effectuating the foregoing </w:t>
      </w:r>
      <w:r>
        <w:rPr>
          <w:rFonts w:ascii="Times New Roman" w:cs="Times New Roman" w:eastAsia="Times New Roman" w:hAnsi="Times New Roman"/>
          <w:sz w:val="21"/>
          <w:szCs w:val="21"/>
          <w:u w:val="single" w:color="auto"/>
          <w:color w:val="auto"/>
        </w:rPr>
        <w:t>clause (2)</w:t>
      </w:r>
      <w:r>
        <w:rPr>
          <w:rFonts w:ascii="Times New Roman" w:cs="Times New Roman" w:eastAsia="Times New Roman" w:hAnsi="Times New Roman"/>
          <w:sz w:val="21"/>
          <w:szCs w:val="21"/>
          <w:color w:val="auto"/>
        </w:rPr>
        <w:t>.</w:t>
      </w:r>
    </w:p>
    <w:p>
      <w:pPr>
        <w:spacing w:after="0" w:line="155" w:lineRule="exact"/>
        <w:rPr>
          <w:sz w:val="20"/>
          <w:szCs w:val="20"/>
          <w:color w:val="auto"/>
        </w:rPr>
      </w:pPr>
    </w:p>
    <w:p>
      <w:pPr>
        <w:jc w:val="both"/>
        <w:ind w:left="640" w:firstLine="1274"/>
        <w:spacing w:after="0" w:line="219" w:lineRule="auto"/>
        <w:tabs>
          <w:tab w:leader="none" w:pos="2543" w:val="left"/>
        </w:tabs>
        <w:numPr>
          <w:ilvl w:val="0"/>
          <w:numId w:val="3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in this Agreement, the Loan Parties and the Lenders acknowledge and agree that in no event shall the Administrative Agent or any of its Affiliates or Related Parties be responsible or have any liability for, or have any duty to ascertain, inquire into, monitor or enforce, compliance with the provisions hereof relating to Disqualified Lenders. Without limiting the generality of the foregoing, the Administrative Agent shall not (x) be obligated to ascertain, monitor or inquire as to whether any Lender or Participant or prospective Lender or Participant is a Disqualified Lender or (y) have any liability with respect to or arising out of any assignment or participation of Loans, or disclosure of confidential information, to any Disqualified Lender.</w:t>
      </w:r>
    </w:p>
    <w:p>
      <w:pPr>
        <w:spacing w:after="0" w:line="1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Section 10.07 </w:t>
      </w:r>
      <w:r>
        <w:rPr>
          <w:rFonts w:ascii="Times New Roman" w:cs="Times New Roman" w:eastAsia="Times New Roman" w:hAnsi="Times New Roman"/>
          <w:sz w:val="21"/>
          <w:szCs w:val="21"/>
          <w:i w:val="1"/>
          <w:iCs w:val="1"/>
          <w:color w:val="auto"/>
        </w:rPr>
        <w:t>Treatment of Certain Information; Confidentiality</w:t>
      </w:r>
    </w:p>
    <w:p>
      <w:pPr>
        <w:spacing w:after="0" w:line="211" w:lineRule="exact"/>
        <w:rPr>
          <w:sz w:val="20"/>
          <w:szCs w:val="20"/>
          <w:color w:val="auto"/>
        </w:rPr>
      </w:pPr>
    </w:p>
    <w:p>
      <w:pPr>
        <w:jc w:val="both"/>
        <w:ind w:firstLine="642"/>
        <w:spacing w:after="0" w:line="255" w:lineRule="auto"/>
        <w:tabs>
          <w:tab w:leader="none" w:pos="795" w:val="left"/>
        </w:tabs>
        <w:numPr>
          <w:ilvl w:val="0"/>
          <w:numId w:val="3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Administrative Agent, the Lenders and the L/C Issuers agrees to maintain the confidentiality of the Information, except that Information may be disclosed (a) to its Affiliates and to its and its Affiliates’ respective partners, directors, officers, employees, agents, trustees, advisors and representatives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it or its Affiliates (including any self-regulatory authority, such as the National Association of Insurance Commissioners), in which case each of the Administrative Agent, the Lenders and the L/C Issuers agrees to inform the Borrower promptly thereof prior to such disclosure to the extent not prohibited by law, rule or regulation, as applicable (except with respect to any audit or examination conducted by bank accountants or any governmental or regulatory authority exercising examination or regulatory authority over the Administrative Agent, such Lender or such L/C Issuer) and to use commercially reasonable efforts to ensure that any such information so disclosed is accorded confidential treatment, (c) pursuant to the order of any court or administrative agency or in any pending legal or administrative proceeding, or otherwise as required by applicable law or compulsory legal process or to the extent required by applicable laws or regulations or by any subpoena or similar legal process, in which case each of the Administrative Agent, the Lenders and the L/C Issuers agrees to inform the Borrower promptly thereof prior to such disclosure to the extent not prohibited by law, rule or regulation, as applicable (except with respect to any audit or examination conducted by bank accountants or any governmental or regulatory authority exercising examination or regulatory authority over the Administrative Agent, such Lender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185</w:t>
      </w:r>
    </w:p>
    <w:p>
      <w:pPr>
        <w:sectPr>
          <w:pgSz w:w="11900" w:h="16838" w:orient="portrait"/>
          <w:cols w:equalWidth="0" w:num="1">
            <w:col w:w="11240"/>
          </w:cols>
          <w:pgMar w:left="320" w:top="1371" w:right="339" w:bottom="1440" w:gutter="0" w:footer="0" w:header="0"/>
        </w:sectPr>
      </w:pPr>
    </w:p>
    <w:bookmarkStart w:id="291" w:name="page292"/>
    <w:bookmarkEnd w:id="291"/>
    <w:p>
      <w:pPr>
        <w:jc w:val="both"/>
        <w:spacing w:after="0" w:line="259" w:lineRule="auto"/>
        <w:rPr>
          <w:sz w:val="20"/>
          <w:szCs w:val="20"/>
          <w:color w:val="auto"/>
        </w:rPr>
      </w:pPr>
      <w:r>
        <w:rPr>
          <w:rFonts w:ascii="Times New Roman" w:cs="Times New Roman" w:eastAsia="Times New Roman" w:hAnsi="Times New Roman"/>
          <w:sz w:val="21"/>
          <w:szCs w:val="21"/>
          <w:color w:val="auto"/>
        </w:rPr>
        <w:t>such L/C Issuer) and to use commercially reasonable efforts to ensure that any such information so disclosed is accorded confidential treatment,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w:t>
      </w:r>
    </w:p>
    <w:p>
      <w:pPr>
        <w:spacing w:after="0" w:line="2" w:lineRule="exact"/>
        <w:rPr>
          <w:sz w:val="20"/>
          <w:szCs w:val="20"/>
          <w:color w:val="auto"/>
        </w:rPr>
      </w:pPr>
    </w:p>
    <w:p>
      <w:pPr>
        <w:jc w:val="both"/>
        <w:ind w:firstLine="6"/>
        <w:spacing w:after="0" w:line="253" w:lineRule="auto"/>
        <w:tabs>
          <w:tab w:leader="none" w:pos="281" w:val="left"/>
        </w:tabs>
        <w:numPr>
          <w:ilvl w:val="0"/>
          <w:numId w:val="3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assignee of or Participant in, or any prospective assignee of or Participant in, any of its rights or obligations under this Agreement or any Eligible Assignee invited to be a Lender or (ii) any </w:t>
      </w:r>
      <w:r>
        <w:rPr>
          <w:rFonts w:ascii="Times New Roman" w:cs="Times New Roman" w:eastAsia="Times New Roman" w:hAnsi="Times New Roman"/>
          <w:sz w:val="21"/>
          <w:szCs w:val="21"/>
          <w:b w:val="1"/>
          <w:bCs w:val="1"/>
          <w:u w:val="single" w:color="auto"/>
          <w:color w:val="0000FF"/>
        </w:rPr>
        <w:t>direct, indirect,</w:t>
      </w:r>
      <w:r>
        <w:rPr>
          <w:rFonts w:ascii="Times New Roman" w:cs="Times New Roman" w:eastAsia="Times New Roman" w:hAnsi="Times New Roman"/>
          <w:sz w:val="21"/>
          <w:szCs w:val="21"/>
          <w:color w:val="auto"/>
        </w:rPr>
        <w:t xml:space="preserve"> actual or prospective counterparty (or its advisors) to any swap </w:t>
      </w:r>
      <w:r>
        <w:rPr>
          <w:rFonts w:ascii="Times New Roman" w:cs="Times New Roman" w:eastAsia="Times New Roman" w:hAnsi="Times New Roman"/>
          <w:sz w:val="21"/>
          <w:szCs w:val="21"/>
          <w:b w:val="1"/>
          <w:bCs w:val="1"/>
          <w:color w:val="FF0000"/>
        </w:rPr>
        <w:t>or</w:t>
      </w:r>
      <w:r>
        <w:rPr>
          <w:rFonts w:ascii="Times New Roman" w:cs="Times New Roman" w:eastAsia="Times New Roman" w:hAnsi="Times New Roman"/>
          <w:sz w:val="21"/>
          <w:szCs w:val="21"/>
          <w:b w:val="1"/>
          <w:bCs w:val="1"/>
          <w:u w:val="single" w:color="auto"/>
          <w:color w:val="0000FF"/>
        </w:rPr>
        <w:t>,</w:t>
      </w:r>
      <w:r>
        <w:rPr>
          <w:rFonts w:ascii="Times New Roman" w:cs="Times New Roman" w:eastAsia="Times New Roman" w:hAnsi="Times New Roman"/>
          <w:sz w:val="21"/>
          <w:szCs w:val="21"/>
          <w:color w:val="auto"/>
        </w:rPr>
        <w:t xml:space="preserve"> derivative </w:t>
      </w:r>
      <w:r>
        <w:rPr>
          <w:rFonts w:ascii="Times New Roman" w:cs="Times New Roman" w:eastAsia="Times New Roman" w:hAnsi="Times New Roman"/>
          <w:sz w:val="21"/>
          <w:szCs w:val="21"/>
          <w:b w:val="1"/>
          <w:bCs w:val="1"/>
          <w:u w:val="single" w:color="auto"/>
          <w:color w:val="0000FF"/>
        </w:rPr>
        <w:t>or other</w:t>
      </w:r>
      <w:r>
        <w:rPr>
          <w:rFonts w:ascii="Times New Roman" w:cs="Times New Roman" w:eastAsia="Times New Roman" w:hAnsi="Times New Roman"/>
          <w:sz w:val="21"/>
          <w:szCs w:val="21"/>
          <w:color w:val="auto"/>
        </w:rPr>
        <w:t xml:space="preserve"> transaction </w:t>
      </w:r>
      <w:r>
        <w:rPr>
          <w:rFonts w:ascii="Times New Roman" w:cs="Times New Roman" w:eastAsia="Times New Roman" w:hAnsi="Times New Roman"/>
          <w:sz w:val="21"/>
          <w:szCs w:val="21"/>
          <w:b w:val="1"/>
          <w:bCs w:val="1"/>
          <w:color w:val="FF0000"/>
          <w:strike w:val="1"/>
        </w:rPr>
        <w:t>relating</w:t>
      </w:r>
      <w:r>
        <w:rPr>
          <w:rFonts w:ascii="Times New Roman" w:cs="Times New Roman" w:eastAsia="Times New Roman" w:hAnsi="Times New Roman"/>
          <w:sz w:val="21"/>
          <w:szCs w:val="21"/>
          <w:b w:val="1"/>
          <w:bCs w:val="1"/>
          <w:u w:val="single" w:color="auto"/>
          <w:color w:val="0000FF"/>
        </w:rPr>
        <w:t>under which payments are to be made by reference</w:t>
      </w:r>
      <w:r>
        <w:rPr>
          <w:rFonts w:ascii="Times New Roman" w:cs="Times New Roman" w:eastAsia="Times New Roman" w:hAnsi="Times New Roman"/>
          <w:sz w:val="21"/>
          <w:szCs w:val="21"/>
          <w:color w:val="auto"/>
        </w:rPr>
        <w:t xml:space="preserve"> to the Borrower and its obligations</w:t>
      </w:r>
      <w:r>
        <w:rPr>
          <w:rFonts w:ascii="Times New Roman" w:cs="Times New Roman" w:eastAsia="Times New Roman" w:hAnsi="Times New Roman"/>
          <w:sz w:val="21"/>
          <w:szCs w:val="21"/>
          <w:b w:val="1"/>
          <w:bCs w:val="1"/>
          <w:u w:val="single" w:color="auto"/>
          <w:color w:val="0000FF"/>
        </w:rPr>
        <w:t>, this Agreement, or payments hereunder</w:t>
      </w:r>
      <w:r>
        <w:rPr>
          <w:rFonts w:ascii="Times New Roman" w:cs="Times New Roman" w:eastAsia="Times New Roman" w:hAnsi="Times New Roman"/>
          <w:sz w:val="21"/>
          <w:szCs w:val="21"/>
          <w:color w:val="auto"/>
        </w:rPr>
        <w:t>, (g) with the consent of the Borrower, (h) on a confidential basis to (i) any rating agency in connection with rating the Borrower or its Restricted Subsidiaries or any Facility or (ii) the CUSIP Service Bureau or any similar agency in connection with the issuance and monitoring of CUSIP numbers with respect to any Facility or (i) to the extent such Information (x) becomes publicly available other than as a result of a breach of this Section, (y) becomes available to the Administrative Agent, any Lender, any L/C Issuer or any of their respective Affiliates on a nonconfidential basis from a source other than the Borrower or (z) is independently developed by the Administrative Agent, any Lender, any L/C Issuer or any of their respective Affiliates without reliance on any confidential Information of the Borrower and its Subsidiaries. In addition, each of the Administrative Agent, the Lenders and the L/C Issuers may disclose the existence of this Agreement and information about this Agreement to market data collectors, similar service providers to the lending industry and service providers to the Administrative Agent, the Lenders and the L/C Issuers in connection with the administration of this Agreement, the other Loan Documents and the Credit Extensions.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1224280</wp:posOffset>
            </wp:positionH>
            <wp:positionV relativeFrom="paragraph">
              <wp:posOffset>-1864995</wp:posOffset>
            </wp:positionV>
            <wp:extent cx="17716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9">
                      <a:extLst>
                        <a:ext uri="{28A0092B-C50C-407E-A947-70E740481C1C}"/>
                      </a:extLst>
                    </a:blip>
                    <a:srcRect/>
                    <a:stretch>
                      <a:fillRect/>
                    </a:stretch>
                  </pic:blipFill>
                  <pic:spPr bwMode="auto">
                    <a:xfrm>
                      <a:off x="0" y="0"/>
                      <a:ext cx="177165" cy="8255"/>
                    </a:xfrm>
                    <a:prstGeom prst="rect">
                      <a:avLst/>
                    </a:prstGeom>
                    <a:noFill/>
                  </pic:spPr>
                </pic:pic>
              </a:graphicData>
            </a:graphic>
          </wp:anchor>
        </w:drawing>
      </w:r>
    </w:p>
    <w:p>
      <w:pPr>
        <w:spacing w:after="0" w:line="155"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21"/>
          <w:szCs w:val="21"/>
          <w:color w:val="auto"/>
        </w:rPr>
        <w:t>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53"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21"/>
          <w:szCs w:val="21"/>
          <w:color w:val="auto"/>
        </w:rPr>
        <w:t>Each of the Administrative Agent, the Lenders and the L/C Issuers acknowledges that (a) the Information may include MNPI concerning the Borrower or a Subsidiary, as the case may be, (b) it has developed compliance procedures regarding the use of MNPI and (c) it will handle such MNPI in accordance with applicable Law, including United States Federal and state securities Laws.</w:t>
      </w:r>
    </w:p>
    <w:p>
      <w:pPr>
        <w:spacing w:after="0" w:line="200" w:lineRule="exact"/>
        <w:rPr>
          <w:sz w:val="20"/>
          <w:szCs w:val="20"/>
          <w:color w:val="auto"/>
        </w:rPr>
      </w:pPr>
    </w:p>
    <w:p>
      <w:pPr>
        <w:spacing w:after="0" w:line="216" w:lineRule="exact"/>
        <w:rPr>
          <w:sz w:val="20"/>
          <w:szCs w:val="20"/>
          <w:color w:val="auto"/>
        </w:rPr>
      </w:pPr>
    </w:p>
    <w:p>
      <w:pPr>
        <w:jc w:val="both"/>
        <w:ind w:firstLine="636"/>
        <w:spacing w:after="0" w:line="263" w:lineRule="auto"/>
        <w:rPr>
          <w:sz w:val="20"/>
          <w:szCs w:val="20"/>
          <w:color w:val="auto"/>
        </w:rPr>
      </w:pPr>
      <w:r>
        <w:rPr>
          <w:rFonts w:ascii="Times New Roman" w:cs="Times New Roman" w:eastAsia="Times New Roman" w:hAnsi="Times New Roman"/>
          <w:sz w:val="21"/>
          <w:szCs w:val="21"/>
          <w:b w:val="1"/>
          <w:bCs w:val="1"/>
          <w:u w:val="single" w:color="auto"/>
          <w:color w:val="0000FF"/>
        </w:rPr>
        <w:t>For the avoidance of doubt, nothing in this Section 10.07 shall prohibit any Person from voluntarily disclosing or providing any Information within the scope of this confidentiality provision to any governmental, regulatory or self-regulatory organization (any such entity, a “Regulatory Authority”) to the extent that any such prohibition on disclosure set forth in this Section 10.07 shall be prohibited by the laws or regulations applicable to such Regulatory Authority.</w:t>
      </w:r>
    </w:p>
    <w:p>
      <w:pPr>
        <w:spacing w:after="0" w:line="1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Section 10.08 </w:t>
      </w:r>
      <w:r>
        <w:rPr>
          <w:rFonts w:ascii="Times New Roman" w:cs="Times New Roman" w:eastAsia="Times New Roman" w:hAnsi="Times New Roman"/>
          <w:sz w:val="21"/>
          <w:szCs w:val="21"/>
          <w:i w:val="1"/>
          <w:iCs w:val="1"/>
          <w:color w:val="auto"/>
        </w:rPr>
        <w:t>Right of Setoff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186</w:t>
      </w:r>
    </w:p>
    <w:p>
      <w:pPr>
        <w:sectPr>
          <w:pgSz w:w="11900" w:h="16838" w:orient="portrait"/>
          <w:cols w:equalWidth="0" w:num="1">
            <w:col w:w="11240"/>
          </w:cols>
          <w:pgMar w:left="320" w:top="1398" w:right="339" w:bottom="1440" w:gutter="0" w:footer="0" w:header="0"/>
        </w:sectPr>
      </w:pPr>
    </w:p>
    <w:bookmarkStart w:id="292" w:name="page293"/>
    <w:bookmarkEnd w:id="292"/>
    <w:p>
      <w:pPr>
        <w:jc w:val="both"/>
        <w:ind w:firstLine="642"/>
        <w:spacing w:after="0" w:line="254" w:lineRule="auto"/>
        <w:tabs>
          <w:tab w:leader="none" w:pos="755" w:val="left"/>
        </w:tabs>
        <w:numPr>
          <w:ilvl w:val="0"/>
          <w:numId w:val="3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an Event of Default shall have occurred and be continuing, each Lender, each L/C Issuer and each of 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such L/C Issuer or any such Affiliate to or for the credit or the account of the Borrower against any and all of the obligations of the Borrower now or hereafter existing under this Agreement or any other Loan Document to such Lender or such L/C Issuer, irrespective of whether or not such Lender or such L/C Issuer shall have made any demand under this Agreement or any other Loan Document and although such obligations of the Borrower may be contingent or unmatured or are owed to a branch or office of such Lender or such L/C Issuer different from the branch or office holding such deposit or obligated on such indebtedness;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in the event that any Defaulting Lender shall exercise any such right of setoff, (x) all amounts so set off shall be paid over immediately to the Administrative Agent for further application in accordance with the provisions of </w:t>
      </w:r>
      <w:r>
        <w:rPr>
          <w:rFonts w:ascii="Times New Roman" w:cs="Times New Roman" w:eastAsia="Times New Roman" w:hAnsi="Times New Roman"/>
          <w:sz w:val="21"/>
          <w:szCs w:val="21"/>
          <w:u w:val="single" w:color="auto"/>
          <w:color w:val="auto"/>
        </w:rPr>
        <w:t>Section 2.16</w:t>
      </w:r>
      <w:r>
        <w:rPr>
          <w:rFonts w:ascii="Times New Roman" w:cs="Times New Roman" w:eastAsia="Times New Roman" w:hAnsi="Times New Roman"/>
          <w:sz w:val="21"/>
          <w:szCs w:val="21"/>
          <w:color w:val="auto"/>
        </w:rPr>
        <w:t xml:space="preserve">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The rights of each Lender, each L/C Issuer and their respective Affiliates under this Section are in addition to all other rights and remedies (including other rights of setoff) that such Lender, such L/C Issuer or their respective Affiliates may have under applicable Law or otherwise. Each Lender and L/C Issuer agrees to notify the Borrower and the Administrative Agent promptly after any such setoff and application;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failure to give such notice shall not affect the validity of such setoff and application.</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Section 10.09 </w:t>
      </w:r>
      <w:r>
        <w:rPr>
          <w:rFonts w:ascii="Times New Roman" w:cs="Times New Roman" w:eastAsia="Times New Roman" w:hAnsi="Times New Roman"/>
          <w:sz w:val="21"/>
          <w:szCs w:val="21"/>
          <w:i w:val="1"/>
          <w:iCs w:val="1"/>
          <w:color w:val="auto"/>
        </w:rPr>
        <w:t>Interest Rate Limitation</w:t>
      </w:r>
    </w:p>
    <w:p>
      <w:pPr>
        <w:spacing w:after="0" w:line="211" w:lineRule="exact"/>
        <w:rPr>
          <w:sz w:val="20"/>
          <w:szCs w:val="20"/>
          <w:color w:val="auto"/>
        </w:rPr>
      </w:pPr>
    </w:p>
    <w:p>
      <w:pPr>
        <w:jc w:val="both"/>
        <w:ind w:firstLine="642"/>
        <w:spacing w:after="0" w:line="258" w:lineRule="auto"/>
        <w:tabs>
          <w:tab w:leader="none" w:pos="742" w:val="left"/>
        </w:tabs>
        <w:numPr>
          <w:ilvl w:val="0"/>
          <w:numId w:val="3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contained in any Loan Document, the interest paid or agreed to be paid under the Loan Documents shall not exceed the maximum rate of non-usurious interest permitted by applicable Law (the “</w:t>
      </w:r>
      <w:r>
        <w:rPr>
          <w:rFonts w:ascii="Times New Roman" w:cs="Times New Roman" w:eastAsia="Times New Roman" w:hAnsi="Times New Roman"/>
          <w:sz w:val="21"/>
          <w:szCs w:val="21"/>
          <w:b w:val="1"/>
          <w:bCs w:val="1"/>
          <w:color w:val="auto"/>
        </w:rPr>
        <w:t>Maximum Rate</w:t>
      </w:r>
      <w:r>
        <w:rPr>
          <w:rFonts w:ascii="Times New Roman" w:cs="Times New Roman" w:eastAsia="Times New Roman" w:hAnsi="Times New Roman"/>
          <w:sz w:val="21"/>
          <w:szCs w:val="21"/>
          <w:color w:val="auto"/>
        </w:rPr>
        <w:t>”). If the Administrative Agent or any Lender shall receive interest in an amount that exceeds the Maximum Rate, the excess interest shall be applied to the unpaid principal of the Loans or, if it exceeds such unpaid principal, refunded to the Borrower. In determining whether the interest contracted for, charged, or received by the Administrative Agent or any Lender exceeds the Maximum Rate, such Person may, to the extent permitted by applicable Law, (a) characterize any payment that is not principal as an expense, fee, or premium rather than interest, (b) exclude optional prepayments and the effects thereof and (c) amortize, prorate, allocate, and spread in equal or unequal parts the total amount of interest throughout the contemplated term of the Obligations hereunder.</w:t>
      </w:r>
    </w:p>
    <w:p>
      <w:pPr>
        <w:spacing w:after="0" w:line="39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Section 10.10 </w:t>
      </w:r>
      <w:r>
        <w:rPr>
          <w:rFonts w:ascii="Times New Roman" w:cs="Times New Roman" w:eastAsia="Times New Roman" w:hAnsi="Times New Roman"/>
          <w:sz w:val="21"/>
          <w:szCs w:val="21"/>
          <w:i w:val="1"/>
          <w:iCs w:val="1"/>
          <w:color w:val="auto"/>
        </w:rPr>
        <w:t>Counterparts; Integration; Effectiveness</w:t>
      </w:r>
    </w:p>
    <w:p>
      <w:pPr>
        <w:spacing w:after="0" w:line="211" w:lineRule="exact"/>
        <w:rPr>
          <w:sz w:val="20"/>
          <w:szCs w:val="20"/>
          <w:color w:val="auto"/>
        </w:rPr>
      </w:pPr>
    </w:p>
    <w:p>
      <w:pPr>
        <w:jc w:val="both"/>
        <w:ind w:firstLine="642"/>
        <w:spacing w:after="0" w:line="266" w:lineRule="auto"/>
        <w:tabs>
          <w:tab w:leader="none" w:pos="742" w:val="left"/>
        </w:tabs>
        <w:numPr>
          <w:ilvl w:val="0"/>
          <w:numId w:val="3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may be executed in counterparts (and by different parties hereto in different counterparts), each of which shall constitute an original, but all of which when taken together shall constitute a single contract. This Agreement, the Fee Letters and the other Loan Documents constitute the entire contract among the parties relating to the subject matter hereof and supersede any and all previous agreements and understandings, oral or written, relating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187</w:t>
      </w:r>
    </w:p>
    <w:p>
      <w:pPr>
        <w:sectPr>
          <w:pgSz w:w="11900" w:h="16838" w:orient="portrait"/>
          <w:cols w:equalWidth="0" w:num="1">
            <w:col w:w="11240"/>
          </w:cols>
          <w:pgMar w:left="320" w:top="1397" w:right="339" w:bottom="1440" w:gutter="0" w:footer="0" w:header="0"/>
        </w:sectPr>
      </w:pPr>
    </w:p>
    <w:bookmarkStart w:id="293" w:name="page294"/>
    <w:bookmarkEnd w:id="293"/>
    <w:p>
      <w:pPr>
        <w:spacing w:after="0" w:line="285" w:lineRule="auto"/>
        <w:rPr>
          <w:sz w:val="20"/>
          <w:szCs w:val="20"/>
          <w:color w:val="auto"/>
        </w:rPr>
      </w:pPr>
      <w:r>
        <w:rPr>
          <w:rFonts w:ascii="Times New Roman" w:cs="Times New Roman" w:eastAsia="Times New Roman" w:hAnsi="Times New Roman"/>
          <w:sz w:val="21"/>
          <w:szCs w:val="21"/>
          <w:color w:val="auto"/>
        </w:rPr>
        <w:t>the subject matter hereof. Delivery of an executed counterpart of a signature page of this Agreement by facsimile or other electronic imaging means shall be effective as delivery of a manually executed counterpart of this Agreement.</w:t>
      </w:r>
    </w:p>
    <w:p>
      <w:pPr>
        <w:spacing w:after="0" w:line="1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Section 10.11 </w:t>
      </w:r>
      <w:r>
        <w:rPr>
          <w:rFonts w:ascii="Times New Roman" w:cs="Times New Roman" w:eastAsia="Times New Roman" w:hAnsi="Times New Roman"/>
          <w:sz w:val="21"/>
          <w:szCs w:val="21"/>
          <w:i w:val="1"/>
          <w:iCs w:val="1"/>
          <w:color w:val="auto"/>
        </w:rPr>
        <w:t>Survival of Representations and Warranties</w:t>
      </w:r>
    </w:p>
    <w:p>
      <w:pPr>
        <w:spacing w:after="0" w:line="211" w:lineRule="exact"/>
        <w:rPr>
          <w:sz w:val="20"/>
          <w:szCs w:val="20"/>
          <w:color w:val="auto"/>
        </w:rPr>
      </w:pPr>
    </w:p>
    <w:p>
      <w:pPr>
        <w:jc w:val="both"/>
        <w:ind w:firstLine="642"/>
        <w:spacing w:after="0" w:line="257" w:lineRule="auto"/>
        <w:tabs>
          <w:tab w:leader="none" w:pos="742" w:val="left"/>
        </w:tabs>
        <w:numPr>
          <w:ilvl w:val="0"/>
          <w:numId w:val="3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each Lender and each L/C Issuer, regardless of any investigation made by the Administrative Agent, any Lender or any L/C Issuer or on their behalf and notwithstanding that the Administrative Agent, any Lender or any L/C Issuer may have had notice or knowledge of any Default at the time of any Credit Extension, and shall continue in full force and effect as long as any Loan or any other Obligation (other than contingent indemnification obligations as to which no claim has been asserted and obligations and liabilities under Secured Cash Management Agreements and Secured Hedge Agreements) hereunder shall remain unpaid or unsatisfied, any Commitment remains in effect or any Letter of Credit shall remain outstanding.</w:t>
      </w:r>
    </w:p>
    <w:p>
      <w:pPr>
        <w:spacing w:after="0" w:line="14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Section 10.12 </w:t>
      </w:r>
      <w:r>
        <w:rPr>
          <w:rFonts w:ascii="Times New Roman" w:cs="Times New Roman" w:eastAsia="Times New Roman" w:hAnsi="Times New Roman"/>
          <w:sz w:val="21"/>
          <w:szCs w:val="21"/>
          <w:i w:val="1"/>
          <w:iCs w:val="1"/>
          <w:color w:val="auto"/>
        </w:rPr>
        <w:t>Severability</w:t>
      </w:r>
    </w:p>
    <w:p>
      <w:pPr>
        <w:spacing w:after="0" w:line="211" w:lineRule="exact"/>
        <w:rPr>
          <w:sz w:val="20"/>
          <w:szCs w:val="20"/>
          <w:color w:val="auto"/>
        </w:rPr>
      </w:pPr>
    </w:p>
    <w:p>
      <w:pPr>
        <w:jc w:val="both"/>
        <w:ind w:firstLine="642"/>
        <w:spacing w:after="0" w:line="257" w:lineRule="auto"/>
        <w:tabs>
          <w:tab w:leader="none" w:pos="742" w:val="left"/>
        </w:tabs>
        <w:numPr>
          <w:ilvl w:val="0"/>
          <w:numId w:val="3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any provision of this Agreement or the other Loan Documents is held to be illegal, invalid or unenforceable, then, to the fullest extent permitted by law,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10.12</w:t>
      </w:r>
      <w:r>
        <w:rPr>
          <w:rFonts w:ascii="Times New Roman" w:cs="Times New Roman" w:eastAsia="Times New Roman" w:hAnsi="Times New Roman"/>
          <w:sz w:val="21"/>
          <w:szCs w:val="21"/>
          <w:color w:val="auto"/>
        </w:rPr>
        <w:t>, if and to the extent that the enforceability of any provisions in this Agreement relating to Defaulting Lenders shall be limited by Debtor Relief Laws, as determined in good faith by the Administrative Agent or any L/C Issuer, as applicable, then such provisions shall be deemed to be in effect only to the extent not so limited.</w:t>
      </w:r>
    </w:p>
    <w:p>
      <w:pPr>
        <w:spacing w:after="0" w:line="14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Section 10.13 </w:t>
      </w:r>
      <w:r>
        <w:rPr>
          <w:rFonts w:ascii="Times New Roman" w:cs="Times New Roman" w:eastAsia="Times New Roman" w:hAnsi="Times New Roman"/>
          <w:sz w:val="21"/>
          <w:szCs w:val="21"/>
          <w:i w:val="1"/>
          <w:iCs w:val="1"/>
          <w:color w:val="auto"/>
        </w:rPr>
        <w:t>Replacement of Lenders</w:t>
      </w:r>
    </w:p>
    <w:p>
      <w:pPr>
        <w:spacing w:after="0" w:line="211" w:lineRule="exact"/>
        <w:rPr>
          <w:sz w:val="20"/>
          <w:szCs w:val="20"/>
          <w:color w:val="auto"/>
        </w:rPr>
      </w:pPr>
    </w:p>
    <w:p>
      <w:pPr>
        <w:jc w:val="both"/>
        <w:ind w:firstLine="642"/>
        <w:spacing w:after="0" w:line="257" w:lineRule="auto"/>
        <w:tabs>
          <w:tab w:leader="none" w:pos="742" w:val="left"/>
        </w:tabs>
        <w:numPr>
          <w:ilvl w:val="0"/>
          <w:numId w:val="3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any Lender requests compensation under </w:t>
      </w:r>
      <w:r>
        <w:rPr>
          <w:rFonts w:ascii="Times New Roman" w:cs="Times New Roman" w:eastAsia="Times New Roman" w:hAnsi="Times New Roman"/>
          <w:sz w:val="21"/>
          <w:szCs w:val="21"/>
          <w:u w:val="single" w:color="auto"/>
          <w:color w:val="auto"/>
        </w:rPr>
        <w:t>Section 3.04</w:t>
      </w:r>
      <w:r>
        <w:rPr>
          <w:rFonts w:ascii="Times New Roman" w:cs="Times New Roman" w:eastAsia="Times New Roman" w:hAnsi="Times New Roman"/>
          <w:sz w:val="21"/>
          <w:szCs w:val="21"/>
          <w:color w:val="auto"/>
        </w:rPr>
        <w:t xml:space="preserve">, or if the Borrower is required to pay any additional amount to any Lender or any Governmental Authority for the account of any Lender pursuant to </w:t>
      </w:r>
      <w:r>
        <w:rPr>
          <w:rFonts w:ascii="Times New Roman" w:cs="Times New Roman" w:eastAsia="Times New Roman" w:hAnsi="Times New Roman"/>
          <w:sz w:val="21"/>
          <w:szCs w:val="21"/>
          <w:u w:val="single" w:color="auto"/>
          <w:color w:val="auto"/>
        </w:rPr>
        <w:t>Section 3.01</w:t>
      </w:r>
      <w:r>
        <w:rPr>
          <w:rFonts w:ascii="Times New Roman" w:cs="Times New Roman" w:eastAsia="Times New Roman" w:hAnsi="Times New Roman"/>
          <w:sz w:val="21"/>
          <w:szCs w:val="21"/>
          <w:color w:val="auto"/>
        </w:rPr>
        <w:t xml:space="preserve">, or if any Lender shall have not consented to any proposed amendment, modification, termination, waiver or consent requiring the consent of all Lenders or all affected Lenders as contemplated by </w:t>
      </w:r>
      <w:r>
        <w:rPr>
          <w:rFonts w:ascii="Times New Roman" w:cs="Times New Roman" w:eastAsia="Times New Roman" w:hAnsi="Times New Roman"/>
          <w:sz w:val="21"/>
          <w:szCs w:val="21"/>
          <w:u w:val="single" w:color="auto"/>
          <w:color w:val="auto"/>
        </w:rPr>
        <w:t>Section 10.01</w:t>
      </w:r>
      <w:r>
        <w:rPr>
          <w:rFonts w:ascii="Times New Roman" w:cs="Times New Roman" w:eastAsia="Times New Roman" w:hAnsi="Times New Roman"/>
          <w:sz w:val="21"/>
          <w:szCs w:val="21"/>
          <w:color w:val="auto"/>
        </w:rPr>
        <w:t xml:space="preserve"> and the consent of the Required Lenders, the Required Revolving Credit Lenders or the Required Facility Lenders, as applicable, has been obtained, or if any Lender is a Defaulting Lender,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Times New Roman" w:cs="Times New Roman" w:eastAsia="Times New Roman" w:hAnsi="Times New Roman"/>
          <w:sz w:val="21"/>
          <w:szCs w:val="21"/>
          <w:u w:val="single" w:color="auto"/>
          <w:color w:val="auto"/>
        </w:rPr>
        <w:t>Section 10.06</w:t>
      </w:r>
      <w:r>
        <w:rPr>
          <w:rFonts w:ascii="Times New Roman" w:cs="Times New Roman" w:eastAsia="Times New Roman" w:hAnsi="Times New Roman"/>
          <w:sz w:val="21"/>
          <w:szCs w:val="21"/>
          <w:color w:val="auto"/>
        </w:rPr>
        <w:t>), all of its interests, rights (other than its existing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188</w:t>
      </w:r>
    </w:p>
    <w:p>
      <w:pPr>
        <w:sectPr>
          <w:pgSz w:w="11900" w:h="16838" w:orient="portrait"/>
          <w:cols w:equalWidth="0" w:num="1">
            <w:col w:w="11240"/>
          </w:cols>
          <w:pgMar w:left="320" w:top="1398" w:right="339" w:bottom="1440" w:gutter="0" w:footer="0" w:header="0"/>
        </w:sectPr>
      </w:pPr>
    </w:p>
    <w:bookmarkStart w:id="294" w:name="page295"/>
    <w:bookmarkEnd w:id="294"/>
    <w:p>
      <w:pPr>
        <w:jc w:val="both"/>
        <w:spacing w:after="0" w:line="267" w:lineRule="auto"/>
        <w:rPr>
          <w:sz w:val="20"/>
          <w:szCs w:val="20"/>
          <w:color w:val="auto"/>
        </w:rPr>
      </w:pPr>
      <w:r>
        <w:rPr>
          <w:rFonts w:ascii="Times New Roman" w:cs="Times New Roman" w:eastAsia="Times New Roman" w:hAnsi="Times New Roman"/>
          <w:sz w:val="21"/>
          <w:szCs w:val="21"/>
          <w:color w:val="auto"/>
        </w:rPr>
        <w:t xml:space="preserve">to payments pursuant to </w:t>
      </w:r>
      <w:r>
        <w:rPr>
          <w:rFonts w:ascii="Times New Roman" w:cs="Times New Roman" w:eastAsia="Times New Roman" w:hAnsi="Times New Roman"/>
          <w:sz w:val="21"/>
          <w:szCs w:val="21"/>
          <w:u w:val="single" w:color="auto"/>
          <w:color w:val="auto"/>
        </w:rPr>
        <w:t>Section 3.01</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3.04</w:t>
      </w:r>
      <w:r>
        <w:rPr>
          <w:rFonts w:ascii="Times New Roman" w:cs="Times New Roman" w:eastAsia="Times New Roman" w:hAnsi="Times New Roman"/>
          <w:sz w:val="21"/>
          <w:szCs w:val="21"/>
          <w:color w:val="auto"/>
        </w:rPr>
        <w:t xml:space="preserve">) and obligations under this Agreement and the related Loan Documents to an assignee that shall assume such obligations (which assignee may be another Lender, if a Lender accepts such assignment),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w:t>
      </w:r>
    </w:p>
    <w:p>
      <w:pPr>
        <w:spacing w:after="0" w:line="148" w:lineRule="exact"/>
        <w:rPr>
          <w:sz w:val="20"/>
          <w:szCs w:val="20"/>
          <w:color w:val="auto"/>
        </w:rPr>
      </w:pPr>
    </w:p>
    <w:p>
      <w:pPr>
        <w:ind w:left="1920" w:hanging="642"/>
        <w:spacing w:after="0"/>
        <w:tabs>
          <w:tab w:leader="none" w:pos="1920" w:val="left"/>
        </w:tabs>
        <w:numPr>
          <w:ilvl w:val="0"/>
          <w:numId w:val="3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Borrower shall have paid to the Administrative Agent the assignment fee specified in </w:t>
      </w:r>
      <w:r>
        <w:rPr>
          <w:rFonts w:ascii="Times New Roman" w:cs="Times New Roman" w:eastAsia="Times New Roman" w:hAnsi="Times New Roman"/>
          <w:sz w:val="21"/>
          <w:szCs w:val="21"/>
          <w:u w:val="single" w:color="auto"/>
          <w:color w:val="auto"/>
        </w:rPr>
        <w:t>Section 10.06(b)</w:t>
      </w:r>
      <w:r>
        <w:rPr>
          <w:rFonts w:ascii="Times New Roman" w:cs="Times New Roman" w:eastAsia="Times New Roman" w:hAnsi="Times New Roman"/>
          <w:sz w:val="21"/>
          <w:szCs w:val="21"/>
          <w:color w:val="auto"/>
        </w:rPr>
        <w:t>;</w:t>
      </w:r>
    </w:p>
    <w:p>
      <w:pPr>
        <w:spacing w:after="0" w:line="182" w:lineRule="exact"/>
        <w:rPr>
          <w:rFonts w:ascii="Times New Roman" w:cs="Times New Roman" w:eastAsia="Times New Roman" w:hAnsi="Times New Roman"/>
          <w:sz w:val="21"/>
          <w:szCs w:val="21"/>
          <w:color w:val="auto"/>
        </w:rPr>
      </w:pPr>
    </w:p>
    <w:p>
      <w:pPr>
        <w:jc w:val="both"/>
        <w:ind w:firstLine="1278"/>
        <w:spacing w:after="0" w:line="226" w:lineRule="auto"/>
        <w:tabs>
          <w:tab w:leader="none" w:pos="1903" w:val="left"/>
        </w:tabs>
        <w:numPr>
          <w:ilvl w:val="0"/>
          <w:numId w:val="3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such Lender shall have received payment of an amount equal to the outstanding principal of its Loans, L/C Advances, if any, accrued interest thereon, accrued fees and all other amounts payable to it hereunder and under the other Loan Documents (including any amounts under </w:t>
      </w:r>
      <w:r>
        <w:rPr>
          <w:rFonts w:ascii="Times New Roman" w:cs="Times New Roman" w:eastAsia="Times New Roman" w:hAnsi="Times New Roman"/>
          <w:sz w:val="21"/>
          <w:szCs w:val="21"/>
          <w:u w:val="single" w:color="auto"/>
          <w:color w:val="auto"/>
        </w:rPr>
        <w:t>Section 3.05</w:t>
      </w:r>
      <w:r>
        <w:rPr>
          <w:rFonts w:ascii="Times New Roman" w:cs="Times New Roman" w:eastAsia="Times New Roman" w:hAnsi="Times New Roman"/>
          <w:sz w:val="21"/>
          <w:szCs w:val="21"/>
          <w:color w:val="auto"/>
        </w:rPr>
        <w:t>) from the assignee (to the extent of such outstanding principal, L/C Advances, if any, and accrued interest and fees) or the Borrower (in the case of all other amounts);</w:t>
      </w:r>
    </w:p>
    <w:p>
      <w:pPr>
        <w:spacing w:after="0" w:line="150" w:lineRule="exact"/>
        <w:rPr>
          <w:rFonts w:ascii="Times New Roman" w:cs="Times New Roman" w:eastAsia="Times New Roman" w:hAnsi="Times New Roman"/>
          <w:sz w:val="21"/>
          <w:szCs w:val="21"/>
          <w:color w:val="auto"/>
        </w:rPr>
      </w:pPr>
    </w:p>
    <w:p>
      <w:pPr>
        <w:jc w:val="both"/>
        <w:ind w:firstLine="1278"/>
        <w:spacing w:after="0"/>
        <w:tabs>
          <w:tab w:leader="none" w:pos="1905" w:val="left"/>
        </w:tabs>
        <w:numPr>
          <w:ilvl w:val="0"/>
          <w:numId w:val="3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case of any such assignment resulting from a claim for compensation under </w:t>
      </w:r>
      <w:r>
        <w:rPr>
          <w:rFonts w:ascii="Times New Roman" w:cs="Times New Roman" w:eastAsia="Times New Roman" w:hAnsi="Times New Roman"/>
          <w:sz w:val="21"/>
          <w:szCs w:val="21"/>
          <w:u w:val="single" w:color="auto"/>
          <w:color w:val="auto"/>
        </w:rPr>
        <w:t>Section 3.04</w:t>
      </w:r>
      <w:r>
        <w:rPr>
          <w:rFonts w:ascii="Times New Roman" w:cs="Times New Roman" w:eastAsia="Times New Roman" w:hAnsi="Times New Roman"/>
          <w:sz w:val="21"/>
          <w:szCs w:val="21"/>
          <w:color w:val="auto"/>
        </w:rPr>
        <w:t xml:space="preserve"> or payments required to be made pursuant to </w:t>
      </w:r>
      <w:r>
        <w:rPr>
          <w:rFonts w:ascii="Times New Roman" w:cs="Times New Roman" w:eastAsia="Times New Roman" w:hAnsi="Times New Roman"/>
          <w:sz w:val="21"/>
          <w:szCs w:val="21"/>
          <w:u w:val="single" w:color="auto"/>
          <w:color w:val="auto"/>
        </w:rPr>
        <w:t>Section 3.01</w:t>
      </w:r>
      <w:r>
        <w:rPr>
          <w:rFonts w:ascii="Times New Roman" w:cs="Times New Roman" w:eastAsia="Times New Roman" w:hAnsi="Times New Roman"/>
          <w:sz w:val="21"/>
          <w:szCs w:val="21"/>
          <w:color w:val="auto"/>
        </w:rPr>
        <w:t>, such assignment will result in a reduction in such compensation or payments thereafter;</w:t>
      </w:r>
    </w:p>
    <w:p>
      <w:pPr>
        <w:spacing w:after="0" w:line="365" w:lineRule="exact"/>
        <w:rPr>
          <w:rFonts w:ascii="Times New Roman" w:cs="Times New Roman" w:eastAsia="Times New Roman" w:hAnsi="Times New Roman"/>
          <w:sz w:val="21"/>
          <w:szCs w:val="21"/>
          <w:color w:val="auto"/>
        </w:rPr>
      </w:pPr>
    </w:p>
    <w:p>
      <w:pPr>
        <w:ind w:left="1900" w:hanging="622"/>
        <w:spacing w:after="0"/>
        <w:tabs>
          <w:tab w:leader="none" w:pos="1900" w:val="left"/>
        </w:tabs>
        <w:numPr>
          <w:ilvl w:val="0"/>
          <w:numId w:val="3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assignment does not conflict with applicable Laws; and</w:t>
      </w:r>
    </w:p>
    <w:p>
      <w:pPr>
        <w:spacing w:after="0" w:line="182" w:lineRule="exact"/>
        <w:rPr>
          <w:rFonts w:ascii="Times New Roman" w:cs="Times New Roman" w:eastAsia="Times New Roman" w:hAnsi="Times New Roman"/>
          <w:sz w:val="21"/>
          <w:szCs w:val="21"/>
          <w:color w:val="auto"/>
        </w:rPr>
      </w:pPr>
    </w:p>
    <w:p>
      <w:pPr>
        <w:ind w:firstLine="1278"/>
        <w:spacing w:after="0" w:line="245" w:lineRule="auto"/>
        <w:tabs>
          <w:tab w:leader="none" w:pos="1905" w:val="left"/>
        </w:tabs>
        <w:numPr>
          <w:ilvl w:val="0"/>
          <w:numId w:val="3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any such assignment resulting from a Lender becoming a non-consenting Lender, the applicable assignee shall have consented to the applicable amendment, modification, termination, waiver or consent.</w:t>
      </w:r>
    </w:p>
    <w:p>
      <w:pPr>
        <w:spacing w:after="0" w:line="169"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21"/>
          <w:szCs w:val="21"/>
          <w:color w:val="auto"/>
        </w:rPr>
        <w:t xml:space="preserve">A Lender shall not be required to make any such assignment or delegation if, prior thereto, as a result of a waiver by such Lender or otherwise, the circumstances entitling the Borrower to require such assignment and delegation cease to apply. Each Lender and L/C Issuer hereby agrees and acknowledges that, with regard to any Assignment and Assumption necessary to effectuate any assignment of such Lender’s or L/C Issuer’s interests hereunder in the circumstances contemplated by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10.13</w:t>
      </w:r>
      <w:r>
        <w:rPr>
          <w:rFonts w:ascii="Times New Roman" w:cs="Times New Roman" w:eastAsia="Times New Roman" w:hAnsi="Times New Roman"/>
          <w:sz w:val="21"/>
          <w:szCs w:val="21"/>
          <w:color w:val="auto"/>
        </w:rPr>
        <w:t>, consent to such Assignment and Assumption shall have been deemed to have been given if such Lender or L/C Issuer has not responded within one Business Day of a request for such consent.</w:t>
      </w:r>
    </w:p>
    <w:p>
      <w:pPr>
        <w:spacing w:after="0" w:line="1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Section 10.14 </w:t>
      </w:r>
      <w:r>
        <w:rPr>
          <w:rFonts w:ascii="Times New Roman" w:cs="Times New Roman" w:eastAsia="Times New Roman" w:hAnsi="Times New Roman"/>
          <w:sz w:val="21"/>
          <w:szCs w:val="21"/>
          <w:i w:val="1"/>
          <w:iCs w:val="1"/>
          <w:color w:val="auto"/>
        </w:rPr>
        <w:t>Governing Law; Jurisdiction; Etc.</w:t>
      </w:r>
    </w:p>
    <w:p>
      <w:pPr>
        <w:spacing w:after="0" w:line="185" w:lineRule="exact"/>
        <w:rPr>
          <w:sz w:val="20"/>
          <w:szCs w:val="20"/>
          <w:color w:val="auto"/>
        </w:rPr>
      </w:pPr>
    </w:p>
    <w:p>
      <w:pPr>
        <w:jc w:val="both"/>
        <w:ind w:firstLine="1278"/>
        <w:spacing w:after="0" w:line="221" w:lineRule="auto"/>
        <w:tabs>
          <w:tab w:leader="none" w:pos="1905" w:val="left"/>
        </w:tabs>
        <w:numPr>
          <w:ilvl w:val="0"/>
          <w:numId w:val="3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Governing Law. THIS AGREEMENT AND THE OTHER LOAN DOCUMENTS AND ALL CLAIMS OR CAUSES OF ACTION (WHETHER IN CONTRACT, TORT OR OTHERWISE) THAT MAY BE BASED UPON, ARISE OUT OF OR RELATE IN ANY WAY HERETO OR THERETO OR THE NEGOTIATION, EXECUTION OR PERFORMANCE HEREOF OR THEREOF OR THE TRANSACTIONS CONTEMPLATED HEREBY OR THEREBY, UNLESS OTHERWISE EXPRESSLY SET FORTH THEREIN, SHALL BE GOVERNED BY, AND CONSTRUED IN ACCORDANCE WITH, THE LAW OF THE STATE OF NEW YORK.</w:t>
      </w:r>
    </w:p>
    <w:p>
      <w:pPr>
        <w:spacing w:after="0" w:line="149" w:lineRule="exact"/>
        <w:rPr>
          <w:rFonts w:ascii="Times New Roman" w:cs="Times New Roman" w:eastAsia="Times New Roman" w:hAnsi="Times New Roman"/>
          <w:sz w:val="21"/>
          <w:szCs w:val="21"/>
          <w:color w:val="auto"/>
        </w:rPr>
      </w:pPr>
    </w:p>
    <w:p>
      <w:pPr>
        <w:jc w:val="both"/>
        <w:ind w:firstLine="1278"/>
        <w:spacing w:after="0" w:line="226" w:lineRule="auto"/>
        <w:tabs>
          <w:tab w:leader="none" w:pos="1903" w:val="left"/>
        </w:tabs>
        <w:numPr>
          <w:ilvl w:val="0"/>
          <w:numId w:val="3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Submission to Jurisdiction. THE BORROWER IRREVOCABLY AND UNCONDITIONALLY SUBMITS, FOR ITSELF AND ITS PROPERTY, TO THE EXCLUSIVE JURISDICTION OF THE COURTS OF THE STATE OF NEW YORK SITTING IN THE BOROUGH OF MANHATTAN AND OF THE UNITED STATES DISTRICT COURT OF THE SOUTHERN DISTRICT OF NEW YORK </w:t>
      </w:r>
      <w:r>
        <w:rPr>
          <w:rFonts w:ascii="Times New Roman" w:cs="Times New Roman" w:eastAsia="Times New Roman" w:hAnsi="Times New Roman"/>
          <w:sz w:val="21"/>
          <w:szCs w:val="21"/>
          <w:b w:val="1"/>
          <w:bCs w:val="1"/>
          <w:u w:val="single" w:color="auto"/>
          <w:color w:val="0000FF"/>
        </w:rPr>
        <w:t>SITTING IN THE BOROUGH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189</w:t>
      </w:r>
    </w:p>
    <w:p>
      <w:pPr>
        <w:sectPr>
          <w:pgSz w:w="11900" w:h="16838" w:orient="portrait"/>
          <w:cols w:equalWidth="0" w:num="1">
            <w:col w:w="11240"/>
          </w:cols>
          <w:pgMar w:left="320" w:top="1397" w:right="339" w:bottom="1440" w:gutter="0" w:footer="0" w:header="0"/>
        </w:sectPr>
      </w:pPr>
    </w:p>
    <w:bookmarkStart w:id="295" w:name="page296"/>
    <w:bookmarkEnd w:id="295"/>
    <w:p>
      <w:pPr>
        <w:jc w:val="both"/>
        <w:spacing w:after="0" w:line="216" w:lineRule="auto"/>
        <w:rPr>
          <w:sz w:val="20"/>
          <w:szCs w:val="20"/>
          <w:color w:val="auto"/>
        </w:rPr>
      </w:pPr>
      <w:r>
        <w:rPr>
          <w:rFonts w:ascii="Times New Roman" w:cs="Times New Roman" w:eastAsia="Times New Roman" w:hAnsi="Times New Roman"/>
          <w:sz w:val="21"/>
          <w:szCs w:val="21"/>
          <w:b w:val="1"/>
          <w:bCs w:val="1"/>
          <w:u w:val="single" w:color="auto"/>
          <w:color w:val="0000FF"/>
        </w:rPr>
        <w:t>OF MANHATTAN</w:t>
      </w:r>
      <w:r>
        <w:rPr>
          <w:rFonts w:ascii="Times New Roman" w:cs="Times New Roman" w:eastAsia="Times New Roman" w:hAnsi="Times New Roman"/>
          <w:sz w:val="21"/>
          <w:szCs w:val="21"/>
          <w:color w:val="000000"/>
        </w:rPr>
        <w:t>, AND ANY APPELLATE COURT FROM ANY THEREOF, IN ANY ACTION OR PROCEEDING</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ARISING OUT OF OR RELATING TO THIS AGREEMENT OR ANY OTHER LOAN DOCUMENT, OR FOR RECOGNITION OR ENFORCEMENT OF ANY JUDGMENT, AND EACH OF THE PARTIES HERETO IRREVOCABLY AND UNCONDITIONALLY AGREES THAT ALL CLAIMS IN RESPECT OF ANY SUCH ACTION OR PROCEEDING SHALL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THE ADMINISTRATIVE AGENT, ANY LENDER OR ANY L/C ISSUER MAY OTHERWISE HAVE TO BRING ANY ACTION OR PROCEEDING RELATING TO THIS AGREEMENT OR ANY OTHER LOAN DOCUMENT AGAINST THE BORROWER OR ITS PROPERTIES IN THE COURTS OF ANY JURISDICTION.</w:t>
      </w:r>
    </w:p>
    <w:p>
      <w:pPr>
        <w:spacing w:after="0" w:line="152" w:lineRule="exact"/>
        <w:rPr>
          <w:sz w:val="20"/>
          <w:szCs w:val="20"/>
          <w:color w:val="auto"/>
        </w:rPr>
      </w:pPr>
    </w:p>
    <w:p>
      <w:pPr>
        <w:jc w:val="both"/>
        <w:ind w:firstLine="1278"/>
        <w:spacing w:after="0" w:line="219" w:lineRule="auto"/>
        <w:tabs>
          <w:tab w:leader="none" w:pos="1905" w:val="left"/>
        </w:tabs>
        <w:numPr>
          <w:ilvl w:val="0"/>
          <w:numId w:val="3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Waiver of Venue. THE BORROWER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w:t>
      </w:r>
      <w:r>
        <w:rPr>
          <w:rFonts w:ascii="Times New Roman" w:cs="Times New Roman" w:eastAsia="Times New Roman" w:hAnsi="Times New Roman"/>
          <w:sz w:val="21"/>
          <w:szCs w:val="21"/>
          <w:u w:val="single" w:color="auto"/>
          <w:color w:val="auto"/>
        </w:rPr>
        <w:t>PARAGRAPH (b)</w:t>
      </w:r>
      <w:r>
        <w:rPr>
          <w:rFonts w:ascii="Times New Roman" w:cs="Times New Roman" w:eastAsia="Times New Roman" w:hAnsi="Times New Roman"/>
          <w:sz w:val="21"/>
          <w:szCs w:val="21"/>
          <w:color w:val="auto"/>
        </w:rPr>
        <w:t xml:space="preserve"> OF THIS SECTION. EACH OF THE PARTIES HERETO HEREBY IRREVOCABLY WAIVES, TO THE FULLEST EXTENT PERMITTED BY APPLICABLE LAW, THE DEFENSE OF AN INCONVENIENT FORUM TO THE MAINTENANCE OF SUCH ACTION OR PROCEEDING IN ANY SUCH COURT.</w:t>
      </w:r>
    </w:p>
    <w:p>
      <w:pPr>
        <w:spacing w:after="0" w:line="153" w:lineRule="exact"/>
        <w:rPr>
          <w:rFonts w:ascii="Times New Roman" w:cs="Times New Roman" w:eastAsia="Times New Roman" w:hAnsi="Times New Roman"/>
          <w:sz w:val="21"/>
          <w:szCs w:val="21"/>
          <w:color w:val="auto"/>
        </w:rPr>
      </w:pPr>
    </w:p>
    <w:p>
      <w:pPr>
        <w:jc w:val="both"/>
        <w:ind w:firstLine="1278"/>
        <w:spacing w:after="0" w:line="232" w:lineRule="auto"/>
        <w:tabs>
          <w:tab w:leader="none" w:pos="1903" w:val="left"/>
        </w:tabs>
        <w:numPr>
          <w:ilvl w:val="0"/>
          <w:numId w:val="3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Service of Process. EACH PARTY HERETO IRREVOCABLY CONSENTS TO SERVICE OF PROCESS IN THE MANNER PROVIDED FOR NOTICES IN </w:t>
      </w:r>
      <w:r>
        <w:rPr>
          <w:rFonts w:ascii="Times New Roman" w:cs="Times New Roman" w:eastAsia="Times New Roman" w:hAnsi="Times New Roman"/>
          <w:sz w:val="21"/>
          <w:szCs w:val="21"/>
          <w:u w:val="single" w:color="auto"/>
          <w:color w:val="auto"/>
        </w:rPr>
        <w:t>SECTION 10.02</w:t>
      </w:r>
      <w:r>
        <w:rPr>
          <w:rFonts w:ascii="Times New Roman" w:cs="Times New Roman" w:eastAsia="Times New Roman" w:hAnsi="Times New Roman"/>
          <w:sz w:val="21"/>
          <w:szCs w:val="21"/>
          <w:color w:val="auto"/>
        </w:rPr>
        <w:t>. NOTHING IN THIS AGREEMENT WILL AFFECT THE RIGHT OF ANY PARTY HERETO TO SERVE PROCESS IN ANY OTHER MANNER PERMITTED BY APPLICABLE LAW.</w:t>
      </w:r>
    </w:p>
    <w:p>
      <w:pPr>
        <w:spacing w:after="0" w:line="14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Section 10.15 </w:t>
      </w:r>
      <w:r>
        <w:rPr>
          <w:rFonts w:ascii="Times New Roman" w:cs="Times New Roman" w:eastAsia="Times New Roman" w:hAnsi="Times New Roman"/>
          <w:sz w:val="21"/>
          <w:szCs w:val="21"/>
          <w:i w:val="1"/>
          <w:iCs w:val="1"/>
          <w:color w:val="auto"/>
        </w:rPr>
        <w:t>Waiver of Jury Trial</w:t>
      </w:r>
    </w:p>
    <w:p>
      <w:pPr>
        <w:spacing w:after="0" w:line="211" w:lineRule="exact"/>
        <w:rPr>
          <w:sz w:val="20"/>
          <w:szCs w:val="20"/>
          <w:color w:val="auto"/>
        </w:rPr>
      </w:pPr>
    </w:p>
    <w:p>
      <w:pPr>
        <w:jc w:val="both"/>
        <w:ind w:firstLine="642"/>
        <w:spacing w:after="0" w:line="257" w:lineRule="auto"/>
        <w:tabs>
          <w:tab w:leader="none" w:pos="795" w:val="left"/>
        </w:tabs>
        <w:numPr>
          <w:ilvl w:val="0"/>
          <w:numId w:val="3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Section 10.16 </w:t>
      </w:r>
      <w:r>
        <w:rPr>
          <w:rFonts w:ascii="Times New Roman" w:cs="Times New Roman" w:eastAsia="Times New Roman" w:hAnsi="Times New Roman"/>
          <w:sz w:val="21"/>
          <w:szCs w:val="21"/>
          <w:i w:val="1"/>
          <w:iCs w:val="1"/>
          <w:color w:val="auto"/>
        </w:rPr>
        <w:t>California Judicial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190</w:t>
      </w:r>
    </w:p>
    <w:p>
      <w:pPr>
        <w:sectPr>
          <w:pgSz w:w="11900" w:h="16838" w:orient="portrait"/>
          <w:cols w:equalWidth="0" w:num="1">
            <w:col w:w="11240"/>
          </w:cols>
          <w:pgMar w:left="320" w:top="1367" w:right="339" w:bottom="1440" w:gutter="0" w:footer="0" w:header="0"/>
        </w:sectPr>
      </w:pPr>
    </w:p>
    <w:bookmarkStart w:id="296" w:name="page297"/>
    <w:bookmarkEnd w:id="296"/>
    <w:p>
      <w:pPr>
        <w:jc w:val="both"/>
        <w:ind w:firstLine="642"/>
        <w:spacing w:after="0" w:line="257" w:lineRule="auto"/>
        <w:tabs>
          <w:tab w:leader="none" w:pos="755" w:val="left"/>
        </w:tabs>
        <w:numPr>
          <w:ilvl w:val="0"/>
          <w:numId w:val="3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any action or proceeding is filed in a court of the State of California by or against any party hereto in connection with any of the transactions contemplated by this Agreement or any other Loan Document, (a) the court shall, and is hereby directed to, make a general reference pursuant to California Code of Civil Procedure Section 638 to a referee (who shall be a single active or retired judge) to hear and determine all of the issues in such action or proceeding (whether of fact or of law) and to report a statement of decision,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at the option of any party to such proceeding, any such issues pertaining to a “provisional remedy” as defined in California Code of Civil Procedure Section 1281.8 shall be heard and determined by the court, and (b) without limiting the generality of </w:t>
      </w:r>
      <w:r>
        <w:rPr>
          <w:rFonts w:ascii="Times New Roman" w:cs="Times New Roman" w:eastAsia="Times New Roman" w:hAnsi="Times New Roman"/>
          <w:sz w:val="21"/>
          <w:szCs w:val="21"/>
          <w:u w:val="single" w:color="auto"/>
          <w:color w:val="auto"/>
        </w:rPr>
        <w:t>Section 10.04</w:t>
      </w:r>
      <w:r>
        <w:rPr>
          <w:rFonts w:ascii="Times New Roman" w:cs="Times New Roman" w:eastAsia="Times New Roman" w:hAnsi="Times New Roman"/>
          <w:sz w:val="21"/>
          <w:szCs w:val="21"/>
          <w:color w:val="auto"/>
        </w:rPr>
        <w:t>, the Borrower shall be solely responsible to pay all fees and expenses of any referee appointed in such action or proceeding.</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Section 10.17 </w:t>
      </w:r>
      <w:r>
        <w:rPr>
          <w:rFonts w:ascii="Times New Roman" w:cs="Times New Roman" w:eastAsia="Times New Roman" w:hAnsi="Times New Roman"/>
          <w:sz w:val="21"/>
          <w:szCs w:val="21"/>
          <w:i w:val="1"/>
          <w:iCs w:val="1"/>
          <w:color w:val="auto"/>
        </w:rPr>
        <w:t>No Advisory or Fiduciary Responsibility</w:t>
      </w:r>
    </w:p>
    <w:p>
      <w:pPr>
        <w:spacing w:after="0" w:line="211" w:lineRule="exact"/>
        <w:rPr>
          <w:sz w:val="20"/>
          <w:szCs w:val="20"/>
          <w:color w:val="auto"/>
        </w:rPr>
      </w:pPr>
    </w:p>
    <w:p>
      <w:pPr>
        <w:jc w:val="both"/>
        <w:ind w:firstLine="642"/>
        <w:spacing w:after="0" w:line="254" w:lineRule="auto"/>
        <w:tabs>
          <w:tab w:leader="none" w:pos="768" w:val="left"/>
        </w:tabs>
        <w:numPr>
          <w:ilvl w:val="0"/>
          <w:numId w:val="3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connection with all aspects of each transaction contemplated hereby (including in connection with any amendment, waiver or other modification hereof or of any other Loan Document), the Borrower acknowledges and agrees that: (i) (A) the arranging and other services regarding this Agreement provided by the Administrative Agent, the Arrangers, the Co-Managers and the Lenders are arm’s-length commercial transactions between the Borrower and its Affiliates, on the one hand, and the Administrative Agent, the Arrangers, the Co-Managers and the Lenders, on the other hand, (B) the Borrower has consulted its own legal, accounting, regulatory and tax advisors to the extent it has deemed appropriate, and (C) the Borrower is capable of evaluating, and understands and accepts, the terms, risks and conditions of the transactions contemplated hereby and by the other Loan Documents; (ii) (A) the Administrative Agent and each of the Arrangers, the Co-Managers and the Lenders is and has been acting solely as a principal and, except as expressly agreed in writing by the relevant parties, has not been, is not, and will not be acting as an advisor, agent or fiduciary for the Borrower or any of its Affiliates, or any other Person and (B) none of the Administrative Agent, the Arrangers, the Co-Managers or the Lenders has any obligation to the Borrower or any of its Affiliates with respect to the transactions contemplated hereby except those obligations expressly set forth herein and in the other Loan Documents; and (iii) the Administrative Agent and each of the Arrangers, the Co-Managers and the Lenders and their respective Affiliates may be engaged in a broad range of transactions that involve interests that differ from those of the Borrower and its Affiliates, and the Administrative Agent, the Arrangers, the Co-Managers and the Lenders do not have any obligation to disclose any of such interests to the Borrower or its Affiliates. To the fullest extent permitted by law, the Borrower hereby agrees not to assert any claims that it may have against the Administrative Agent and each of the Arrangers, the Co-Managers and the Lenders with respect to any breach or alleged breach of agency or fiduciary duty in connection with any aspect of any transaction contemplated hereby.</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Section 10.18 </w:t>
      </w:r>
      <w:r>
        <w:rPr>
          <w:rFonts w:ascii="Times New Roman" w:cs="Times New Roman" w:eastAsia="Times New Roman" w:hAnsi="Times New Roman"/>
          <w:sz w:val="21"/>
          <w:szCs w:val="21"/>
          <w:i w:val="1"/>
          <w:iCs w:val="1"/>
          <w:color w:val="auto"/>
        </w:rPr>
        <w:t>Electronic Execution of Assignments and Certain Other Documents</w:t>
      </w:r>
    </w:p>
    <w:p>
      <w:pPr>
        <w:spacing w:after="0" w:line="211" w:lineRule="exact"/>
        <w:rPr>
          <w:sz w:val="20"/>
          <w:szCs w:val="20"/>
          <w:color w:val="auto"/>
        </w:rPr>
      </w:pPr>
    </w:p>
    <w:p>
      <w:pPr>
        <w:jc w:val="both"/>
        <w:ind w:firstLine="642"/>
        <w:spacing w:after="0" w:line="261" w:lineRule="auto"/>
        <w:tabs>
          <w:tab w:leader="none" w:pos="768" w:val="left"/>
        </w:tabs>
        <w:numPr>
          <w:ilvl w:val="0"/>
          <w:numId w:val="3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words “execution,” “signed,” “signature,” and words of like import in or related to any document to be signed in connection with this Agreement and the transactions contemplated hereby (including, without limitation, Assignment and Assumptions or in any amendment or other modification hereof (including waivers and consents)) shall be deemed to include electronic signatures, the electronic matching of assignment terms and contract formations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191</w:t>
      </w:r>
    </w:p>
    <w:p>
      <w:pPr>
        <w:sectPr>
          <w:pgSz w:w="11900" w:h="16838" w:orient="portrait"/>
          <w:cols w:equalWidth="0" w:num="1">
            <w:col w:w="11240"/>
          </w:cols>
          <w:pgMar w:left="320" w:top="1397" w:right="339" w:bottom="1440" w:gutter="0" w:footer="0" w:header="0"/>
        </w:sectPr>
      </w:pPr>
    </w:p>
    <w:bookmarkStart w:id="297" w:name="page298"/>
    <w:bookmarkEnd w:id="297"/>
    <w:p>
      <w:pPr>
        <w:jc w:val="both"/>
        <w:spacing w:after="0" w:line="262" w:lineRule="auto"/>
        <w:rPr>
          <w:sz w:val="20"/>
          <w:szCs w:val="20"/>
          <w:color w:val="auto"/>
        </w:rPr>
      </w:pPr>
      <w:r>
        <w:rPr>
          <w:rFonts w:ascii="Times New Roman" w:cs="Times New Roman" w:eastAsia="Times New Roman" w:hAnsi="Times New Roman"/>
          <w:sz w:val="21"/>
          <w:szCs w:val="21"/>
          <w:color w:val="auto"/>
        </w:rPr>
        <w:t>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Section 10.19 </w:t>
      </w:r>
      <w:r>
        <w:rPr>
          <w:rFonts w:ascii="Times New Roman" w:cs="Times New Roman" w:eastAsia="Times New Roman" w:hAnsi="Times New Roman"/>
          <w:sz w:val="21"/>
          <w:szCs w:val="21"/>
          <w:i w:val="1"/>
          <w:iCs w:val="1"/>
          <w:color w:val="auto"/>
        </w:rPr>
        <w:t>USA PATRIOT Act</w:t>
      </w:r>
    </w:p>
    <w:p>
      <w:pPr>
        <w:spacing w:after="0" w:line="211" w:lineRule="exact"/>
        <w:rPr>
          <w:sz w:val="20"/>
          <w:szCs w:val="20"/>
          <w:color w:val="auto"/>
        </w:rPr>
      </w:pPr>
    </w:p>
    <w:p>
      <w:pPr>
        <w:jc w:val="both"/>
        <w:ind w:firstLine="642"/>
        <w:spacing w:after="0" w:line="257" w:lineRule="auto"/>
        <w:tabs>
          <w:tab w:leader="none" w:pos="742" w:val="left"/>
        </w:tabs>
        <w:numPr>
          <w:ilvl w:val="0"/>
          <w:numId w:val="3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 and each L/C Issuer that is subject to the Act and the Administrative Agent (for itself and not on behalf of any Lender or L/C Issuer) hereby notifies the Borrower that pursuant to the requirements of the USA PATRIOT Act (Title III of Pub. L. 107-56 (signed into law October 26, 2001)) (the “</w:t>
      </w:r>
      <w:r>
        <w:rPr>
          <w:rFonts w:ascii="Times New Roman" w:cs="Times New Roman" w:eastAsia="Times New Roman" w:hAnsi="Times New Roman"/>
          <w:sz w:val="21"/>
          <w:szCs w:val="21"/>
          <w:b w:val="1"/>
          <w:bCs w:val="1"/>
          <w:color w:val="auto"/>
        </w:rPr>
        <w:t>Act</w:t>
      </w:r>
      <w:r>
        <w:rPr>
          <w:rFonts w:ascii="Times New Roman" w:cs="Times New Roman" w:eastAsia="Times New Roman" w:hAnsi="Times New Roman"/>
          <w:sz w:val="21"/>
          <w:szCs w:val="21"/>
          <w:color w:val="auto"/>
        </w:rPr>
        <w:t>”) and the Beneficial Ownership Regulation, it is required to obtain, verify and record information that identifies the Borrower and each Guarantor, which information includes the name, tax identification number and address of the Borrower and each Guarantor and other information that will allow such Lender or L/C Issuer or the Administrative Agent, as applicable, to identify the Borrower and each Guarantor in accordance with the Act and the Beneficial Ownership Regulation. The Borrower shall, and shall cause each Guarantor to, promptly following a request by the Administrative Agent or any Lender or L/C Issuer, provide all documentation and other information that the Administrative Agent or L/C Issuer or such Lender requests in order to comply with its ongoing obligations under applicable “know your customer” and anti-money laundering rules and regulations, including the Act and the Beneficial Ownership Regulation.</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Section 10.20 </w:t>
      </w:r>
      <w:r>
        <w:rPr>
          <w:rFonts w:ascii="Times New Roman" w:cs="Times New Roman" w:eastAsia="Times New Roman" w:hAnsi="Times New Roman"/>
          <w:sz w:val="21"/>
          <w:szCs w:val="21"/>
          <w:i w:val="1"/>
          <w:iCs w:val="1"/>
          <w:color w:val="auto"/>
        </w:rPr>
        <w:t>Judgment Currency</w:t>
      </w:r>
    </w:p>
    <w:p>
      <w:pPr>
        <w:spacing w:after="0" w:line="211" w:lineRule="exact"/>
        <w:rPr>
          <w:sz w:val="20"/>
          <w:szCs w:val="20"/>
          <w:color w:val="auto"/>
        </w:rPr>
      </w:pPr>
    </w:p>
    <w:p>
      <w:pPr>
        <w:jc w:val="both"/>
        <w:ind w:firstLine="642"/>
        <w:spacing w:after="0" w:line="254" w:lineRule="auto"/>
        <w:tabs>
          <w:tab w:leader="none" w:pos="742" w:val="left"/>
        </w:tabs>
        <w:numPr>
          <w:ilvl w:val="0"/>
          <w:numId w:val="3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for the purposes of obtaining judgment in any court, it is necessary to convert a sum due hereunder or under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the Borrower in respect of any such sum due from it to the Administrative Agent or any Lender or L/C Issuer hereunder or under the other Loan Documents shall, notwithstanding any judgment in a currency (the “</w:t>
      </w:r>
      <w:r>
        <w:rPr>
          <w:rFonts w:ascii="Times New Roman" w:cs="Times New Roman" w:eastAsia="Times New Roman" w:hAnsi="Times New Roman"/>
          <w:sz w:val="21"/>
          <w:szCs w:val="21"/>
          <w:b w:val="1"/>
          <w:bCs w:val="1"/>
          <w:color w:val="auto"/>
        </w:rPr>
        <w:t>Judgment Currency</w:t>
      </w:r>
      <w:r>
        <w:rPr>
          <w:rFonts w:ascii="Times New Roman" w:cs="Times New Roman" w:eastAsia="Times New Roman" w:hAnsi="Times New Roman"/>
          <w:sz w:val="21"/>
          <w:szCs w:val="21"/>
          <w:color w:val="auto"/>
        </w:rPr>
        <w:t>”) other than that in which such sum is denominated in accordance with the applicable provisions of this Agreement (the “</w:t>
      </w:r>
      <w:r>
        <w:rPr>
          <w:rFonts w:ascii="Times New Roman" w:cs="Times New Roman" w:eastAsia="Times New Roman" w:hAnsi="Times New Roman"/>
          <w:sz w:val="21"/>
          <w:szCs w:val="21"/>
          <w:b w:val="1"/>
          <w:bCs w:val="1"/>
          <w:color w:val="auto"/>
        </w:rPr>
        <w:t>Agreement Currency</w:t>
      </w:r>
      <w:r>
        <w:rPr>
          <w:rFonts w:ascii="Times New Roman" w:cs="Times New Roman" w:eastAsia="Times New Roman" w:hAnsi="Times New Roman"/>
          <w:sz w:val="21"/>
          <w:szCs w:val="21"/>
          <w:color w:val="auto"/>
        </w:rPr>
        <w:t xml:space="preserve">”), be discharged only to the extent that on the Business Day following receipt by the Administrative Agent or such Lender or L/C Issuer, as the case may be, of any sum adjudged to be so due in the Judgment Currency, the Administrative Agent or such Lender or L/C Issuer, as the case may be, may in accordance with normal banking procedures purchase the Agreement Currency with the Judgment Currency. If the amount of the Agreement Currency so purchased is less than the sum originally due to the Administrative Agent or any Lender or L/C Issuer from the Borrower in the Agreement Currency, the Borrower agrees, as a separate obligation and notwithstanding any such judgment, to indemnify the Administrative Agent or such Lender or L/C Issuer, as the case may be, against such loss. The provisions of this </w:t>
      </w:r>
      <w:r>
        <w:rPr>
          <w:rFonts w:ascii="Times New Roman" w:cs="Times New Roman" w:eastAsia="Times New Roman" w:hAnsi="Times New Roman"/>
          <w:sz w:val="21"/>
          <w:szCs w:val="21"/>
          <w:u w:val="single" w:color="auto"/>
          <w:color w:val="auto"/>
        </w:rPr>
        <w:t>Section 10.20</w:t>
      </w:r>
      <w:r>
        <w:rPr>
          <w:rFonts w:ascii="Times New Roman" w:cs="Times New Roman" w:eastAsia="Times New Roman" w:hAnsi="Times New Roman"/>
          <w:sz w:val="21"/>
          <w:szCs w:val="21"/>
          <w:color w:val="auto"/>
        </w:rPr>
        <w:t xml:space="preserve"> shall survive the payment in full of the Obligations, the termination of the Commitments and the termination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192</w:t>
      </w:r>
    </w:p>
    <w:p>
      <w:pPr>
        <w:sectPr>
          <w:pgSz w:w="11900" w:h="16838" w:orient="portrait"/>
          <w:cols w:equalWidth="0" w:num="1">
            <w:col w:w="11240"/>
          </w:cols>
          <w:pgMar w:left="320" w:top="1398" w:right="339" w:bottom="1440" w:gutter="0" w:footer="0" w:header="0"/>
        </w:sectPr>
      </w:pPr>
    </w:p>
    <w:bookmarkStart w:id="298" w:name="page299"/>
    <w:bookmarkEnd w:id="298"/>
    <w:p>
      <w:pPr>
        <w:ind w:left="640"/>
        <w:spacing w:after="0"/>
        <w:rPr>
          <w:sz w:val="20"/>
          <w:szCs w:val="20"/>
          <w:color w:val="auto"/>
        </w:rPr>
      </w:pPr>
      <w:r>
        <w:rPr>
          <w:rFonts w:ascii="Times New Roman" w:cs="Times New Roman" w:eastAsia="Times New Roman" w:hAnsi="Times New Roman"/>
          <w:sz w:val="21"/>
          <w:szCs w:val="21"/>
          <w:color w:val="auto"/>
        </w:rPr>
        <w:t xml:space="preserve">Section 10.21 </w:t>
      </w:r>
      <w:r>
        <w:rPr>
          <w:rFonts w:ascii="Times New Roman" w:cs="Times New Roman" w:eastAsia="Times New Roman" w:hAnsi="Times New Roman"/>
          <w:sz w:val="21"/>
          <w:szCs w:val="21"/>
          <w:i w:val="1"/>
          <w:iCs w:val="1"/>
          <w:color w:val="auto"/>
        </w:rPr>
        <w:t>Pari Passu Intercreditor Agreement</w:t>
      </w:r>
    </w:p>
    <w:p>
      <w:pPr>
        <w:spacing w:after="0" w:line="211" w:lineRule="exact"/>
        <w:rPr>
          <w:sz w:val="20"/>
          <w:szCs w:val="20"/>
          <w:color w:val="auto"/>
        </w:rPr>
      </w:pPr>
    </w:p>
    <w:p>
      <w:pPr>
        <w:jc w:val="both"/>
        <w:ind w:firstLine="642"/>
        <w:spacing w:after="0" w:line="257" w:lineRule="auto"/>
        <w:tabs>
          <w:tab w:leader="none" w:pos="755" w:val="left"/>
        </w:tabs>
        <w:numPr>
          <w:ilvl w:val="0"/>
          <w:numId w:val="3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in this Agreement or in any other Loan Document: (i) the Liens granted to the Administrative Agent in favor of the Secured Parties pursuant to the Loan Documents and the exercise of any right related to any Collateral shall be subject, in each case, to the terms of the Pari Passu Intercreditor Agreement (if in effect), (ii) in the event of any conflict between the express terms and provisions of this Agreement or any other Loan Document, on the one hand, and of the Pari Passu Intercreditor Agreement, on the other hand, the terms and provisions of the Pari Passu Intercreditor Agreement shall control and (iii) each Lender and L/C Issuer (A) authorizes the Administrative Agent to execute the Pari Passu Intercreditor Agreement on behalf of such Lender and L/C Issuer, and (B) agrees to be bound by the terms of the Pari Passu Intercreditor Agreement and agrees that any action taken by the Administrative Agent under the Pari Passu Intercreditor Agreement shall be binding upon such Lender and L/C Issuer.</w:t>
      </w:r>
    </w:p>
    <w:p>
      <w:pPr>
        <w:spacing w:after="0" w:line="14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Section 10.22 </w:t>
      </w:r>
      <w:r>
        <w:rPr>
          <w:rFonts w:ascii="Times New Roman" w:cs="Times New Roman" w:eastAsia="Times New Roman" w:hAnsi="Times New Roman"/>
          <w:sz w:val="21"/>
          <w:szCs w:val="21"/>
          <w:i w:val="1"/>
          <w:iCs w:val="1"/>
          <w:color w:val="auto"/>
        </w:rPr>
        <w:t>Acknowledgement and Consent to Bail-In of Affected Financial Institutions.</w:t>
      </w:r>
    </w:p>
    <w:p>
      <w:pPr>
        <w:spacing w:after="0" w:line="211"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21"/>
          <w:szCs w:val="21"/>
          <w:color w:val="auto"/>
        </w:rPr>
        <w:t>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Write-Down and Conversion Powers of the applicable Resolution Authority and agrees and consents to, and acknowledges and agrees to be bound by:</w:t>
      </w:r>
    </w:p>
    <w:p>
      <w:pPr>
        <w:spacing w:after="0" w:line="142" w:lineRule="exact"/>
        <w:rPr>
          <w:sz w:val="20"/>
          <w:szCs w:val="20"/>
          <w:color w:val="auto"/>
        </w:rPr>
      </w:pPr>
    </w:p>
    <w:p>
      <w:pPr>
        <w:ind w:firstLine="1278"/>
        <w:spacing w:after="0" w:line="245" w:lineRule="auto"/>
        <w:tabs>
          <w:tab w:leader="none" w:pos="1905" w:val="left"/>
        </w:tabs>
        <w:numPr>
          <w:ilvl w:val="0"/>
          <w:numId w:val="3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application of any Write-Down and Conversion Powers by the applicable Resolution Authority to any such liabilities arising hereunder which may be payable to it by any Lender that is an Affected Financial Institution; and</w:t>
      </w:r>
    </w:p>
    <w:p>
      <w:pPr>
        <w:spacing w:after="0" w:line="142" w:lineRule="exact"/>
        <w:rPr>
          <w:rFonts w:ascii="Times New Roman" w:cs="Times New Roman" w:eastAsia="Times New Roman" w:hAnsi="Times New Roman"/>
          <w:sz w:val="21"/>
          <w:szCs w:val="21"/>
          <w:color w:val="auto"/>
        </w:rPr>
      </w:pPr>
    </w:p>
    <w:p>
      <w:pPr>
        <w:ind w:left="1900" w:hanging="622"/>
        <w:spacing w:after="0"/>
        <w:tabs>
          <w:tab w:leader="none" w:pos="1900" w:val="left"/>
        </w:tabs>
        <w:numPr>
          <w:ilvl w:val="0"/>
          <w:numId w:val="3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effects of any Bail-In Action on any such liability, including, if applicable:</w:t>
      </w:r>
    </w:p>
    <w:p>
      <w:pPr>
        <w:spacing w:after="0" w:line="182" w:lineRule="exact"/>
        <w:rPr>
          <w:rFonts w:ascii="Times New Roman" w:cs="Times New Roman" w:eastAsia="Times New Roman" w:hAnsi="Times New Roman"/>
          <w:sz w:val="21"/>
          <w:szCs w:val="21"/>
          <w:color w:val="auto"/>
        </w:rPr>
      </w:pPr>
    </w:p>
    <w:p>
      <w:pPr>
        <w:ind w:left="2540" w:hanging="626"/>
        <w:spacing w:after="0"/>
        <w:tabs>
          <w:tab w:leader="none" w:pos="2540" w:val="left"/>
        </w:tabs>
        <w:numPr>
          <w:ilvl w:val="1"/>
          <w:numId w:val="3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reduction in full or in part or cancellation of any such liability;</w:t>
      </w:r>
    </w:p>
    <w:p>
      <w:pPr>
        <w:spacing w:after="0" w:line="182" w:lineRule="exact"/>
        <w:rPr>
          <w:rFonts w:ascii="Times New Roman" w:cs="Times New Roman" w:eastAsia="Times New Roman" w:hAnsi="Times New Roman"/>
          <w:sz w:val="21"/>
          <w:szCs w:val="21"/>
          <w:color w:val="auto"/>
        </w:rPr>
      </w:pPr>
    </w:p>
    <w:p>
      <w:pPr>
        <w:jc w:val="both"/>
        <w:ind w:firstLine="1914"/>
        <w:spacing w:after="0" w:line="226" w:lineRule="auto"/>
        <w:tabs>
          <w:tab w:leader="none" w:pos="2538" w:val="left"/>
        </w:tabs>
        <w:numPr>
          <w:ilvl w:val="1"/>
          <w:numId w:val="3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50" w:lineRule="exact"/>
        <w:rPr>
          <w:rFonts w:ascii="Times New Roman" w:cs="Times New Roman" w:eastAsia="Times New Roman" w:hAnsi="Times New Roman"/>
          <w:sz w:val="21"/>
          <w:szCs w:val="21"/>
          <w:color w:val="auto"/>
        </w:rPr>
      </w:pPr>
    </w:p>
    <w:p>
      <w:pPr>
        <w:ind w:left="640" w:firstLine="1274"/>
        <w:spacing w:after="0" w:line="245" w:lineRule="auto"/>
        <w:tabs>
          <w:tab w:leader="none" w:pos="2548" w:val="left"/>
        </w:tabs>
        <w:numPr>
          <w:ilvl w:val="1"/>
          <w:numId w:val="3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variation of the terms of such liability in connection with the exercise of the Write-Down and Conversion Powers of the applicable Resolution Authority.</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Section 10.23 </w:t>
      </w:r>
      <w:r>
        <w:rPr>
          <w:rFonts w:ascii="Times New Roman" w:cs="Times New Roman" w:eastAsia="Times New Roman" w:hAnsi="Times New Roman"/>
          <w:sz w:val="21"/>
          <w:szCs w:val="21"/>
          <w:i w:val="1"/>
          <w:iCs w:val="1"/>
          <w:color w:val="auto"/>
        </w:rPr>
        <w:t>Acknowledgement Regarding Any Supported QFCs</w:t>
      </w:r>
    </w:p>
    <w:p>
      <w:pPr>
        <w:spacing w:after="0" w:line="211" w:lineRule="exact"/>
        <w:rPr>
          <w:sz w:val="20"/>
          <w:szCs w:val="20"/>
          <w:color w:val="auto"/>
        </w:rPr>
      </w:pPr>
    </w:p>
    <w:p>
      <w:pPr>
        <w:jc w:val="both"/>
        <w:ind w:firstLine="642"/>
        <w:spacing w:after="0" w:line="274" w:lineRule="auto"/>
        <w:tabs>
          <w:tab w:leader="none" w:pos="742" w:val="left"/>
        </w:tabs>
        <w:numPr>
          <w:ilvl w:val="0"/>
          <w:numId w:val="3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that the Loan Documents provide support, through a guarantee or otherwise, for Swap Contracts or any other agreement or instrument that is a QFC (such support, “</w:t>
      </w:r>
      <w:r>
        <w:rPr>
          <w:rFonts w:ascii="Times New Roman" w:cs="Times New Roman" w:eastAsia="Times New Roman" w:hAnsi="Times New Roman"/>
          <w:sz w:val="21"/>
          <w:szCs w:val="21"/>
          <w:b w:val="1"/>
          <w:bCs w:val="1"/>
          <w:color w:val="auto"/>
        </w:rPr>
        <w:t>QFC Credit Support</w:t>
      </w:r>
      <w:r>
        <w:rPr>
          <w:rFonts w:ascii="Times New Roman" w:cs="Times New Roman" w:eastAsia="Times New Roman" w:hAnsi="Times New Roman"/>
          <w:sz w:val="21"/>
          <w:szCs w:val="21"/>
          <w:color w:val="auto"/>
        </w:rPr>
        <w:t>,” and each such QFC, a “</w:t>
      </w:r>
      <w:r>
        <w:rPr>
          <w:rFonts w:ascii="Times New Roman" w:cs="Times New Roman" w:eastAsia="Times New Roman" w:hAnsi="Times New Roman"/>
          <w:sz w:val="21"/>
          <w:szCs w:val="21"/>
          <w:b w:val="1"/>
          <w:bCs w:val="1"/>
          <w:color w:val="auto"/>
        </w:rPr>
        <w:t>Supported QFC</w:t>
      </w:r>
      <w:r>
        <w:rPr>
          <w:rFonts w:ascii="Times New Roman" w:cs="Times New Roman" w:eastAsia="Times New Roman" w:hAnsi="Times New Roman"/>
          <w:sz w:val="21"/>
          <w:szCs w:val="21"/>
          <w:color w:val="auto"/>
        </w:rPr>
        <w:t>”), the parties acknowledge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193</w:t>
      </w:r>
    </w:p>
    <w:p>
      <w:pPr>
        <w:sectPr>
          <w:pgSz w:w="11900" w:h="16838" w:orient="portrait"/>
          <w:cols w:equalWidth="0" w:num="1">
            <w:col w:w="11240"/>
          </w:cols>
          <w:pgMar w:left="320" w:top="1369" w:right="339" w:bottom="1440" w:gutter="0" w:footer="0" w:header="0"/>
        </w:sectPr>
      </w:pPr>
    </w:p>
    <w:bookmarkStart w:id="299" w:name="page300"/>
    <w:bookmarkEnd w:id="299"/>
    <w:p>
      <w:pPr>
        <w:jc w:val="both"/>
        <w:spacing w:after="0" w:line="262" w:lineRule="auto"/>
        <w:rPr>
          <w:sz w:val="20"/>
          <w:szCs w:val="20"/>
          <w:color w:val="auto"/>
        </w:rPr>
      </w:pPr>
      <w:r>
        <w:rPr>
          <w:rFonts w:ascii="Times New Roman" w:cs="Times New Roman" w:eastAsia="Times New Roman" w:hAnsi="Times New Roman"/>
          <w:sz w:val="21"/>
          <w:szCs w:val="21"/>
          <w:color w:val="auto"/>
        </w:rPr>
        <w:t>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21"/>
          <w:szCs w:val="21"/>
          <w:b w:val="1"/>
          <w:bCs w:val="1"/>
          <w:color w:val="auto"/>
        </w:rPr>
        <w:t>U.S. Special Resolution Regimes</w:t>
      </w:r>
      <w:r>
        <w:rPr>
          <w:rFonts w:ascii="Times New Roman" w:cs="Times New Roman" w:eastAsia="Times New Roman" w:hAnsi="Times New Roman"/>
          <w:sz w:val="21"/>
          <w:szCs w:val="21"/>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35" w:lineRule="exact"/>
        <w:rPr>
          <w:sz w:val="20"/>
          <w:szCs w:val="20"/>
          <w:color w:val="auto"/>
        </w:rPr>
      </w:pPr>
    </w:p>
    <w:p>
      <w:pPr>
        <w:jc w:val="both"/>
        <w:ind w:firstLine="1278"/>
        <w:spacing w:after="0" w:line="215" w:lineRule="auto"/>
        <w:tabs>
          <w:tab w:leader="none" w:pos="1905" w:val="left"/>
        </w:tabs>
        <w:numPr>
          <w:ilvl w:val="0"/>
          <w:numId w:val="3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a Covered Entity that is party to a Supported QFC (each, a “</w:t>
      </w:r>
      <w:r>
        <w:rPr>
          <w:rFonts w:ascii="Times New Roman" w:cs="Times New Roman" w:eastAsia="Times New Roman" w:hAnsi="Times New Roman"/>
          <w:sz w:val="21"/>
          <w:szCs w:val="21"/>
          <w:b w:val="1"/>
          <w:bCs w:val="1"/>
          <w:color w:val="auto"/>
        </w:rPr>
        <w:t>Covered Party</w:t>
      </w:r>
      <w:r>
        <w:rPr>
          <w:rFonts w:ascii="Times New Roman" w:cs="Times New Roman" w:eastAsia="Times New Roman" w:hAnsi="Times New Roman"/>
          <w:sz w:val="21"/>
          <w:szCs w:val="21"/>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 and</w:t>
      </w:r>
    </w:p>
    <w:p>
      <w:pPr>
        <w:spacing w:after="0" w:line="159" w:lineRule="exact"/>
        <w:rPr>
          <w:rFonts w:ascii="Times New Roman" w:cs="Times New Roman" w:eastAsia="Times New Roman" w:hAnsi="Times New Roman"/>
          <w:sz w:val="21"/>
          <w:szCs w:val="21"/>
          <w:color w:val="auto"/>
        </w:rPr>
      </w:pPr>
    </w:p>
    <w:p>
      <w:pPr>
        <w:ind w:left="1900" w:hanging="622"/>
        <w:spacing w:after="0"/>
        <w:tabs>
          <w:tab w:leader="none" w:pos="1900" w:val="left"/>
        </w:tabs>
        <w:numPr>
          <w:ilvl w:val="0"/>
          <w:numId w:val="3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As used in this </w:t>
      </w:r>
      <w:r>
        <w:rPr>
          <w:rFonts w:ascii="Times New Roman" w:cs="Times New Roman" w:eastAsia="Times New Roman" w:hAnsi="Times New Roman"/>
          <w:sz w:val="21"/>
          <w:szCs w:val="21"/>
          <w:u w:val="single" w:color="auto"/>
          <w:color w:val="auto"/>
        </w:rPr>
        <w:t>Section 10.23</w:t>
      </w:r>
      <w:r>
        <w:rPr>
          <w:rFonts w:ascii="Times New Roman" w:cs="Times New Roman" w:eastAsia="Times New Roman" w:hAnsi="Times New Roman"/>
          <w:sz w:val="21"/>
          <w:szCs w:val="21"/>
          <w:color w:val="auto"/>
        </w:rPr>
        <w:t>, the following terms have the following meanings:</w:t>
      </w:r>
    </w:p>
    <w:p>
      <w:pPr>
        <w:spacing w:after="0" w:line="205" w:lineRule="exact"/>
        <w:rPr>
          <w:sz w:val="20"/>
          <w:szCs w:val="20"/>
          <w:color w:val="auto"/>
        </w:rPr>
      </w:pPr>
    </w:p>
    <w:p>
      <w:pPr>
        <w:ind w:firstLine="636"/>
        <w:spacing w:after="0" w:line="28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BHC Act Affiliate</w:t>
      </w:r>
      <w:r>
        <w:rPr>
          <w:rFonts w:ascii="Times New Roman" w:cs="Times New Roman" w:eastAsia="Times New Roman" w:hAnsi="Times New Roman"/>
          <w:sz w:val="21"/>
          <w:szCs w:val="21"/>
          <w:color w:val="auto"/>
        </w:rPr>
        <w:t>” of a party means an “affiliate” (as such term is defined under, and interpreted in accordance with, 12 U.S.C. 1841(k)) of such party.</w:t>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Covered Entity</w:t>
      </w:r>
      <w:r>
        <w:rPr>
          <w:rFonts w:ascii="Times New Roman" w:cs="Times New Roman" w:eastAsia="Times New Roman" w:hAnsi="Times New Roman"/>
          <w:sz w:val="21"/>
          <w:szCs w:val="21"/>
          <w:color w:val="auto"/>
        </w:rPr>
        <w:t>” means any of the following:</w:t>
      </w:r>
    </w:p>
    <w:p>
      <w:pPr>
        <w:spacing w:after="0" w:line="240" w:lineRule="exact"/>
        <w:rPr>
          <w:sz w:val="20"/>
          <w:szCs w:val="20"/>
          <w:color w:val="auto"/>
        </w:rPr>
      </w:pPr>
    </w:p>
    <w:p>
      <w:pPr>
        <w:ind w:left="1920" w:hanging="642"/>
        <w:spacing w:after="0"/>
        <w:tabs>
          <w:tab w:leader="none" w:pos="1920" w:val="left"/>
        </w:tabs>
        <w:numPr>
          <w:ilvl w:val="0"/>
          <w:numId w:val="3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“covered entity” as that term is defined in, and interpreted in accordance with, 12 C.F.R. § 252.82(b);</w:t>
      </w:r>
    </w:p>
    <w:p>
      <w:pPr>
        <w:spacing w:after="0" w:line="222" w:lineRule="exact"/>
        <w:rPr>
          <w:rFonts w:ascii="Times New Roman" w:cs="Times New Roman" w:eastAsia="Times New Roman" w:hAnsi="Times New Roman"/>
          <w:sz w:val="21"/>
          <w:szCs w:val="21"/>
          <w:color w:val="auto"/>
        </w:rPr>
      </w:pPr>
    </w:p>
    <w:p>
      <w:pPr>
        <w:ind w:left="1900" w:hanging="622"/>
        <w:spacing w:after="0"/>
        <w:tabs>
          <w:tab w:leader="none" w:pos="1900" w:val="left"/>
        </w:tabs>
        <w:numPr>
          <w:ilvl w:val="0"/>
          <w:numId w:val="3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“covered bank” as that term is defined in, and interpreted in accordance with, 12 C.F.R. § 47.3(b); or</w:t>
      </w:r>
    </w:p>
    <w:p>
      <w:pPr>
        <w:spacing w:after="0" w:line="222" w:lineRule="exact"/>
        <w:rPr>
          <w:rFonts w:ascii="Times New Roman" w:cs="Times New Roman" w:eastAsia="Times New Roman" w:hAnsi="Times New Roman"/>
          <w:sz w:val="21"/>
          <w:szCs w:val="21"/>
          <w:color w:val="auto"/>
        </w:rPr>
      </w:pPr>
    </w:p>
    <w:p>
      <w:pPr>
        <w:ind w:left="1920" w:hanging="642"/>
        <w:spacing w:after="0"/>
        <w:tabs>
          <w:tab w:leader="none" w:pos="1920" w:val="left"/>
        </w:tabs>
        <w:numPr>
          <w:ilvl w:val="0"/>
          <w:numId w:val="3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“covered FSI” as that term is defined in, and interpreted in accordance with, 12 C.F.R. § 382.2(b).</w:t>
      </w:r>
    </w:p>
    <w:p>
      <w:pPr>
        <w:spacing w:after="0" w:line="218" w:lineRule="exact"/>
        <w:rPr>
          <w:sz w:val="20"/>
          <w:szCs w:val="20"/>
          <w:color w:val="auto"/>
        </w:rPr>
      </w:pPr>
    </w:p>
    <w:p>
      <w:pPr>
        <w:ind w:firstLine="636"/>
        <w:spacing w:after="0" w:line="28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Default Right</w:t>
      </w:r>
      <w:r>
        <w:rPr>
          <w:rFonts w:ascii="Times New Roman" w:cs="Times New Roman" w:eastAsia="Times New Roman" w:hAnsi="Times New Roman"/>
          <w:sz w:val="21"/>
          <w:szCs w:val="21"/>
          <w:color w:val="auto"/>
        </w:rPr>
        <w:t>” has the meaning assigned to that term in, and shall be interpreted in accordance with, 12 C.F.R. §§ 252.81, 47.2 or 382.1, as applicable.</w:t>
      </w:r>
    </w:p>
    <w:p>
      <w:pPr>
        <w:spacing w:after="0" w:line="134" w:lineRule="exact"/>
        <w:rPr>
          <w:sz w:val="20"/>
          <w:szCs w:val="20"/>
          <w:color w:val="auto"/>
        </w:rPr>
      </w:pPr>
    </w:p>
    <w:p>
      <w:pPr>
        <w:ind w:firstLine="636"/>
        <w:spacing w:after="0" w:line="30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QFC</w:t>
      </w:r>
      <w:r>
        <w:rPr>
          <w:rFonts w:ascii="Times New Roman" w:cs="Times New Roman" w:eastAsia="Times New Roman" w:hAnsi="Times New Roman"/>
          <w:sz w:val="21"/>
          <w:szCs w:val="21"/>
          <w:color w:val="auto"/>
        </w:rPr>
        <w:t>” has the meaning assigned to the term “qualified financial contract” in, and shall be interpreted in accordance with, 12 U.S.C. 5390(c)(8)(D).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194</w:t>
      </w:r>
    </w:p>
    <w:p>
      <w:pPr>
        <w:sectPr>
          <w:pgSz w:w="11900" w:h="16838" w:orient="portrait"/>
          <w:cols w:equalWidth="0" w:num="1">
            <w:col w:w="11240"/>
          </w:cols>
          <w:pgMar w:left="320" w:top="1398" w:right="339" w:bottom="1440" w:gutter="0" w:footer="0" w:header="0"/>
        </w:sectPr>
      </w:pPr>
    </w:p>
    <w:bookmarkStart w:id="300" w:name="page301"/>
    <w:bookmarkEnd w:id="30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strike w:val="1"/>
        </w:rPr>
        <w:t>[</w:t>
      </w:r>
      <w:r>
        <w:rPr>
          <w:rFonts w:ascii="Times New Roman" w:cs="Times New Roman" w:eastAsia="Times New Roman" w:hAnsi="Times New Roman"/>
          <w:sz w:val="21"/>
          <w:szCs w:val="21"/>
          <w:color w:val="auto"/>
        </w:rPr>
        <w:t>Signature Pages Omitted]</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195</w:t>
      </w:r>
    </w:p>
    <w:p>
      <w:pPr>
        <w:sectPr>
          <w:pgSz w:w="11900" w:h="16838" w:orient="portrait"/>
          <w:cols w:equalWidth="0" w:num="1">
            <w:col w:w="9019"/>
          </w:cols>
          <w:pgMar w:left="1440" w:top="1440" w:right="1440" w:bottom="1440" w:gutter="0" w:footer="0" w:header="0"/>
          <w:type w:val="continuous"/>
        </w:sectPr>
      </w:pPr>
    </w:p>
    <w:bookmarkStart w:id="301" w:name="page302"/>
    <w:bookmarkEnd w:id="301"/>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21.1</w:t>
      </w:r>
    </w:p>
    <w:p>
      <w:pPr>
        <w:spacing w:after="0" w:line="244"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4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8020" w:type="dxa"/>
            <w:vAlign w:val="bottom"/>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SUBSIDIARIES OF BELLRING BRANDS, INC.</w:t>
            </w:r>
          </w:p>
        </w:tc>
      </w:tr>
      <w:tr>
        <w:trPr>
          <w:trHeight w:val="357"/>
        </w:trPr>
        <w:tc>
          <w:tcPr>
            <w:tcW w:w="4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r>
      <w:tr>
        <w:trPr>
          <w:trHeight w:val="179"/>
        </w:trPr>
        <w:tc>
          <w:tcPr>
            <w:tcW w:w="3180" w:type="dxa"/>
            <w:vAlign w:val="bottom"/>
            <w:tcBorders>
              <w:left w:val="single" w:sz="8" w:color="auto"/>
            </w:tcBorders>
            <w:gridSpan w:val="2"/>
          </w:tcPr>
          <w:p>
            <w:pPr>
              <w:ind w:left="20"/>
              <w:spacing w:after="0" w:line="179" w:lineRule="exact"/>
              <w:rPr>
                <w:sz w:val="20"/>
                <w:szCs w:val="20"/>
                <w:color w:val="auto"/>
              </w:rPr>
            </w:pPr>
            <w:r>
              <w:rPr>
                <w:rFonts w:ascii="Times New Roman" w:cs="Times New Roman" w:eastAsia="Times New Roman" w:hAnsi="Times New Roman"/>
                <w:sz w:val="18"/>
                <w:szCs w:val="18"/>
                <w:b w:val="1"/>
                <w:bCs w:val="1"/>
                <w:color w:val="auto"/>
              </w:rPr>
              <w:t>Name</w:t>
            </w:r>
          </w:p>
        </w:tc>
        <w:tc>
          <w:tcPr>
            <w:tcW w:w="242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spacing w:after="0" w:line="179" w:lineRule="exact"/>
              <w:rPr>
                <w:sz w:val="20"/>
                <w:szCs w:val="20"/>
                <w:color w:val="auto"/>
              </w:rPr>
            </w:pPr>
            <w:r>
              <w:rPr>
                <w:rFonts w:ascii="Times New Roman" w:cs="Times New Roman" w:eastAsia="Times New Roman" w:hAnsi="Times New Roman"/>
                <w:sz w:val="18"/>
                <w:szCs w:val="18"/>
                <w:b w:val="1"/>
                <w:bCs w:val="1"/>
                <w:color w:val="auto"/>
              </w:rPr>
              <w:t>Jurisdiction of Incorporation / Formation</w:t>
            </w:r>
          </w:p>
        </w:tc>
      </w:tr>
      <w:tr>
        <w:trPr>
          <w:trHeight w:val="20"/>
        </w:trPr>
        <w:tc>
          <w:tcPr>
            <w:tcW w:w="460" w:type="dxa"/>
            <w:vAlign w:val="bottom"/>
            <w:tcBorders>
              <w:top w:val="single" w:sz="8" w:color="auto"/>
              <w:left w:val="single" w:sz="8" w:color="auto"/>
              <w:bottom w:val="single" w:sz="8" w:color="auto"/>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right w:val="single" w:sz="8" w:color="auto"/>
            </w:tcBorders>
          </w:tcPr>
          <w:p>
            <w:pPr>
              <w:spacing w:after="0" w:line="20" w:lineRule="exact"/>
              <w:rPr>
                <w:sz w:val="1"/>
                <w:szCs w:val="1"/>
                <w:color w:val="auto"/>
              </w:rPr>
            </w:pPr>
          </w:p>
        </w:tc>
        <w:tc>
          <w:tcPr>
            <w:tcW w:w="3140" w:type="dxa"/>
            <w:vAlign w:val="bottom"/>
            <w:tcBorders>
              <w:top w:val="single" w:sz="8" w:color="auto"/>
              <w:bottom w:val="single" w:sz="8" w:color="auto"/>
            </w:tcBorders>
          </w:tcPr>
          <w:p>
            <w:pPr>
              <w:spacing w:after="0" w:line="20" w:lineRule="exact"/>
              <w:rPr>
                <w:sz w:val="1"/>
                <w:szCs w:val="1"/>
                <w:color w:val="auto"/>
              </w:rPr>
            </w:pPr>
          </w:p>
        </w:tc>
        <w:tc>
          <w:tcPr>
            <w:tcW w:w="2460" w:type="dxa"/>
            <w:vAlign w:val="bottom"/>
            <w:tcBorders>
              <w:bottom w:val="single" w:sz="8" w:color="auto"/>
              <w:right w:val="single" w:sz="8" w:color="auto"/>
            </w:tcBorders>
          </w:tcPr>
          <w:p>
            <w:pPr>
              <w:spacing w:after="0" w:line="20" w:lineRule="exact"/>
              <w:rPr>
                <w:sz w:val="1"/>
                <w:szCs w:val="1"/>
                <w:color w:val="auto"/>
              </w:rPr>
            </w:pPr>
          </w:p>
        </w:tc>
      </w:tr>
      <w:tr>
        <w:trPr>
          <w:trHeight w:val="218"/>
        </w:trPr>
        <w:tc>
          <w:tcPr>
            <w:tcW w:w="3180" w:type="dxa"/>
            <w:vAlign w:val="bottom"/>
            <w:tcBorders>
              <w:left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Active Nutrition International GmbH</w:t>
            </w:r>
          </w:p>
        </w:tc>
        <w:tc>
          <w:tcPr>
            <w:tcW w:w="242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18"/>
        </w:trPr>
        <w:tc>
          <w:tcPr>
            <w:tcW w:w="3180" w:type="dxa"/>
            <w:vAlign w:val="bottom"/>
            <w:tcBorders>
              <w:left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BellRing Brands, LLC</w:t>
            </w:r>
          </w:p>
        </w:tc>
        <w:tc>
          <w:tcPr>
            <w:tcW w:w="2420" w:type="dxa"/>
            <w:vAlign w:val="bottom"/>
            <w:tcBorders>
              <w:bottom w:val="single" w:sz="8" w:color="auto"/>
              <w:right w:val="single" w:sz="8" w:color="auto"/>
            </w:tcBorders>
          </w:tcPr>
          <w:p>
            <w:pPr>
              <w:spacing w:after="0"/>
              <w:rPr>
                <w:sz w:val="19"/>
                <w:szCs w:val="19"/>
                <w:color w:val="auto"/>
              </w:rPr>
            </w:pPr>
          </w:p>
        </w:tc>
        <w:tc>
          <w:tcPr>
            <w:tcW w:w="56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8"/>
        </w:trPr>
        <w:tc>
          <w:tcPr>
            <w:tcW w:w="3180" w:type="dxa"/>
            <w:vAlign w:val="bottom"/>
            <w:tcBorders>
              <w:left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BellRing Intermediate Holdings, Inc.</w:t>
            </w:r>
          </w:p>
        </w:tc>
        <w:tc>
          <w:tcPr>
            <w:tcW w:w="2420" w:type="dxa"/>
            <w:vAlign w:val="bottom"/>
            <w:tcBorders>
              <w:bottom w:val="single" w:sz="8" w:color="auto"/>
              <w:right w:val="single" w:sz="8" w:color="auto"/>
            </w:tcBorders>
          </w:tcPr>
          <w:p>
            <w:pPr>
              <w:spacing w:after="0"/>
              <w:rPr>
                <w:sz w:val="19"/>
                <w:szCs w:val="19"/>
                <w:color w:val="auto"/>
              </w:rPr>
            </w:pPr>
          </w:p>
        </w:tc>
        <w:tc>
          <w:tcPr>
            <w:tcW w:w="56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9"/>
        </w:trPr>
        <w:tc>
          <w:tcPr>
            <w:tcW w:w="3180" w:type="dxa"/>
            <w:vAlign w:val="bottom"/>
            <w:tcBorders>
              <w:left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Dymatize Enterprises, LLC</w:t>
            </w:r>
          </w:p>
        </w:tc>
        <w:tc>
          <w:tcPr>
            <w:tcW w:w="2420" w:type="dxa"/>
            <w:vAlign w:val="bottom"/>
            <w:tcBorders>
              <w:bottom w:val="single" w:sz="8" w:color="auto"/>
              <w:right w:val="single" w:sz="8" w:color="auto"/>
            </w:tcBorders>
          </w:tcPr>
          <w:p>
            <w:pPr>
              <w:spacing w:after="0"/>
              <w:rPr>
                <w:sz w:val="19"/>
                <w:szCs w:val="19"/>
                <w:color w:val="auto"/>
              </w:rPr>
            </w:pPr>
          </w:p>
        </w:tc>
        <w:tc>
          <w:tcPr>
            <w:tcW w:w="56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8"/>
        </w:trPr>
        <w:tc>
          <w:tcPr>
            <w:tcW w:w="3180" w:type="dxa"/>
            <w:vAlign w:val="bottom"/>
            <w:tcBorders>
              <w:left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Premier Nutrition Canada, Inc.</w:t>
            </w:r>
          </w:p>
        </w:tc>
        <w:tc>
          <w:tcPr>
            <w:tcW w:w="2420" w:type="dxa"/>
            <w:vAlign w:val="bottom"/>
            <w:tcBorders>
              <w:bottom w:val="single" w:sz="8" w:color="auto"/>
              <w:right w:val="single" w:sz="8" w:color="auto"/>
            </w:tcBorders>
          </w:tcPr>
          <w:p>
            <w:pPr>
              <w:spacing w:after="0"/>
              <w:rPr>
                <w:sz w:val="19"/>
                <w:szCs w:val="19"/>
                <w:color w:val="auto"/>
              </w:rPr>
            </w:pPr>
          </w:p>
        </w:tc>
        <w:tc>
          <w:tcPr>
            <w:tcW w:w="56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Ontario, Canada</w:t>
            </w:r>
          </w:p>
        </w:tc>
      </w:tr>
      <w:tr>
        <w:trPr>
          <w:trHeight w:val="218"/>
        </w:trPr>
        <w:tc>
          <w:tcPr>
            <w:tcW w:w="3180" w:type="dxa"/>
            <w:vAlign w:val="bottom"/>
            <w:tcBorders>
              <w:left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Premier Nutrition Company, LLC</w:t>
            </w:r>
          </w:p>
        </w:tc>
        <w:tc>
          <w:tcPr>
            <w:tcW w:w="2420" w:type="dxa"/>
            <w:vAlign w:val="bottom"/>
            <w:tcBorders>
              <w:bottom w:val="single" w:sz="8" w:color="auto"/>
              <w:right w:val="single" w:sz="8" w:color="auto"/>
            </w:tcBorders>
          </w:tcPr>
          <w:p>
            <w:pPr>
              <w:spacing w:after="0"/>
              <w:rPr>
                <w:sz w:val="19"/>
                <w:szCs w:val="19"/>
                <w:color w:val="auto"/>
              </w:rPr>
            </w:pPr>
          </w:p>
        </w:tc>
        <w:tc>
          <w:tcPr>
            <w:tcW w:w="56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8"/>
        </w:trPr>
        <w:tc>
          <w:tcPr>
            <w:tcW w:w="3180" w:type="dxa"/>
            <w:vAlign w:val="bottom"/>
            <w:tcBorders>
              <w:left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Supreme Protein, LLC</w:t>
            </w:r>
          </w:p>
        </w:tc>
        <w:tc>
          <w:tcPr>
            <w:tcW w:w="2420" w:type="dxa"/>
            <w:vAlign w:val="bottom"/>
            <w:tcBorders>
              <w:bottom w:val="single" w:sz="8" w:color="auto"/>
              <w:right w:val="single" w:sz="8" w:color="auto"/>
            </w:tcBorders>
          </w:tcPr>
          <w:p>
            <w:pPr>
              <w:spacing w:after="0"/>
              <w:rPr>
                <w:sz w:val="19"/>
                <w:szCs w:val="19"/>
                <w:color w:val="auto"/>
              </w:rPr>
            </w:pPr>
          </w:p>
        </w:tc>
        <w:tc>
          <w:tcPr>
            <w:tcW w:w="56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8"/>
        </w:trPr>
        <w:tc>
          <w:tcPr>
            <w:tcW w:w="3180" w:type="dxa"/>
            <w:vAlign w:val="bottom"/>
            <w:tcBorders>
              <w:left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TA/DEI-A Acquisition Corp.</w:t>
            </w:r>
          </w:p>
        </w:tc>
        <w:tc>
          <w:tcPr>
            <w:tcW w:w="2420" w:type="dxa"/>
            <w:vAlign w:val="bottom"/>
            <w:tcBorders>
              <w:bottom w:val="single" w:sz="8" w:color="auto"/>
              <w:right w:val="single" w:sz="8" w:color="auto"/>
            </w:tcBorders>
          </w:tcPr>
          <w:p>
            <w:pPr>
              <w:spacing w:after="0"/>
              <w:rPr>
                <w:sz w:val="19"/>
                <w:szCs w:val="19"/>
                <w:color w:val="auto"/>
              </w:rPr>
            </w:pPr>
          </w:p>
        </w:tc>
        <w:tc>
          <w:tcPr>
            <w:tcW w:w="56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200"/>
          </w:cols>
          <w:pgMar w:left="360" w:top="875" w:right="339" w:bottom="1440" w:gutter="0" w:footer="0" w:header="0"/>
        </w:sectPr>
      </w:pPr>
    </w:p>
    <w:bookmarkStart w:id="302" w:name="page303"/>
    <w:bookmarkEnd w:id="302"/>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23.1</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00" w:lineRule="exact"/>
        <w:rPr>
          <w:sz w:val="20"/>
          <w:szCs w:val="20"/>
          <w:color w:val="auto"/>
        </w:rPr>
      </w:pPr>
    </w:p>
    <w:p>
      <w:pPr>
        <w:spacing w:after="0" w:line="216"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 333-266656) and Form S-8 (No. 333-238306, No. 333-237494, No. 333-234290, No. 333-282064) of BellRing Brands, Inc. of our report dated November 18, 2025 relating to the financial statements and the effectiveness of internal control over financial reporting,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 Louis, Missouri</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18, 2025</w:t>
      </w:r>
    </w:p>
    <w:p>
      <w:pPr>
        <w:sectPr>
          <w:pgSz w:w="11900" w:h="16838" w:orient="portrait"/>
          <w:cols w:equalWidth="0" w:num="1">
            <w:col w:w="11240"/>
          </w:cols>
          <w:pgMar w:left="320" w:top="874" w:right="339" w:bottom="1440" w:gutter="0" w:footer="0" w:header="0"/>
        </w:sectPr>
      </w:pPr>
    </w:p>
    <w:bookmarkStart w:id="303" w:name="page304"/>
    <w:bookmarkEnd w:id="30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31.1</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Section 302 of the Sarbanes-Oxley Act of 2002</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Darcy H. Davenport, certify that:</w:t>
      </w:r>
    </w:p>
    <w:p>
      <w:pPr>
        <w:spacing w:after="0" w:line="244" w:lineRule="exact"/>
        <w:rPr>
          <w:sz w:val="20"/>
          <w:szCs w:val="20"/>
          <w:color w:val="auto"/>
        </w:rPr>
      </w:pPr>
    </w:p>
    <w:p>
      <w:pPr>
        <w:ind w:left="320" w:hanging="314"/>
        <w:spacing w:after="0"/>
        <w:tabs>
          <w:tab w:leader="none" w:pos="32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BellRing Brands, Inc.;</w:t>
      </w:r>
    </w:p>
    <w:p>
      <w:pPr>
        <w:spacing w:after="0" w:line="150" w:lineRule="exact"/>
        <w:rPr>
          <w:rFonts w:ascii="Times New Roman" w:cs="Times New Roman" w:eastAsia="Times New Roman" w:hAnsi="Times New Roman"/>
          <w:sz w:val="18"/>
          <w:szCs w:val="18"/>
          <w:color w:val="auto"/>
        </w:rPr>
      </w:pPr>
    </w:p>
    <w:p>
      <w:pPr>
        <w:jc w:val="both"/>
        <w:ind w:left="320" w:right="900" w:hanging="314"/>
        <w:spacing w:after="0" w:line="259" w:lineRule="auto"/>
        <w:tabs>
          <w:tab w:leader="none" w:pos="32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8" w:lineRule="exact"/>
        <w:rPr>
          <w:rFonts w:ascii="Times New Roman" w:cs="Times New Roman" w:eastAsia="Times New Roman" w:hAnsi="Times New Roman"/>
          <w:sz w:val="18"/>
          <w:szCs w:val="18"/>
          <w:color w:val="auto"/>
        </w:rPr>
      </w:pPr>
    </w:p>
    <w:p>
      <w:pPr>
        <w:ind w:left="320" w:right="860" w:hanging="314"/>
        <w:spacing w:after="0" w:line="274" w:lineRule="auto"/>
        <w:tabs>
          <w:tab w:leader="none" w:pos="32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7" w:lineRule="exact"/>
        <w:rPr>
          <w:rFonts w:ascii="Times New Roman" w:cs="Times New Roman" w:eastAsia="Times New Roman" w:hAnsi="Times New Roman"/>
          <w:sz w:val="18"/>
          <w:szCs w:val="18"/>
          <w:color w:val="auto"/>
        </w:rPr>
      </w:pPr>
    </w:p>
    <w:p>
      <w:pPr>
        <w:ind w:left="320" w:right="760" w:hanging="314"/>
        <w:spacing w:after="0" w:line="272" w:lineRule="auto"/>
        <w:tabs>
          <w:tab w:leader="none" w:pos="320" w:val="left"/>
        </w:tabs>
        <w:numPr>
          <w:ilvl w:val="0"/>
          <w:numId w:val="3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3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31" w:lineRule="exact"/>
        <w:rPr>
          <w:rFonts w:ascii="Times New Roman" w:cs="Times New Roman" w:eastAsia="Times New Roman" w:hAnsi="Times New Roman"/>
          <w:sz w:val="17"/>
          <w:szCs w:val="17"/>
          <w:color w:val="auto"/>
        </w:rPr>
      </w:pPr>
    </w:p>
    <w:p>
      <w:pPr>
        <w:ind w:left="960" w:right="860" w:hanging="318"/>
        <w:spacing w:after="0" w:line="259" w:lineRule="auto"/>
        <w:tabs>
          <w:tab w:leader="none" w:pos="950" w:val="left"/>
        </w:tabs>
        <w:numPr>
          <w:ilvl w:val="1"/>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8" w:lineRule="exact"/>
        <w:rPr>
          <w:rFonts w:ascii="Times New Roman" w:cs="Times New Roman" w:eastAsia="Times New Roman" w:hAnsi="Times New Roman"/>
          <w:sz w:val="18"/>
          <w:szCs w:val="18"/>
          <w:color w:val="auto"/>
        </w:rPr>
      </w:pPr>
    </w:p>
    <w:p>
      <w:pPr>
        <w:ind w:left="960" w:right="920" w:hanging="318"/>
        <w:spacing w:after="0" w:line="259" w:lineRule="auto"/>
        <w:tabs>
          <w:tab w:leader="none" w:pos="960" w:val="left"/>
        </w:tabs>
        <w:numPr>
          <w:ilvl w:val="1"/>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Times New Roman" w:cs="Times New Roman" w:eastAsia="Times New Roman" w:hAnsi="Times New Roman"/>
          <w:sz w:val="18"/>
          <w:szCs w:val="18"/>
          <w:color w:val="auto"/>
        </w:rPr>
      </w:pPr>
    </w:p>
    <w:p>
      <w:pPr>
        <w:ind w:left="960" w:right="760" w:hanging="318"/>
        <w:spacing w:after="0" w:line="259" w:lineRule="auto"/>
        <w:tabs>
          <w:tab w:leader="none" w:pos="950" w:val="left"/>
        </w:tabs>
        <w:numPr>
          <w:ilvl w:val="1"/>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1" w:lineRule="exact"/>
        <w:rPr>
          <w:rFonts w:ascii="Times New Roman" w:cs="Times New Roman" w:eastAsia="Times New Roman" w:hAnsi="Times New Roman"/>
          <w:sz w:val="18"/>
          <w:szCs w:val="18"/>
          <w:color w:val="auto"/>
        </w:rPr>
      </w:pPr>
    </w:p>
    <w:p>
      <w:pPr>
        <w:ind w:left="960" w:right="1120" w:hanging="318"/>
        <w:spacing w:after="0" w:line="259" w:lineRule="auto"/>
        <w:tabs>
          <w:tab w:leader="none" w:pos="960" w:val="left"/>
        </w:tabs>
        <w:numPr>
          <w:ilvl w:val="1"/>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8" w:lineRule="exact"/>
        <w:rPr>
          <w:rFonts w:ascii="Times New Roman" w:cs="Times New Roman" w:eastAsia="Times New Roman" w:hAnsi="Times New Roman"/>
          <w:sz w:val="18"/>
          <w:szCs w:val="18"/>
          <w:color w:val="auto"/>
        </w:rPr>
      </w:pPr>
    </w:p>
    <w:p>
      <w:pPr>
        <w:ind w:left="320" w:right="900" w:hanging="314"/>
        <w:spacing w:after="0" w:line="304" w:lineRule="auto"/>
        <w:tabs>
          <w:tab w:leader="none" w:pos="320" w:val="left"/>
        </w:tabs>
        <w:numPr>
          <w:ilvl w:val="0"/>
          <w:numId w:val="3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4" w:lineRule="exact"/>
        <w:rPr>
          <w:rFonts w:ascii="Times New Roman" w:cs="Times New Roman" w:eastAsia="Times New Roman" w:hAnsi="Times New Roman"/>
          <w:sz w:val="17"/>
          <w:szCs w:val="17"/>
          <w:color w:val="auto"/>
        </w:rPr>
      </w:pPr>
    </w:p>
    <w:p>
      <w:pPr>
        <w:ind w:left="960" w:right="980" w:hanging="318"/>
        <w:spacing w:after="0" w:line="304" w:lineRule="auto"/>
        <w:tabs>
          <w:tab w:leader="none" w:pos="950" w:val="left"/>
        </w:tabs>
        <w:numPr>
          <w:ilvl w:val="1"/>
          <w:numId w:val="3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4" w:lineRule="exact"/>
        <w:rPr>
          <w:rFonts w:ascii="Times New Roman" w:cs="Times New Roman" w:eastAsia="Times New Roman" w:hAnsi="Times New Roman"/>
          <w:sz w:val="17"/>
          <w:szCs w:val="17"/>
          <w:color w:val="auto"/>
        </w:rPr>
      </w:pPr>
    </w:p>
    <w:p>
      <w:pPr>
        <w:ind w:left="960" w:right="1260" w:hanging="318"/>
        <w:spacing w:after="0" w:line="274" w:lineRule="auto"/>
        <w:tabs>
          <w:tab w:leader="none" w:pos="960" w:val="left"/>
        </w:tabs>
        <w:numPr>
          <w:ilvl w:val="1"/>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November 18, 2025</w:t>
            </w:r>
          </w:p>
        </w:tc>
        <w:tc>
          <w:tcPr>
            <w:tcW w:w="41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By:  /s/ Darcy H. Davenport</w:t>
            </w:r>
          </w:p>
        </w:tc>
      </w:tr>
      <w:tr>
        <w:trPr>
          <w:trHeight w:val="213"/>
        </w:trPr>
        <w:tc>
          <w:tcPr>
            <w:tcW w:w="5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Darcy H. Davenport</w:t>
            </w:r>
          </w:p>
        </w:tc>
      </w:tr>
      <w:tr>
        <w:trPr>
          <w:trHeight w:val="231"/>
        </w:trPr>
        <w:tc>
          <w:tcPr>
            <w:tcW w:w="5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875" w:right="339" w:bottom="1440" w:gutter="0" w:footer="0" w:header="0"/>
        </w:sectPr>
      </w:pPr>
    </w:p>
    <w:bookmarkStart w:id="304" w:name="page305"/>
    <w:bookmarkEnd w:id="30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31.2</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Section 302 of the Sarbanes-Oxley Act of 2002</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A. Rode, certify that:</w:t>
      </w:r>
    </w:p>
    <w:p>
      <w:pPr>
        <w:spacing w:after="0" w:line="244" w:lineRule="exact"/>
        <w:rPr>
          <w:sz w:val="20"/>
          <w:szCs w:val="20"/>
          <w:color w:val="auto"/>
        </w:rPr>
      </w:pPr>
    </w:p>
    <w:p>
      <w:pPr>
        <w:ind w:left="320" w:hanging="314"/>
        <w:spacing w:after="0"/>
        <w:tabs>
          <w:tab w:leader="none" w:pos="320"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BellRing Brands, Inc.;</w:t>
      </w:r>
    </w:p>
    <w:p>
      <w:pPr>
        <w:spacing w:after="0" w:line="150" w:lineRule="exact"/>
        <w:rPr>
          <w:rFonts w:ascii="Times New Roman" w:cs="Times New Roman" w:eastAsia="Times New Roman" w:hAnsi="Times New Roman"/>
          <w:sz w:val="18"/>
          <w:szCs w:val="18"/>
          <w:color w:val="auto"/>
        </w:rPr>
      </w:pPr>
    </w:p>
    <w:p>
      <w:pPr>
        <w:jc w:val="both"/>
        <w:ind w:left="320" w:right="900" w:hanging="314"/>
        <w:spacing w:after="0" w:line="259" w:lineRule="auto"/>
        <w:tabs>
          <w:tab w:leader="none" w:pos="320"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8" w:lineRule="exact"/>
        <w:rPr>
          <w:rFonts w:ascii="Times New Roman" w:cs="Times New Roman" w:eastAsia="Times New Roman" w:hAnsi="Times New Roman"/>
          <w:sz w:val="18"/>
          <w:szCs w:val="18"/>
          <w:color w:val="auto"/>
        </w:rPr>
      </w:pPr>
    </w:p>
    <w:p>
      <w:pPr>
        <w:ind w:left="320" w:right="860" w:hanging="314"/>
        <w:spacing w:after="0" w:line="274" w:lineRule="auto"/>
        <w:tabs>
          <w:tab w:leader="none" w:pos="320"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7" w:lineRule="exact"/>
        <w:rPr>
          <w:rFonts w:ascii="Times New Roman" w:cs="Times New Roman" w:eastAsia="Times New Roman" w:hAnsi="Times New Roman"/>
          <w:sz w:val="18"/>
          <w:szCs w:val="18"/>
          <w:color w:val="auto"/>
        </w:rPr>
      </w:pPr>
    </w:p>
    <w:p>
      <w:pPr>
        <w:ind w:left="320" w:right="760" w:hanging="314"/>
        <w:spacing w:after="0" w:line="272" w:lineRule="auto"/>
        <w:tabs>
          <w:tab w:leader="none" w:pos="320" w:val="left"/>
        </w:tabs>
        <w:numPr>
          <w:ilvl w:val="0"/>
          <w:numId w:val="3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3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31" w:lineRule="exact"/>
        <w:rPr>
          <w:rFonts w:ascii="Times New Roman" w:cs="Times New Roman" w:eastAsia="Times New Roman" w:hAnsi="Times New Roman"/>
          <w:sz w:val="17"/>
          <w:szCs w:val="17"/>
          <w:color w:val="auto"/>
        </w:rPr>
      </w:pPr>
    </w:p>
    <w:p>
      <w:pPr>
        <w:ind w:left="960" w:right="860" w:hanging="318"/>
        <w:spacing w:after="0" w:line="259" w:lineRule="auto"/>
        <w:tabs>
          <w:tab w:leader="none" w:pos="950" w:val="left"/>
        </w:tabs>
        <w:numPr>
          <w:ilvl w:val="1"/>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8" w:lineRule="exact"/>
        <w:rPr>
          <w:rFonts w:ascii="Times New Roman" w:cs="Times New Roman" w:eastAsia="Times New Roman" w:hAnsi="Times New Roman"/>
          <w:sz w:val="18"/>
          <w:szCs w:val="18"/>
          <w:color w:val="auto"/>
        </w:rPr>
      </w:pPr>
    </w:p>
    <w:p>
      <w:pPr>
        <w:ind w:left="960" w:right="920" w:hanging="318"/>
        <w:spacing w:after="0" w:line="259" w:lineRule="auto"/>
        <w:tabs>
          <w:tab w:leader="none" w:pos="960" w:val="left"/>
        </w:tabs>
        <w:numPr>
          <w:ilvl w:val="1"/>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Times New Roman" w:cs="Times New Roman" w:eastAsia="Times New Roman" w:hAnsi="Times New Roman"/>
          <w:sz w:val="18"/>
          <w:szCs w:val="18"/>
          <w:color w:val="auto"/>
        </w:rPr>
      </w:pPr>
    </w:p>
    <w:p>
      <w:pPr>
        <w:ind w:left="960" w:right="760" w:hanging="318"/>
        <w:spacing w:after="0" w:line="259" w:lineRule="auto"/>
        <w:tabs>
          <w:tab w:leader="none" w:pos="950" w:val="left"/>
        </w:tabs>
        <w:numPr>
          <w:ilvl w:val="1"/>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1" w:lineRule="exact"/>
        <w:rPr>
          <w:rFonts w:ascii="Times New Roman" w:cs="Times New Roman" w:eastAsia="Times New Roman" w:hAnsi="Times New Roman"/>
          <w:sz w:val="18"/>
          <w:szCs w:val="18"/>
          <w:color w:val="auto"/>
        </w:rPr>
      </w:pPr>
    </w:p>
    <w:p>
      <w:pPr>
        <w:ind w:left="960" w:right="1120" w:hanging="318"/>
        <w:spacing w:after="0" w:line="259" w:lineRule="auto"/>
        <w:tabs>
          <w:tab w:leader="none" w:pos="960" w:val="left"/>
        </w:tabs>
        <w:numPr>
          <w:ilvl w:val="1"/>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8" w:lineRule="exact"/>
        <w:rPr>
          <w:rFonts w:ascii="Times New Roman" w:cs="Times New Roman" w:eastAsia="Times New Roman" w:hAnsi="Times New Roman"/>
          <w:sz w:val="18"/>
          <w:szCs w:val="18"/>
          <w:color w:val="auto"/>
        </w:rPr>
      </w:pPr>
    </w:p>
    <w:p>
      <w:pPr>
        <w:ind w:left="320" w:right="900" w:hanging="314"/>
        <w:spacing w:after="0" w:line="304" w:lineRule="auto"/>
        <w:tabs>
          <w:tab w:leader="none" w:pos="320" w:val="left"/>
        </w:tabs>
        <w:numPr>
          <w:ilvl w:val="0"/>
          <w:numId w:val="3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4" w:lineRule="exact"/>
        <w:rPr>
          <w:rFonts w:ascii="Times New Roman" w:cs="Times New Roman" w:eastAsia="Times New Roman" w:hAnsi="Times New Roman"/>
          <w:sz w:val="17"/>
          <w:szCs w:val="17"/>
          <w:color w:val="auto"/>
        </w:rPr>
      </w:pPr>
    </w:p>
    <w:p>
      <w:pPr>
        <w:ind w:left="960" w:right="980" w:hanging="318"/>
        <w:spacing w:after="0" w:line="304" w:lineRule="auto"/>
        <w:tabs>
          <w:tab w:leader="none" w:pos="950" w:val="left"/>
        </w:tabs>
        <w:numPr>
          <w:ilvl w:val="1"/>
          <w:numId w:val="3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4" w:lineRule="exact"/>
        <w:rPr>
          <w:rFonts w:ascii="Times New Roman" w:cs="Times New Roman" w:eastAsia="Times New Roman" w:hAnsi="Times New Roman"/>
          <w:sz w:val="17"/>
          <w:szCs w:val="17"/>
          <w:color w:val="auto"/>
        </w:rPr>
      </w:pPr>
    </w:p>
    <w:p>
      <w:pPr>
        <w:ind w:left="960" w:right="1260" w:hanging="318"/>
        <w:spacing w:after="0" w:line="274" w:lineRule="auto"/>
        <w:tabs>
          <w:tab w:leader="none" w:pos="960" w:val="left"/>
        </w:tabs>
        <w:numPr>
          <w:ilvl w:val="1"/>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November 18, 2025</w:t>
            </w:r>
          </w:p>
        </w:tc>
        <w:tc>
          <w:tcPr>
            <w:tcW w:w="422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By:  /s/ Paul A. Rode</w:t>
            </w:r>
          </w:p>
        </w:tc>
      </w:tr>
      <w:tr>
        <w:trPr>
          <w:trHeight w:val="213"/>
        </w:trPr>
        <w:tc>
          <w:tcPr>
            <w:tcW w:w="5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Paul A. Rode</w:t>
            </w:r>
          </w:p>
        </w:tc>
      </w:tr>
      <w:tr>
        <w:trPr>
          <w:trHeight w:val="231"/>
        </w:trPr>
        <w:tc>
          <w:tcPr>
            <w:tcW w:w="5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874" w:right="339" w:bottom="1440" w:gutter="0" w:footer="0" w:header="0"/>
        </w:sectPr>
      </w:pPr>
    </w:p>
    <w:bookmarkStart w:id="305" w:name="page306"/>
    <w:bookmarkEnd w:id="305"/>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32.1</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U.S.C. Section 1350, as adopted pursuant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to Section 906 of the Sarbanes-Oxley Act of 2002</w:t>
      </w:r>
    </w:p>
    <w:p>
      <w:pPr>
        <w:spacing w:after="0" w:line="200" w:lineRule="exact"/>
        <w:rPr>
          <w:sz w:val="20"/>
          <w:szCs w:val="20"/>
          <w:color w:val="auto"/>
        </w:rPr>
      </w:pPr>
    </w:p>
    <w:p>
      <w:pPr>
        <w:spacing w:after="0" w:line="263" w:lineRule="exact"/>
        <w:rPr>
          <w:sz w:val="20"/>
          <w:szCs w:val="20"/>
          <w:color w:val="auto"/>
        </w:rPr>
      </w:pPr>
    </w:p>
    <w:p>
      <w:pPr>
        <w:ind w:right="940"/>
        <w:spacing w:after="0" w:line="274" w:lineRule="auto"/>
        <w:rPr>
          <w:sz w:val="20"/>
          <w:szCs w:val="20"/>
          <w:color w:val="auto"/>
        </w:rPr>
      </w:pPr>
      <w:r>
        <w:rPr>
          <w:rFonts w:ascii="Times New Roman" w:cs="Times New Roman" w:eastAsia="Times New Roman" w:hAnsi="Times New Roman"/>
          <w:sz w:val="18"/>
          <w:szCs w:val="18"/>
          <w:color w:val="auto"/>
        </w:rPr>
        <w:t>The undersigned, the President and Chief Executive Officer of BellRing Brands, Inc. (the “Company”), hereby certifies that, to her knowledge on the date hereof:</w:t>
      </w:r>
    </w:p>
    <w:p>
      <w:pPr>
        <w:spacing w:after="0" w:line="190" w:lineRule="exact"/>
        <w:rPr>
          <w:sz w:val="20"/>
          <w:szCs w:val="20"/>
          <w:color w:val="auto"/>
        </w:rPr>
      </w:pPr>
    </w:p>
    <w:p>
      <w:pPr>
        <w:ind w:left="640" w:right="1060" w:hanging="634"/>
        <w:spacing w:after="0" w:line="304" w:lineRule="auto"/>
        <w:tabs>
          <w:tab w:leader="none" w:pos="377" w:val="left"/>
        </w:tabs>
        <w:numPr>
          <w:ilvl w:val="0"/>
          <w:numId w:val="3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annual report on Form 10-K for the period ended September 30, 2025, filed on the date hereof with the Securities and Exchange Commission (the "Report"), fully complies with the requirements of Section 13(a) or 15(d) of the Securities Exchange Act of 1934 and</w:t>
      </w:r>
    </w:p>
    <w:p>
      <w:pPr>
        <w:spacing w:after="0" w:line="167" w:lineRule="exact"/>
        <w:rPr>
          <w:rFonts w:ascii="Times New Roman" w:cs="Times New Roman" w:eastAsia="Times New Roman" w:hAnsi="Times New Roman"/>
          <w:sz w:val="17"/>
          <w:szCs w:val="17"/>
          <w:color w:val="auto"/>
        </w:rPr>
      </w:pPr>
    </w:p>
    <w:p>
      <w:pPr>
        <w:ind w:left="380" w:hanging="374"/>
        <w:spacing w:after="0"/>
        <w:tabs>
          <w:tab w:leader="none" w:pos="38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results of operations of the Company.</w:t>
      </w:r>
    </w:p>
    <w:p>
      <w:pPr>
        <w:spacing w:after="0" w:line="37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18, 2025</w:t>
            </w:r>
          </w:p>
        </w:tc>
        <w:tc>
          <w:tcPr>
            <w:tcW w:w="43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By:  /s/ Darcy H. Davenport</w:t>
            </w:r>
          </w:p>
        </w:tc>
      </w:tr>
      <w:tr>
        <w:trPr>
          <w:trHeight w:val="213"/>
        </w:trPr>
        <w:tc>
          <w:tcPr>
            <w:tcW w:w="30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Darcy H. Davenport</w:t>
            </w:r>
          </w:p>
        </w:tc>
      </w:tr>
      <w:tr>
        <w:trPr>
          <w:trHeight w:val="231"/>
        </w:trPr>
        <w:tc>
          <w:tcPr>
            <w:tcW w:w="30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200" w:lineRule="exact"/>
        <w:rPr>
          <w:sz w:val="20"/>
          <w:szCs w:val="20"/>
          <w:color w:val="auto"/>
        </w:rPr>
      </w:pPr>
    </w:p>
    <w:p>
      <w:pPr>
        <w:spacing w:after="0" w:line="311" w:lineRule="exact"/>
        <w:rPr>
          <w:sz w:val="20"/>
          <w:szCs w:val="20"/>
          <w:color w:val="auto"/>
        </w:rPr>
      </w:pPr>
    </w:p>
    <w:p>
      <w:pPr>
        <w:ind w:right="760"/>
        <w:spacing w:after="0" w:line="274"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BellRing Brands, Inc. and will be retained by BellRing Brands, Inc. and furnished to the Securities and Exchange Commission or its staff upon request.</w:t>
      </w:r>
    </w:p>
    <w:p>
      <w:pPr>
        <w:sectPr>
          <w:pgSz w:w="11900" w:h="16838" w:orient="portrait"/>
          <w:cols w:equalWidth="0" w:num="1">
            <w:col w:w="11240"/>
          </w:cols>
          <w:pgMar w:left="320" w:top="874" w:right="339" w:bottom="1440" w:gutter="0" w:footer="0" w:header="0"/>
        </w:sectPr>
      </w:pPr>
    </w:p>
    <w:bookmarkStart w:id="306" w:name="page307"/>
    <w:bookmarkEnd w:id="306"/>
    <w:p>
      <w:pPr>
        <w:jc w:val="center"/>
        <w:ind w:right="-759"/>
        <w:spacing w:after="0"/>
        <w:rPr>
          <w:sz w:val="20"/>
          <w:szCs w:val="20"/>
          <w:color w:val="auto"/>
        </w:rPr>
      </w:pPr>
      <w:r>
        <w:rPr>
          <w:rFonts w:ascii="Times New Roman" w:cs="Times New Roman" w:eastAsia="Times New Roman" w:hAnsi="Times New Roman"/>
          <w:sz w:val="18"/>
          <w:szCs w:val="18"/>
          <w:u w:val="single" w:color="auto"/>
          <w:color w:val="auto"/>
        </w:rPr>
        <w:t>Certification Pursuant to</w:t>
      </w:r>
    </w:p>
    <w:p>
      <w:pPr>
        <w:spacing w:after="0" w:line="24"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8"/>
          <w:szCs w:val="18"/>
          <w:u w:val="single" w:color="auto"/>
          <w:color w:val="auto"/>
        </w:rPr>
        <w:t>U.S.C. Section 1350, as adopted pursuant to</w:t>
      </w:r>
    </w:p>
    <w:p>
      <w:pPr>
        <w:spacing w:after="0" w:line="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8"/>
          <w:szCs w:val="18"/>
          <w:u w:val="single" w:color="auto"/>
          <w:color w:val="auto"/>
        </w:rPr>
        <w:t>to Section 906 of the Sarbanes-Oxley Act of 2002</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undersigned, the Chief Financial Officer of BellRing Brands, Inc. (the “Company”), hereby certifies that, to his knowledge on the date hereof:</w:t>
      </w:r>
    </w:p>
    <w:p>
      <w:pPr>
        <w:spacing w:after="0" w:line="255" w:lineRule="exact"/>
        <w:rPr>
          <w:sz w:val="20"/>
          <w:szCs w:val="20"/>
          <w:color w:val="auto"/>
        </w:rPr>
      </w:pPr>
    </w:p>
    <w:p>
      <w:pPr>
        <w:ind w:left="640" w:right="300" w:hanging="634"/>
        <w:spacing w:after="0" w:line="304" w:lineRule="auto"/>
        <w:tabs>
          <w:tab w:leader="none" w:pos="377" w:val="left"/>
        </w:tabs>
        <w:numPr>
          <w:ilvl w:val="0"/>
          <w:numId w:val="3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annual report on Form 10-K for the period ended September 30, 2025, filed on the date hereof with the Securities and Exchange Commission (the "Report"), fully complies with the requirements of Section 13(a) or 15(d) of the Securities Exchange Act of 1934 and</w:t>
      </w:r>
    </w:p>
    <w:p>
      <w:pPr>
        <w:spacing w:after="0" w:line="167" w:lineRule="exact"/>
        <w:rPr>
          <w:rFonts w:ascii="Times New Roman" w:cs="Times New Roman" w:eastAsia="Times New Roman" w:hAnsi="Times New Roman"/>
          <w:sz w:val="17"/>
          <w:szCs w:val="17"/>
          <w:color w:val="auto"/>
        </w:rPr>
      </w:pPr>
    </w:p>
    <w:p>
      <w:pPr>
        <w:ind w:left="380" w:hanging="374"/>
        <w:spacing w:after="0"/>
        <w:tabs>
          <w:tab w:leader="none" w:pos="380" w:val="left"/>
        </w:tabs>
        <w:numPr>
          <w:ilvl w:val="0"/>
          <w:numId w:val="3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November 18, 2025</w:t>
            </w:r>
          </w:p>
        </w:tc>
        <w:tc>
          <w:tcPr>
            <w:tcW w:w="4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By:  /s/ Paul A. Rode</w:t>
            </w:r>
          </w:p>
        </w:tc>
      </w:tr>
      <w:tr>
        <w:trPr>
          <w:trHeight w:val="213"/>
        </w:trPr>
        <w:tc>
          <w:tcPr>
            <w:tcW w:w="5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Paul A. Rode</w:t>
            </w:r>
          </w:p>
        </w:tc>
      </w:tr>
      <w:tr>
        <w:trPr>
          <w:trHeight w:val="231"/>
        </w:trPr>
        <w:tc>
          <w:tcPr>
            <w:tcW w:w="5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9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BellRing Brands, Inc. and will be retained by BellRing Brands, Inc. and furnished to the Securities and Exchange Commission or its staff upon request.</w:t>
      </w:r>
    </w:p>
    <w:sectPr>
      <w:pgSz w:w="11900" w:h="16838" w:orient="portrait"/>
      <w:cols w:equalWidth="0" w:num="1">
        <w:col w:w="10480"/>
      </w:cols>
      <w:pgMar w:left="320" w:top="876" w:right="10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9D8544"/>
    <w:multiLevelType w:val="hybridMultilevel"/>
    <w:lvl w:ilvl="0">
      <w:lvlJc w:val="left"/>
      <w:lvlText w:val="☐"/>
      <w:numFmt w:val="bullet"/>
      <w:start w:val="1"/>
    </w:lvl>
    <w:lvl w:ilvl="1">
      <w:lvlJc w:val="left"/>
      <w:lvlText w:val="☒"/>
      <w:numFmt w:val="bullet"/>
      <w:start w:val="1"/>
    </w:lvl>
  </w:abstractNum>
  <w:abstractNum w:abstractNumId="1">
    <w:nsid w:val="4AB26E78"/>
    <w:multiLevelType w:val="hybridMultilevel"/>
    <w:lvl w:ilvl="0">
      <w:lvlJc w:val="left"/>
      <w:lvlText w:val="•"/>
      <w:numFmt w:val="bullet"/>
      <w:start w:val="1"/>
    </w:lvl>
  </w:abstractNum>
  <w:abstractNum w:abstractNumId="2">
    <w:nsid w:val="21FAA2FA"/>
    <w:multiLevelType w:val="hybridMultilevel"/>
    <w:lvl w:ilvl="0">
      <w:lvlJc w:val="left"/>
      <w:lvlText w:val="•"/>
      <w:numFmt w:val="bullet"/>
      <w:start w:val="1"/>
    </w:lvl>
  </w:abstractNum>
  <w:abstractNum w:abstractNumId="3">
    <w:nsid w:val="5451CF49"/>
    <w:multiLevelType w:val="hybridMultilevel"/>
    <w:lvl w:ilvl="0">
      <w:lvlJc w:val="left"/>
      <w:lvlText w:val="•"/>
      <w:numFmt w:val="bullet"/>
      <w:start w:val="1"/>
    </w:lvl>
  </w:abstractNum>
  <w:abstractNum w:abstractNumId="4">
    <w:nsid w:val="6181EF69"/>
    <w:multiLevelType w:val="hybridMultilevel"/>
    <w:lvl w:ilvl="0">
      <w:lvlJc w:val="left"/>
      <w:lvlText w:val="•"/>
      <w:numFmt w:val="bullet"/>
      <w:start w:val="1"/>
    </w:lvl>
  </w:abstractNum>
  <w:abstractNum w:abstractNumId="5">
    <w:nsid w:val="3E6400E6"/>
    <w:multiLevelType w:val="hybridMultilevel"/>
    <w:lvl w:ilvl="0">
      <w:lvlJc w:val="left"/>
      <w:lvlText w:val="•"/>
      <w:numFmt w:val="bullet"/>
      <w:start w:val="1"/>
    </w:lvl>
  </w:abstractNum>
  <w:abstractNum w:abstractNumId="6">
    <w:nsid w:val="14217E23"/>
    <w:multiLevelType w:val="hybridMultilevel"/>
    <w:lvl w:ilvl="0">
      <w:lvlJc w:val="left"/>
      <w:lvlText w:val="•"/>
      <w:numFmt w:val="bullet"/>
      <w:start w:val="1"/>
    </w:lvl>
  </w:abstractNum>
  <w:abstractNum w:abstractNumId="7">
    <w:nsid w:val="710757D0"/>
    <w:multiLevelType w:val="hybridMultilevel"/>
    <w:lvl w:ilvl="0">
      <w:lvlJc w:val="left"/>
      <w:lvlText w:val="•"/>
      <w:numFmt w:val="bullet"/>
      <w:start w:val="1"/>
    </w:lvl>
  </w:abstractNum>
  <w:abstractNum w:abstractNumId="8">
    <w:nsid w:val="5015CD1A"/>
    <w:multiLevelType w:val="hybridMultilevel"/>
    <w:lvl w:ilvl="0">
      <w:lvlJc w:val="left"/>
      <w:lvlText w:val="(%1)"/>
      <w:numFmt w:val="lowerRoman"/>
      <w:start w:val="1"/>
    </w:lvl>
  </w:abstractNum>
  <w:abstractNum w:abstractNumId="9">
    <w:nsid w:val="424479DA"/>
    <w:multiLevelType w:val="hybridMultilevel"/>
    <w:lvl w:ilvl="0">
      <w:lvlJc w:val="left"/>
      <w:lvlText w:val="•"/>
      <w:numFmt w:val="bullet"/>
      <w:start w:val="1"/>
    </w:lvl>
  </w:abstractNum>
  <w:abstractNum w:abstractNumId="10">
    <w:nsid w:val="1A9A9E69"/>
    <w:multiLevelType w:val="hybridMultilevel"/>
    <w:lvl w:ilvl="0">
      <w:lvlJc w:val="left"/>
      <w:lvlText w:val="•"/>
      <w:numFmt w:val="bullet"/>
      <w:start w:val="1"/>
    </w:lvl>
  </w:abstractNum>
  <w:abstractNum w:abstractNumId="11">
    <w:nsid w:val="475E256A"/>
    <w:multiLevelType w:val="hybridMultilevel"/>
    <w:lvl w:ilvl="0">
      <w:lvlJc w:val="left"/>
      <w:lvlText w:val="•"/>
      <w:numFmt w:val="bullet"/>
      <w:start w:val="1"/>
    </w:lvl>
  </w:abstractNum>
  <w:abstractNum w:abstractNumId="12">
    <w:nsid w:val="368DB37E"/>
    <w:multiLevelType w:val="hybridMultilevel"/>
    <w:lvl w:ilvl="0">
      <w:lvlJc w:val="left"/>
      <w:lvlText w:val="•"/>
      <w:numFmt w:val="bullet"/>
      <w:start w:val="1"/>
    </w:lvl>
  </w:abstractNum>
  <w:abstractNum w:abstractNumId="13">
    <w:nsid w:val="6A3B714C"/>
    <w:multiLevelType w:val="hybridMultilevel"/>
    <w:lvl w:ilvl="0">
      <w:lvlJc w:val="left"/>
      <w:lvlText w:val="(%1)"/>
      <w:numFmt w:val="lowerLetter"/>
      <w:start w:val="1"/>
    </w:lvl>
  </w:abstractNum>
  <w:abstractNum w:abstractNumId="14">
    <w:nsid w:val="327B517E"/>
    <w:multiLevelType w:val="hybridMultilevel"/>
    <w:lvl w:ilvl="0">
      <w:lvlJc w:val="left"/>
      <w:lvlText w:val="(%1)"/>
      <w:numFmt w:val="lowerRoman"/>
      <w:start w:val="1"/>
    </w:lvl>
  </w:abstractNum>
  <w:abstractNum w:abstractNumId="15">
    <w:nsid w:val="1F461B51"/>
    <w:multiLevelType w:val="hybridMultilevel"/>
    <w:lvl w:ilvl="0">
      <w:lvlJc w:val="left"/>
      <w:lvlText w:val="*"/>
      <w:numFmt w:val="bullet"/>
      <w:start w:val="1"/>
    </w:lvl>
  </w:abstractNum>
  <w:abstractNum w:abstractNumId="16">
    <w:nsid w:val="29BACF25"/>
    <w:multiLevelType w:val="hybridMultilevel"/>
    <w:lvl w:ilvl="0">
      <w:lvlJc w:val="left"/>
      <w:lvlText w:val="•"/>
      <w:numFmt w:val="bullet"/>
      <w:start w:val="1"/>
    </w:lvl>
  </w:abstractNum>
  <w:abstractNum w:abstractNumId="17">
    <w:nsid w:val="5D5BABB3"/>
    <w:multiLevelType w:val="hybridMultilevel"/>
    <w:lvl w:ilvl="0">
      <w:lvlJc w:val="left"/>
      <w:lvlText w:val="•"/>
      <w:numFmt w:val="bullet"/>
      <w:start w:val="1"/>
    </w:lvl>
  </w:abstractNum>
  <w:abstractNum w:abstractNumId="18">
    <w:nsid w:val="51BF6B48"/>
    <w:multiLevelType w:val="hybridMultilevel"/>
    <w:lvl w:ilvl="0">
      <w:lvlJc w:val="left"/>
      <w:lvlText w:val="•"/>
      <w:numFmt w:val="bullet"/>
      <w:start w:val="1"/>
    </w:lvl>
  </w:abstractNum>
  <w:abstractNum w:abstractNumId="19">
    <w:nsid w:val="7E0F6384"/>
    <w:multiLevelType w:val="hybridMultilevel"/>
    <w:lvl w:ilvl="0">
      <w:lvlJc w:val="left"/>
      <w:lvlText w:val="•"/>
      <w:numFmt w:val="bullet"/>
      <w:start w:val="1"/>
    </w:lvl>
  </w:abstractNum>
  <w:abstractNum w:abstractNumId="20">
    <w:nsid w:val="2B4B8B53"/>
    <w:multiLevelType w:val="hybridMultilevel"/>
    <w:lvl w:ilvl="0">
      <w:lvlJc w:val="left"/>
      <w:lvlText w:val="(%1)"/>
      <w:numFmt w:val="lowerLetter"/>
      <w:start w:val="1"/>
    </w:lvl>
  </w:abstractNum>
  <w:abstractNum w:abstractNumId="21">
    <w:nsid w:val="72E3413A"/>
    <w:multiLevelType w:val="hybridMultilevel"/>
    <w:lvl w:ilvl="0">
      <w:lvlJc w:val="left"/>
      <w:lvlText w:val="(%1)"/>
      <w:numFmt w:val="lowerLetter"/>
      <w:start w:val="1"/>
    </w:lvl>
  </w:abstractNum>
  <w:abstractNum w:abstractNumId="22">
    <w:nsid w:val="116AE494"/>
    <w:multiLevelType w:val="hybridMultilevel"/>
    <w:lvl w:ilvl="0">
      <w:lvlJc w:val="left"/>
      <w:lvlText w:val="%1."/>
      <w:numFmt w:val="decimal"/>
      <w:start w:val="1"/>
    </w:lvl>
    <w:lvl w:ilvl="1">
      <w:lvlJc w:val="left"/>
      <w:lvlText w:val="•"/>
      <w:numFmt w:val="bullet"/>
      <w:start w:val="1"/>
    </w:lvl>
  </w:abstractNum>
  <w:abstractNum w:abstractNumId="23">
    <w:nsid w:val="3494B2FB"/>
    <w:multiLevelType w:val="hybridMultilevel"/>
    <w:lvl w:ilvl="0">
      <w:lvlJc w:val="left"/>
      <w:lvlText w:val="%1"/>
      <w:numFmt w:val="decimal"/>
      <w:start w:val="101"/>
    </w:lvl>
  </w:abstractNum>
  <w:abstractNum w:abstractNumId="24">
    <w:nsid w:val="B13A31"/>
    <w:multiLevelType w:val="hybridMultilevel"/>
    <w:lvl w:ilvl="0">
      <w:lvlJc w:val="left"/>
      <w:lvlText w:val="*"/>
      <w:numFmt w:val="bullet"/>
      <w:start w:val="1"/>
    </w:lvl>
    <w:lvl w:ilvl="1">
      <w:lvlJc w:val="left"/>
      <w:lvlText w:val="%2"/>
      <w:numFmt w:val="decimal"/>
      <w:start w:val="104"/>
    </w:lvl>
  </w:abstractNum>
  <w:abstractNum w:abstractNumId="25">
    <w:nsid w:val="64429599"/>
    <w:multiLevelType w:val="hybridMultilevel"/>
    <w:lvl w:ilvl="0">
      <w:lvlJc w:val="left"/>
      <w:lvlText w:val="†"/>
      <w:numFmt w:val="bullet"/>
      <w:start w:val="1"/>
    </w:lvl>
  </w:abstractNum>
  <w:abstractNum w:abstractNumId="26">
    <w:nsid w:val="631F1690"/>
    <w:multiLevelType w:val="hybridMultilevel"/>
    <w:lvl w:ilvl="0">
      <w:lvlJc w:val="left"/>
      <w:lvlText w:val="‡"/>
      <w:numFmt w:val="bullet"/>
      <w:start w:val="1"/>
    </w:lvl>
  </w:abstractNum>
  <w:abstractNum w:abstractNumId="27">
    <w:nsid w:val="25973E32"/>
    <w:multiLevelType w:val="hybridMultilevel"/>
    <w:lvl w:ilvl="0">
      <w:lvlJc w:val="left"/>
      <w:lvlText w:val="(%1)"/>
      <w:numFmt w:val="lowerRoman"/>
      <w:start w:val="1"/>
    </w:lvl>
  </w:abstractNum>
  <w:abstractNum w:abstractNumId="28">
    <w:nsid w:val="EAD6F57"/>
    <w:multiLevelType w:val="hybridMultilevel"/>
    <w:lvl w:ilvl="0">
      <w:lvlJc w:val="left"/>
      <w:lvlText w:val="•"/>
      <w:numFmt w:val="bullet"/>
      <w:start w:val="1"/>
    </w:lvl>
  </w:abstractNum>
  <w:abstractNum w:abstractNumId="29">
    <w:nsid w:val="6EC9D844"/>
    <w:multiLevelType w:val="hybridMultilevel"/>
    <w:lvl w:ilvl="0">
      <w:lvlJc w:val="left"/>
      <w:lvlText w:val="•"/>
      <w:numFmt w:val="bullet"/>
      <w:start w:val="1"/>
    </w:lvl>
  </w:abstractNum>
  <w:abstractNum w:abstractNumId="30">
    <w:nsid w:val="5C49EAEE"/>
    <w:multiLevelType w:val="hybridMultilevel"/>
    <w:lvl w:ilvl="0">
      <w:lvlJc w:val="left"/>
      <w:lvlText w:val="(%1)"/>
      <w:numFmt w:val="lowerRoman"/>
      <w:start w:val="1"/>
    </w:lvl>
  </w:abstractNum>
  <w:abstractNum w:abstractNumId="31">
    <w:nsid w:val="64AF49B"/>
    <w:multiLevelType w:val="hybridMultilevel"/>
    <w:lvl w:ilvl="0">
      <w:lvlJc w:val="left"/>
      <w:lvlText w:val="(%1)"/>
      <w:numFmt w:val="lowerLetter"/>
      <w:start w:val="3"/>
    </w:lvl>
  </w:abstractNum>
  <w:abstractNum w:abstractNumId="32">
    <w:nsid w:val="397C46BC"/>
    <w:multiLevelType w:val="hybridMultilevel"/>
    <w:lvl w:ilvl="0">
      <w:lvlJc w:val="left"/>
      <w:lvlText w:val="%1."/>
      <w:numFmt w:val="upperLetter"/>
      <w:start w:val="1"/>
    </w:lvl>
  </w:abstractNum>
  <w:abstractNum w:abstractNumId="33">
    <w:nsid w:val="7E448DE9"/>
    <w:multiLevelType w:val="hybridMultilevel"/>
    <w:lvl w:ilvl="0">
      <w:lvlJc w:val="left"/>
      <w:lvlText w:val="%1."/>
      <w:numFmt w:val="upperLetter"/>
      <w:start w:val="3"/>
    </w:lvl>
  </w:abstractNum>
  <w:abstractNum w:abstractNumId="34">
    <w:nsid w:val="5A9CC3E5"/>
    <w:multiLevelType w:val="hybridMultilevel"/>
    <w:lvl w:ilvl="0">
      <w:lvlJc w:val="left"/>
      <w:lvlText w:val="%1."/>
      <w:numFmt w:val="upperLetter"/>
      <w:start w:val="1"/>
    </w:lvl>
  </w:abstractNum>
  <w:abstractNum w:abstractNumId="35">
    <w:nsid w:val="1AFE3625"/>
    <w:multiLevelType w:val="hybridMultilevel"/>
    <w:lvl w:ilvl="0">
      <w:lvlJc w:val="left"/>
      <w:lvlText w:val="%1."/>
      <w:numFmt w:val="upperLetter"/>
      <w:start w:val="2"/>
    </w:lvl>
  </w:abstractNum>
  <w:abstractNum w:abstractNumId="36">
    <w:nsid w:val="3CA88ECF"/>
    <w:multiLevelType w:val="hybridMultilevel"/>
    <w:lvl w:ilvl="0">
      <w:lvlJc w:val="left"/>
      <w:lvlText w:val="%1."/>
      <w:numFmt w:val="upperLetter"/>
      <w:start w:val="1"/>
    </w:lvl>
  </w:abstractNum>
  <w:abstractNum w:abstractNumId="37">
    <w:nsid w:val="6EBE4208"/>
    <w:multiLevelType w:val="hybridMultilevel"/>
    <w:lvl w:ilvl="0">
      <w:lvlJc w:val="left"/>
      <w:lvlText w:val="%1."/>
      <w:numFmt w:val="upperLetter"/>
      <w:start w:val="6"/>
    </w:lvl>
  </w:abstractNum>
  <w:abstractNum w:abstractNumId="38">
    <w:nsid w:val="C058DF5"/>
    <w:multiLevelType w:val="hybridMultilevel"/>
    <w:lvl w:ilvl="0">
      <w:lvlJc w:val="left"/>
      <w:lvlText w:val="%1."/>
      <w:numFmt w:val="upperLetter"/>
      <w:start w:val="1"/>
    </w:lvl>
  </w:abstractNum>
  <w:abstractNum w:abstractNumId="39">
    <w:nsid w:val="CBE5BE9"/>
    <w:multiLevelType w:val="hybridMultilevel"/>
    <w:lvl w:ilvl="0">
      <w:lvlJc w:val="left"/>
      <w:lvlText w:val="%1."/>
      <w:numFmt w:val="upperLetter"/>
      <w:start w:val="5"/>
    </w:lvl>
  </w:abstractNum>
  <w:abstractNum w:abstractNumId="40">
    <w:nsid w:val="3102BBE2"/>
    <w:multiLevelType w:val="hybridMultilevel"/>
    <w:lvl w:ilvl="0">
      <w:lvlJc w:val="left"/>
      <w:lvlText w:val="%1."/>
      <w:numFmt w:val="upperLetter"/>
      <w:start w:val="1"/>
    </w:lvl>
    <w:lvl w:ilvl="1">
      <w:lvlJc w:val="left"/>
      <w:lvlText w:val="(%2)"/>
      <w:numFmt w:val="lowerRoman"/>
      <w:start w:val="1"/>
    </w:lvl>
  </w:abstractNum>
  <w:abstractNum w:abstractNumId="41">
    <w:nsid w:val="26A02C5E"/>
    <w:multiLevelType w:val="hybridMultilevel"/>
    <w:lvl w:ilvl="0">
      <w:lvlJc w:val="left"/>
      <w:lvlText w:val="%1"/>
      <w:numFmt w:val="upperLetter"/>
      <w:start w:val="1"/>
    </w:lvl>
    <w:lvl w:ilvl="1">
      <w:lvlJc w:val="left"/>
      <w:lvlText w:val="(%2)"/>
      <w:numFmt w:val="lowerRoman"/>
      <w:start w:val="2"/>
    </w:lvl>
  </w:abstractNum>
  <w:abstractNum w:abstractNumId="42">
    <w:nsid w:val="541C8153"/>
    <w:multiLevelType w:val="hybridMultilevel"/>
    <w:lvl w:ilvl="0">
      <w:lvlJc w:val="left"/>
      <w:lvlText w:val="%1."/>
      <w:numFmt w:val="upperLetter"/>
      <w:start w:val="2"/>
    </w:lvl>
    <w:lvl w:ilvl="1">
      <w:lvlJc w:val="left"/>
      <w:lvlText w:val="%2"/>
      <w:numFmt w:val="lowerRoman"/>
      <w:start w:val="1"/>
    </w:lvl>
  </w:abstractNum>
  <w:abstractNum w:abstractNumId="43">
    <w:nsid w:val="67906F60"/>
    <w:multiLevelType w:val="hybridMultilevel"/>
    <w:lvl w:ilvl="0">
      <w:lvlJc w:val="left"/>
      <w:lvlText w:val="%1."/>
      <w:numFmt w:val="upperLetter"/>
      <w:start w:val="7"/>
    </w:lvl>
  </w:abstractNum>
  <w:abstractNum w:abstractNumId="44">
    <w:nsid w:val="10DB9DAA"/>
    <w:multiLevelType w:val="hybridMultilevel"/>
    <w:lvl w:ilvl="0">
      <w:lvlJc w:val="left"/>
      <w:lvlText w:val="B"/>
      <w:numFmt w:val="bullet"/>
      <w:start w:val="1"/>
    </w:lvl>
  </w:abstractNum>
  <w:abstractNum w:abstractNumId="45">
    <w:nsid w:val="697D2D2"/>
    <w:multiLevelType w:val="hybridMultilevel"/>
    <w:lvl w:ilvl="0">
      <w:lvlJc w:val="left"/>
      <w:lvlText w:val="D"/>
      <w:numFmt w:val="bullet"/>
      <w:start w:val="1"/>
    </w:lvl>
  </w:abstractNum>
  <w:abstractNum w:abstractNumId="46">
    <w:nsid w:val="6D68AB2"/>
    <w:multiLevelType w:val="hybridMultilevel"/>
    <w:lvl w:ilvl="0">
      <w:lvlJc w:val="left"/>
      <w:lvlText w:val="F"/>
      <w:numFmt w:val="bullet"/>
      <w:start w:val="1"/>
    </w:lvl>
  </w:abstractNum>
  <w:abstractNum w:abstractNumId="47">
    <w:nsid w:val="3A966CD0"/>
    <w:multiLevelType w:val="hybridMultilevel"/>
    <w:lvl w:ilvl="0">
      <w:lvlJc w:val="left"/>
      <w:lvlText w:val="G"/>
      <w:numFmt w:val="bullet"/>
      <w:start w:val="1"/>
    </w:lvl>
  </w:abstractNum>
  <w:abstractNum w:abstractNumId="48">
    <w:nsid w:val="63F37E85"/>
    <w:multiLevelType w:val="hybridMultilevel"/>
    <w:lvl w:ilvl="0">
      <w:lvlJc w:val="left"/>
      <w:lvlText w:val="I"/>
      <w:numFmt w:val="bullet"/>
      <w:start w:val="1"/>
    </w:lvl>
  </w:abstractNum>
  <w:abstractNum w:abstractNumId="49">
    <w:nsid w:val="5895F5FA"/>
    <w:multiLevelType w:val="hybridMultilevel"/>
    <w:lvl w:ilvl="0">
      <w:lvlJc w:val="left"/>
      <w:lvlText w:val="(%1)"/>
      <w:numFmt w:val="lowerLetter"/>
      <w:start w:val="1"/>
    </w:lvl>
  </w:abstractNum>
  <w:abstractNum w:abstractNumId="50">
    <w:nsid w:val="38A5D054"/>
    <w:multiLevelType w:val="hybridMultilevel"/>
    <w:lvl w:ilvl="0">
      <w:lvlJc w:val="left"/>
      <w:lvlText w:val="(%1)"/>
      <w:numFmt w:val="decimal"/>
      <w:start w:val="1"/>
    </w:lvl>
  </w:abstractNum>
  <w:abstractNum w:abstractNumId="51">
    <w:nsid w:val="F3F09D8"/>
    <w:multiLevelType w:val="hybridMultilevel"/>
    <w:lvl w:ilvl="0">
      <w:lvlJc w:val="left"/>
      <w:lvlText w:val="%1"/>
      <w:numFmt w:val="lowerLetter"/>
      <w:start w:val="1"/>
    </w:lvl>
    <w:lvl w:ilvl="1">
      <w:lvlJc w:val="left"/>
      <w:lvlText w:val="(%2)"/>
      <w:numFmt w:val="decimal"/>
      <w:start w:val="7"/>
    </w:lvl>
  </w:abstractNum>
  <w:abstractNum w:abstractNumId="52">
    <w:nsid w:val="4B793735"/>
    <w:multiLevelType w:val="hybridMultilevel"/>
    <w:lvl w:ilvl="0">
      <w:lvlJc w:val="left"/>
      <w:lvlText w:val="(%1)"/>
      <w:numFmt w:val="lowerLetter"/>
      <w:start w:val="2"/>
    </w:lvl>
    <w:lvl w:ilvl="1">
      <w:lvlJc w:val="left"/>
      <w:lvlText w:val="%2"/>
      <w:numFmt w:val="decimal"/>
      <w:start w:val="1"/>
    </w:lvl>
  </w:abstractNum>
  <w:abstractNum w:abstractNumId="53">
    <w:nsid w:val="4A10B4E8"/>
    <w:multiLevelType w:val="hybridMultilevel"/>
    <w:lvl w:ilvl="0">
      <w:lvlJc w:val="left"/>
      <w:lvlText w:val="(%1)"/>
      <w:numFmt w:val="lowerLetter"/>
      <w:start w:val="1"/>
    </w:lvl>
  </w:abstractNum>
  <w:abstractNum w:abstractNumId="54">
    <w:nsid w:val="43D3BCD4"/>
    <w:multiLevelType w:val="hybridMultilevel"/>
    <w:lvl w:ilvl="0">
      <w:lvlJc w:val="left"/>
      <w:lvlText w:val="(%1)"/>
      <w:numFmt w:val="lowerLetter"/>
      <w:start w:val="3"/>
    </w:lvl>
  </w:abstractNum>
  <w:abstractNum w:abstractNumId="55">
    <w:nsid w:val="4C2A7166"/>
    <w:multiLevelType w:val="hybridMultilevel"/>
    <w:lvl w:ilvl="0">
      <w:lvlJc w:val="left"/>
      <w:lvlText w:val="(%1)"/>
      <w:numFmt w:val="lowerLetter"/>
      <w:start w:val="4"/>
    </w:lvl>
  </w:abstractNum>
  <w:abstractNum w:abstractNumId="56">
    <w:nsid w:val="2E534A82"/>
    <w:multiLevelType w:val="hybridMultilevel"/>
    <w:lvl w:ilvl="0">
      <w:lvlJc w:val="left"/>
      <w:lvlText w:val="(%1)"/>
      <w:numFmt w:val="lowerLetter"/>
      <w:start w:val="1"/>
    </w:lvl>
  </w:abstractNum>
  <w:abstractNum w:abstractNumId="57">
    <w:nsid w:val="26F2D364"/>
    <w:multiLevelType w:val="hybridMultilevel"/>
    <w:lvl w:ilvl="0">
      <w:lvlJc w:val="left"/>
      <w:lvlText w:val="(%1)"/>
      <w:numFmt w:val="lowerLetter"/>
      <w:start w:val="3"/>
    </w:lvl>
  </w:abstractNum>
  <w:abstractNum w:abstractNumId="58">
    <w:nsid w:val="71C1AF98"/>
    <w:multiLevelType w:val="hybridMultilevel"/>
    <w:lvl w:ilvl="0">
      <w:lvlJc w:val="left"/>
      <w:lvlText w:val="(%1)"/>
      <w:numFmt w:val="lowerLetter"/>
      <w:start w:val="2"/>
    </w:lvl>
  </w:abstractNum>
  <w:abstractNum w:abstractNumId="59">
    <w:nsid w:val="3D00B9D9"/>
    <w:multiLevelType w:val="hybridMultilevel"/>
    <w:lvl w:ilvl="0">
      <w:lvlJc w:val="left"/>
      <w:lvlText w:val="%1"/>
      <w:numFmt w:val="upperLetter"/>
      <w:start w:val="1"/>
    </w:lvl>
    <w:lvl w:ilvl="1">
      <w:lvlJc w:val="left"/>
      <w:lvlText w:val="(%2)"/>
      <w:numFmt w:val="lowerLetter"/>
      <w:start w:val="4"/>
    </w:lvl>
  </w:abstractNum>
  <w:abstractNum w:abstractNumId="60">
    <w:nsid w:val="15BCABA8"/>
    <w:multiLevelType w:val="hybridMultilevel"/>
    <w:lvl w:ilvl="0">
      <w:lvlJc w:val="left"/>
      <w:lvlText w:val="(%1)"/>
      <w:numFmt w:val="upperLetter"/>
      <w:start w:val="1"/>
    </w:lvl>
    <w:lvl w:ilvl="1">
      <w:lvlJc w:val="left"/>
      <w:lvlText w:val="(%2)"/>
      <w:numFmt w:val="lowerLetter"/>
      <w:start w:val="6"/>
    </w:lvl>
  </w:abstractNum>
  <w:abstractNum w:abstractNumId="61">
    <w:nsid w:val="4E0B9A87"/>
    <w:multiLevelType w:val="hybridMultilevel"/>
    <w:lvl w:ilvl="0">
      <w:lvlJc w:val="left"/>
      <w:lvlText w:val="%1"/>
      <w:numFmt w:val="lowerLetter"/>
      <w:start w:val="1"/>
    </w:lvl>
    <w:lvl w:ilvl="1">
      <w:lvlJc w:val="left"/>
      <w:lvlText w:val="(%2)"/>
      <w:numFmt w:val="lowerLetter"/>
      <w:start w:val="9"/>
    </w:lvl>
  </w:abstractNum>
  <w:abstractNum w:abstractNumId="62">
    <w:nsid w:val="434BAE75"/>
    <w:multiLevelType w:val="hybridMultilevel"/>
    <w:lvl w:ilvl="0">
      <w:lvlJc w:val="left"/>
      <w:lvlText w:val="(%1)"/>
      <w:numFmt w:val="lowerLetter"/>
      <w:start w:val="13"/>
    </w:lvl>
    <w:lvl w:ilvl="1">
      <w:lvlJc w:val="left"/>
      <w:lvlText w:val="%2"/>
      <w:numFmt w:val="lowerLetter"/>
      <w:start w:val="1"/>
    </w:lvl>
  </w:abstractNum>
  <w:abstractNum w:abstractNumId="63">
    <w:nsid w:val="4F38F265"/>
    <w:multiLevelType w:val="hybridMultilevel"/>
    <w:lvl w:ilvl="0">
      <w:lvlJc w:val="left"/>
      <w:lvlText w:val="(%1)"/>
      <w:numFmt w:val="lowerLetter"/>
      <w:start w:val="14"/>
    </w:lvl>
  </w:abstractNum>
  <w:abstractNum w:abstractNumId="64">
    <w:nsid w:val="4C502870"/>
    <w:multiLevelType w:val="hybridMultilevel"/>
    <w:lvl w:ilvl="0">
      <w:lvlJc w:val="left"/>
      <w:lvlText w:val="(%1)"/>
      <w:numFmt w:val="lowerLetter"/>
      <w:start w:val="15"/>
    </w:lvl>
  </w:abstractNum>
  <w:abstractNum w:abstractNumId="65">
    <w:nsid w:val="1DE8725A"/>
    <w:multiLevelType w:val="hybridMultilevel"/>
    <w:lvl w:ilvl="0">
      <w:lvlJc w:val="left"/>
      <w:lvlText w:val="(%1)"/>
      <w:numFmt w:val="lowerLetter"/>
      <w:start w:val="22"/>
    </w:lvl>
  </w:abstractNum>
  <w:abstractNum w:abstractNumId="66">
    <w:nsid w:val="6A37288A"/>
    <w:multiLevelType w:val="hybridMultilevel"/>
    <w:lvl w:ilvl="0">
      <w:lvlJc w:val="left"/>
      <w:lvlText w:val="(%1)"/>
      <w:numFmt w:val="lowerLetter"/>
      <w:start w:val="27"/>
    </w:lvl>
  </w:abstractNum>
  <w:abstractNum w:abstractNumId="67">
    <w:nsid w:val="8F8B73F"/>
    <w:multiLevelType w:val="hybridMultilevel"/>
    <w:lvl w:ilvl="0">
      <w:lvlJc w:val="left"/>
      <w:lvlText w:val="(%1)"/>
      <w:numFmt w:val="lowerLetter"/>
      <w:start w:val="24"/>
    </w:lvl>
  </w:abstractNum>
  <w:abstractNum w:abstractNumId="68">
    <w:nsid w:val="CA6B462"/>
    <w:multiLevelType w:val="hybridMultilevel"/>
    <w:lvl w:ilvl="0">
      <w:lvlJc w:val="left"/>
      <w:lvlText w:val="(%1)"/>
      <w:numFmt w:val="upperLetter"/>
      <w:start w:val="1"/>
    </w:lvl>
  </w:abstractNum>
  <w:abstractNum w:abstractNumId="69">
    <w:nsid w:val="763CB680"/>
    <w:multiLevelType w:val="hybridMultilevel"/>
    <w:lvl w:ilvl="0">
      <w:lvlJc w:val="left"/>
      <w:lvlText w:val="(%1)"/>
      <w:numFmt w:val="lowerRoman"/>
      <w:start w:val="1"/>
    </w:lvl>
  </w:abstractNum>
  <w:abstractNum w:abstractNumId="70">
    <w:nsid w:val="15B71329"/>
    <w:multiLevelType w:val="hybridMultilevel"/>
    <w:lvl w:ilvl="0">
      <w:lvlJc w:val="left"/>
      <w:lvlText w:val="(%1)"/>
      <w:numFmt w:val="lowerRoman"/>
      <w:start w:val="2"/>
    </w:lvl>
  </w:abstractNum>
  <w:abstractNum w:abstractNumId="71">
    <w:nsid w:val="3DA97044"/>
    <w:multiLevelType w:val="hybridMultilevel"/>
    <w:lvl w:ilvl="0">
      <w:lvlJc w:val="left"/>
      <w:lvlText w:val="(%1)"/>
      <w:numFmt w:val="lowerLetter"/>
      <w:start w:val="4"/>
    </w:lvl>
  </w:abstractNum>
  <w:abstractNum w:abstractNumId="72">
    <w:nsid w:val="1CDCE2DE"/>
    <w:multiLevelType w:val="hybridMultilevel"/>
    <w:lvl w:ilvl="0">
      <w:lvlJc w:val="left"/>
      <w:lvlText w:val="(%1)"/>
      <w:numFmt w:val="lowerRoman"/>
      <w:start w:val="2"/>
    </w:lvl>
  </w:abstractNum>
  <w:abstractNum w:abstractNumId="73">
    <w:nsid w:val="69D3947C"/>
    <w:multiLevelType w:val="hybridMultilevel"/>
    <w:lvl w:ilvl="0">
      <w:lvlJc w:val="left"/>
      <w:lvlText w:val="(%1)"/>
      <w:numFmt w:val="lowerRoman"/>
      <w:start w:val="4"/>
    </w:lvl>
  </w:abstractNum>
  <w:abstractNum w:abstractNumId="74">
    <w:nsid w:val="2539DFA5"/>
    <w:multiLevelType w:val="hybridMultilevel"/>
    <w:lvl w:ilvl="0">
      <w:lvlJc w:val="left"/>
      <w:lvlText w:val="(%1)"/>
      <w:numFmt w:val="decimal"/>
      <w:start w:val="5"/>
    </w:lvl>
  </w:abstractNum>
  <w:abstractNum w:abstractNumId="75">
    <w:nsid w:val="2DB88089"/>
    <w:multiLevelType w:val="hybridMultilevel"/>
    <w:lvl w:ilvl="0">
      <w:lvlJc w:val="left"/>
      <w:lvlText w:val="(%1)"/>
      <w:numFmt w:val="lowerRoman"/>
      <w:start w:val="10"/>
    </w:lvl>
  </w:abstractNum>
  <w:abstractNum w:abstractNumId="76">
    <w:nsid w:val="706B674E"/>
    <w:multiLevelType w:val="hybridMultilevel"/>
    <w:lvl w:ilvl="0">
      <w:lvlJc w:val="left"/>
      <w:lvlText w:val="%1"/>
      <w:numFmt w:val="lowerLetter"/>
      <w:start w:val="1"/>
    </w:lvl>
    <w:lvl w:ilvl="1">
      <w:lvlJc w:val="left"/>
      <w:lvlText w:val="(%2)"/>
      <w:numFmt w:val="lowerLetter"/>
      <w:start w:val="3"/>
    </w:lvl>
  </w:abstractNum>
  <w:abstractNum w:abstractNumId="77">
    <w:nsid w:val="2C106A57"/>
    <w:multiLevelType w:val="hybridMultilevel"/>
    <w:lvl w:ilvl="0">
      <w:lvlJc w:val="left"/>
      <w:lvlText w:val="(%1)"/>
      <w:numFmt w:val="lowerLetter"/>
      <w:start w:val="9"/>
    </w:lvl>
    <w:lvl w:ilvl="1">
      <w:lvlJc w:val="left"/>
      <w:lvlText w:val="%2"/>
      <w:numFmt w:val="lowerLetter"/>
      <w:start w:val="1"/>
    </w:lvl>
  </w:abstractNum>
  <w:abstractNum w:abstractNumId="78">
    <w:nsid w:val="684EED59"/>
    <w:multiLevelType w:val="hybridMultilevel"/>
    <w:lvl w:ilvl="0">
      <w:lvlJc w:val="left"/>
      <w:lvlText w:val="(%1)"/>
      <w:numFmt w:val="lowerLetter"/>
      <w:start w:val="3"/>
    </w:lvl>
  </w:abstractNum>
  <w:abstractNum w:abstractNumId="79">
    <w:nsid w:val="545EE5D3"/>
    <w:multiLevelType w:val="hybridMultilevel"/>
    <w:lvl w:ilvl="0">
      <w:lvlJc w:val="left"/>
      <w:lvlText w:val="(%1)"/>
      <w:numFmt w:val="lowerLetter"/>
      <w:start w:val="1"/>
    </w:lvl>
  </w:abstractNum>
  <w:abstractNum w:abstractNumId="80">
    <w:nsid w:val="4A66051"/>
    <w:multiLevelType w:val="hybridMultilevel"/>
    <w:lvl w:ilvl="0">
      <w:lvlJc w:val="left"/>
      <w:lvlText w:val="(%1)"/>
      <w:numFmt w:val="lowerLetter"/>
      <w:start w:val="4"/>
    </w:lvl>
  </w:abstractNum>
  <w:abstractNum w:abstractNumId="81">
    <w:nsid w:val="20F4BDAD"/>
    <w:multiLevelType w:val="hybridMultilevel"/>
    <w:lvl w:ilvl="0">
      <w:lvlJc w:val="left"/>
      <w:lvlText w:val="(%1)"/>
      <w:numFmt w:val="lowerLetter"/>
      <w:start w:val="1"/>
    </w:lvl>
  </w:abstractNum>
  <w:abstractNum w:abstractNumId="82">
    <w:nsid w:val="639DEFAC"/>
    <w:multiLevelType w:val="hybridMultilevel"/>
    <w:lvl w:ilvl="0">
      <w:lvlJc w:val="left"/>
      <w:lvlText w:val="(%1)"/>
      <w:numFmt w:val="lowerRoman"/>
      <w:start w:val="4"/>
    </w:lvl>
  </w:abstractNum>
  <w:abstractNum w:abstractNumId="83">
    <w:nsid w:val="501F9786"/>
    <w:multiLevelType w:val="hybridMultilevel"/>
    <w:lvl w:ilvl="0">
      <w:lvlJc w:val="left"/>
      <w:lvlText w:val="(%1)"/>
      <w:numFmt w:val="lowerLetter"/>
      <w:start w:val="9"/>
    </w:lvl>
  </w:abstractNum>
  <w:abstractNum w:abstractNumId="84">
    <w:nsid w:val="6B057295"/>
    <w:multiLevelType w:val="hybridMultilevel"/>
    <w:lvl w:ilvl="0">
      <w:lvlJc w:val="left"/>
      <w:lvlText w:val="(%1)"/>
      <w:numFmt w:val="lowerLetter"/>
      <w:start w:val="12"/>
    </w:lvl>
  </w:abstractNum>
  <w:abstractNum w:abstractNumId="85">
    <w:nsid w:val="2771AC80"/>
    <w:multiLevelType w:val="hybridMultilevel"/>
    <w:lvl w:ilvl="0">
      <w:lvlJc w:val="left"/>
      <w:lvlText w:val="(%1)"/>
      <w:numFmt w:val="lowerLetter"/>
      <w:start w:val="2"/>
    </w:lvl>
  </w:abstractNum>
  <w:abstractNum w:abstractNumId="86">
    <w:nsid w:val="1C4A08EC"/>
    <w:multiLevelType w:val="hybridMultilevel"/>
    <w:lvl w:ilvl="0">
      <w:lvlJc w:val="left"/>
      <w:lvlText w:val="(%1)"/>
      <w:numFmt w:val="lowerLetter"/>
      <w:start w:val="1"/>
    </w:lvl>
  </w:abstractNum>
  <w:abstractNum w:abstractNumId="87">
    <w:nsid w:val="1958BD17"/>
    <w:multiLevelType w:val="hybridMultilevel"/>
    <w:lvl w:ilvl="0">
      <w:lvlJc w:val="left"/>
      <w:lvlText w:val="(%1)"/>
      <w:numFmt w:val="lowerLetter"/>
      <w:start w:val="1"/>
    </w:lvl>
  </w:abstractNum>
  <w:abstractNum w:abstractNumId="88">
    <w:nsid w:val="4E647FE4"/>
    <w:multiLevelType w:val="hybridMultilevel"/>
    <w:lvl w:ilvl="0">
      <w:lvlJc w:val="left"/>
      <w:lvlText w:val="(%1)"/>
      <w:numFmt w:val="lowerLetter"/>
      <w:start w:val="2"/>
    </w:lvl>
  </w:abstractNum>
  <w:abstractNum w:abstractNumId="89">
    <w:nsid w:val="E0BB885"/>
    <w:multiLevelType w:val="hybridMultilevel"/>
    <w:lvl w:ilvl="0">
      <w:lvlJc w:val="left"/>
      <w:lvlText w:val="(%1)"/>
      <w:numFmt w:val="lowerLetter"/>
      <w:start w:val="1"/>
    </w:lvl>
  </w:abstractNum>
  <w:abstractNum w:abstractNumId="90">
    <w:nsid w:val="565976F1"/>
    <w:multiLevelType w:val="hybridMultilevel"/>
    <w:lvl w:ilvl="0">
      <w:lvlJc w:val="left"/>
      <w:lvlText w:val="(%1)"/>
      <w:numFmt w:val="lowerLetter"/>
      <w:start w:val="15"/>
    </w:lvl>
  </w:abstractNum>
  <w:abstractNum w:abstractNumId="91">
    <w:nsid w:val="64212B8C"/>
    <w:multiLevelType w:val="hybridMultilevel"/>
    <w:lvl w:ilvl="0">
      <w:lvlJc w:val="left"/>
      <w:lvlText w:val="."/>
      <w:numFmt w:val="bullet"/>
      <w:start w:val="1"/>
    </w:lvl>
    <w:lvl w:ilvl="1">
      <w:lvlJc w:val="left"/>
      <w:lvlText w:val="(%2)"/>
      <w:numFmt w:val="lowerLetter"/>
      <w:start w:val="1"/>
    </w:lvl>
  </w:abstractNum>
  <w:abstractNum w:abstractNumId="92">
    <w:nsid w:val="5C17530C"/>
    <w:multiLevelType w:val="hybridMultilevel"/>
    <w:lvl w:ilvl="0">
      <w:lvlJc w:val="left"/>
      <w:lvlText w:val="(%1)"/>
      <w:numFmt w:val="lowerLetter"/>
      <w:start w:val="35"/>
    </w:lvl>
    <w:lvl w:ilvl="1">
      <w:lvlJc w:val="left"/>
      <w:lvlText w:val="(%2)"/>
      <w:numFmt w:val="lowerLetter"/>
      <w:start w:val="2"/>
    </w:lvl>
  </w:abstractNum>
  <w:abstractNum w:abstractNumId="93">
    <w:nsid w:val="19A52566"/>
    <w:multiLevelType w:val="hybridMultilevel"/>
    <w:lvl w:ilvl="0">
      <w:lvlJc w:val="left"/>
      <w:lvlText w:val="."/>
      <w:numFmt w:val="bullet"/>
      <w:start w:val="1"/>
    </w:lvl>
    <w:lvl w:ilvl="1">
      <w:lvlJc w:val="left"/>
      <w:lvlText w:val="(%2)"/>
      <w:numFmt w:val="lowerLetter"/>
      <w:start w:val="1"/>
    </w:lvl>
  </w:abstractNum>
  <w:abstractNum w:abstractNumId="94">
    <w:nsid w:val="335A1DF1"/>
    <w:multiLevelType w:val="hybridMultilevel"/>
    <w:lvl w:ilvl="0">
      <w:lvlJc w:val="left"/>
      <w:lvlText w:val="(%1)"/>
      <w:numFmt w:val="lowerLetter"/>
      <w:start w:val="3"/>
    </w:lvl>
  </w:abstractNum>
  <w:abstractNum w:abstractNumId="95">
    <w:nsid w:val="28677B7C"/>
    <w:multiLevelType w:val="hybridMultilevel"/>
    <w:lvl w:ilvl="0">
      <w:lvlJc w:val="left"/>
      <w:lvlText w:val="."/>
      <w:numFmt w:val="bullet"/>
      <w:start w:val="1"/>
    </w:lvl>
  </w:abstractNum>
  <w:abstractNum w:abstractNumId="96">
    <w:nsid w:val="378D97C0"/>
    <w:multiLevelType w:val="hybridMultilevel"/>
    <w:lvl w:ilvl="0">
      <w:lvlJc w:val="left"/>
      <w:lvlText w:val="."/>
      <w:numFmt w:val="bullet"/>
      <w:start w:val="1"/>
    </w:lvl>
  </w:abstractNum>
  <w:abstractNum w:abstractNumId="97">
    <w:nsid w:val="1D91467C"/>
    <w:multiLevelType w:val="hybridMultilevel"/>
    <w:lvl w:ilvl="0">
      <w:lvlJc w:val="left"/>
      <w:lvlText w:val="."/>
      <w:numFmt w:val="bullet"/>
      <w:start w:val="1"/>
    </w:lvl>
  </w:abstractNum>
  <w:abstractNum w:abstractNumId="98">
    <w:nsid w:val="316032BB"/>
    <w:multiLevelType w:val="hybridMultilevel"/>
    <w:lvl w:ilvl="0">
      <w:lvlJc w:val="left"/>
      <w:lvlText w:val="(%1)"/>
      <w:numFmt w:val="lowerLetter"/>
      <w:start w:val="1"/>
    </w:lvl>
  </w:abstractNum>
  <w:abstractNum w:abstractNumId="99">
    <w:nsid w:val="44344C22"/>
    <w:multiLevelType w:val="hybridMultilevel"/>
    <w:lvl w:ilvl="0">
      <w:lvlJc w:val="left"/>
      <w:lvlText w:val="(%1)"/>
      <w:numFmt w:val="lowerLetter"/>
      <w:start w:val="2"/>
    </w:lvl>
  </w:abstractNum>
  <w:abstractNum w:abstractNumId="100">
    <w:nsid w:val="13CDFCFC"/>
    <w:multiLevelType w:val="hybridMultilevel"/>
    <w:lvl w:ilvl="0">
      <w:lvlJc w:val="left"/>
      <w:lvlText w:val="."/>
      <w:numFmt w:val="bullet"/>
      <w:start w:val="1"/>
    </w:lvl>
  </w:abstractNum>
  <w:abstractNum w:abstractNumId="101">
    <w:nsid w:val="471745E4"/>
    <w:multiLevelType w:val="hybridMultilevel"/>
    <w:lvl w:ilvl="0">
      <w:lvlJc w:val="left"/>
      <w:lvlText w:val="(%1)"/>
      <w:numFmt w:val="lowerLetter"/>
      <w:start w:val="1"/>
    </w:lvl>
    <w:lvl w:ilvl="1">
      <w:lvlJc w:val="left"/>
      <w:lvlText w:val="(%2)"/>
      <w:numFmt w:val="lowerLetter"/>
      <w:start w:val="9"/>
    </w:lvl>
  </w:abstractNum>
  <w:abstractNum w:abstractNumId="102">
    <w:nsid w:val="1DDBC66"/>
    <w:multiLevelType w:val="hybridMultilevel"/>
    <w:lvl w:ilvl="0">
      <w:lvlJc w:val="left"/>
      <w:lvlText w:val="%1"/>
      <w:numFmt w:val="lowerLetter"/>
      <w:start w:val="1"/>
    </w:lvl>
    <w:lvl w:ilvl="1">
      <w:lvlJc w:val="left"/>
      <w:lvlText w:val="(%2)"/>
      <w:numFmt w:val="lowerRoman"/>
      <w:start w:val="2"/>
    </w:lvl>
  </w:abstractNum>
  <w:abstractNum w:abstractNumId="103">
    <w:nsid w:val="30AADFDA"/>
    <w:multiLevelType w:val="hybridMultilevel"/>
    <w:lvl w:ilvl="0">
      <w:lvlJc w:val="left"/>
      <w:lvlText w:val="(%1)"/>
      <w:numFmt w:val="lowerLetter"/>
      <w:start w:val="3"/>
    </w:lvl>
    <w:lvl w:ilvl="1">
      <w:lvlJc w:val="left"/>
      <w:lvlText w:val="%2"/>
      <w:numFmt w:val="lowerRoman"/>
      <w:start w:val="1"/>
    </w:lvl>
  </w:abstractNum>
  <w:abstractNum w:abstractNumId="104">
    <w:nsid w:val="30EADA61"/>
    <w:multiLevelType w:val="hybridMultilevel"/>
    <w:lvl w:ilvl="0">
      <w:lvlJc w:val="left"/>
      <w:lvlText w:val="(%1)"/>
      <w:numFmt w:val="lowerLetter"/>
      <w:start w:val="4"/>
    </w:lvl>
  </w:abstractNum>
  <w:abstractNum w:abstractNumId="105">
    <w:nsid w:val="27179C0B"/>
    <w:multiLevelType w:val="hybridMultilevel"/>
    <w:lvl w:ilvl="0">
      <w:lvlJc w:val="left"/>
      <w:lvlText w:val="."/>
      <w:numFmt w:val="bullet"/>
      <w:start w:val="1"/>
    </w:lvl>
  </w:abstractNum>
  <w:abstractNum w:abstractNumId="106">
    <w:nsid w:val="5E636063"/>
    <w:multiLevelType w:val="hybridMultilevel"/>
    <w:lvl w:ilvl="0">
      <w:lvlJc w:val="left"/>
      <w:lvlText w:val="."/>
      <w:numFmt w:val="bullet"/>
      <w:start w:val="1"/>
    </w:lvl>
  </w:abstractNum>
  <w:abstractNum w:abstractNumId="107">
    <w:nsid w:val="215641AF"/>
    <w:multiLevelType w:val="hybridMultilevel"/>
    <w:lvl w:ilvl="0">
      <w:lvlJc w:val="left"/>
      <w:lvlText w:val="."/>
      <w:numFmt w:val="bullet"/>
      <w:start w:val="1"/>
    </w:lvl>
  </w:abstractNum>
  <w:abstractNum w:abstractNumId="108">
    <w:nsid w:val="53280662"/>
    <w:multiLevelType w:val="hybridMultilevel"/>
    <w:lvl w:ilvl="0">
      <w:lvlJc w:val="left"/>
      <w:lvlText w:val="(%1)"/>
      <w:numFmt w:val="lowerLetter"/>
      <w:start w:val="1"/>
    </w:lvl>
  </w:abstractNum>
  <w:abstractNum w:abstractNumId="109">
    <w:nsid w:val="46B24DBC"/>
    <w:multiLevelType w:val="hybridMultilevel"/>
    <w:lvl w:ilvl="0">
      <w:lvlJc w:val="left"/>
      <w:lvlText w:val="(%1)"/>
      <w:numFmt w:val="lowerLetter"/>
      <w:start w:val="1"/>
    </w:lvl>
  </w:abstractNum>
  <w:abstractNum w:abstractNumId="110">
    <w:nsid w:val="75B52783"/>
    <w:multiLevelType w:val="hybridMultilevel"/>
    <w:lvl w:ilvl="0">
      <w:lvlJc w:val="left"/>
      <w:lvlText w:val="(%1)"/>
      <w:numFmt w:val="lowerLetter"/>
      <w:start w:val="2"/>
    </w:lvl>
  </w:abstractNum>
  <w:abstractNum w:abstractNumId="111">
    <w:nsid w:val="57CE66B4"/>
    <w:multiLevelType w:val="hybridMultilevel"/>
    <w:lvl w:ilvl="0">
      <w:lvlJc w:val="left"/>
      <w:lvlText w:val="(%1)"/>
      <w:numFmt w:val="lowerLetter"/>
      <w:start w:val="4"/>
    </w:lvl>
  </w:abstractNum>
  <w:abstractNum w:abstractNumId="112">
    <w:nsid w:val="67A70B69"/>
    <w:multiLevelType w:val="hybridMultilevel"/>
    <w:lvl w:ilvl="0">
      <w:lvlJc w:val="left"/>
      <w:lvlText w:val="(%1)"/>
      <w:numFmt w:val="lowerLetter"/>
      <w:start w:val="1"/>
    </w:lvl>
    <w:lvl w:ilvl="1">
      <w:lvlJc w:val="left"/>
      <w:lvlText w:val="(%2)"/>
      <w:numFmt w:val="lowerLetter"/>
      <w:start w:val="9"/>
    </w:lvl>
  </w:abstractNum>
  <w:abstractNum w:abstractNumId="113">
    <w:nsid w:val="5953172F"/>
    <w:multiLevelType w:val="hybridMultilevel"/>
    <w:lvl w:ilvl="0">
      <w:lvlJc w:val="left"/>
      <w:lvlText w:val="(%1)"/>
      <w:numFmt w:val="lowerRoman"/>
      <w:start w:val="2"/>
    </w:lvl>
    <w:lvl w:ilvl="1">
      <w:lvlJc w:val="left"/>
      <w:lvlText w:val="(%2)"/>
      <w:numFmt w:val="upperLetter"/>
      <w:start w:val="1"/>
    </w:lvl>
  </w:abstractNum>
  <w:abstractNum w:abstractNumId="114">
    <w:nsid w:val="27EDFE3A"/>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4"/>
    </w:lvl>
  </w:abstractNum>
  <w:abstractNum w:abstractNumId="115">
    <w:nsid w:val="52AC7DFF"/>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116">
    <w:nsid w:val="C4C3AF"/>
    <w:multiLevelType w:val="hybridMultilevel"/>
    <w:lvl w:ilvl="0">
      <w:lvlJc w:val="left"/>
      <w:lvlText w:val="(%1)"/>
      <w:numFmt w:val="lowerRoman"/>
      <w:start w:val="1"/>
    </w:lvl>
  </w:abstractNum>
  <w:abstractNum w:abstractNumId="117">
    <w:nsid w:val="44380727"/>
    <w:multiLevelType w:val="hybridMultilevel"/>
    <w:lvl w:ilvl="0">
      <w:lvlJc w:val="left"/>
      <w:lvlText w:val="%1"/>
      <w:numFmt w:val="lowerLetter"/>
      <w:start w:val="1"/>
    </w:lvl>
    <w:lvl w:ilvl="1">
      <w:lvlJc w:val="left"/>
      <w:lvlText w:val="(%2)"/>
      <w:numFmt w:val="lowerLetter"/>
      <w:start w:val="61"/>
    </w:lvl>
  </w:abstractNum>
  <w:abstractNum w:abstractNumId="118">
    <w:nsid w:val="6C053B16"/>
    <w:multiLevelType w:val="hybridMultilevel"/>
    <w:lvl w:ilvl="0">
      <w:lvlJc w:val="left"/>
      <w:lvlText w:val="(%1)"/>
      <w:numFmt w:val="lowerLetter"/>
      <w:start w:val="3"/>
    </w:lvl>
    <w:lvl w:ilvl="1">
      <w:lvlJc w:val="left"/>
      <w:lvlText w:val="(%2)"/>
      <w:numFmt w:val="lowerLetter"/>
      <w:start w:val="9"/>
    </w:lvl>
  </w:abstractNum>
  <w:abstractNum w:abstractNumId="119">
    <w:nsid w:val="4F294393"/>
    <w:multiLevelType w:val="hybridMultilevel"/>
    <w:lvl w:ilvl="0">
      <w:lvlJc w:val="left"/>
      <w:lvlText w:val="(%1)"/>
      <w:numFmt w:val="lowerRoman"/>
      <w:start w:val="2"/>
    </w:lvl>
  </w:abstractNum>
  <w:abstractNum w:abstractNumId="120">
    <w:nsid w:val="5243BFAC"/>
    <w:multiLevelType w:val="hybridMultilevel"/>
    <w:lvl w:ilvl="0">
      <w:lvlJc w:val="left"/>
      <w:lvlText w:val="%1"/>
      <w:numFmt w:val="lowerLetter"/>
      <w:start w:val="1"/>
    </w:lvl>
    <w:lvl w:ilvl="1">
      <w:lvlJc w:val="left"/>
      <w:lvlText w:val="(%2)"/>
      <w:numFmt w:val="lowerRoman"/>
      <w:start w:val="4"/>
    </w:lvl>
  </w:abstractNum>
  <w:abstractNum w:abstractNumId="121">
    <w:nsid w:val="425EB207"/>
    <w:multiLevelType w:val="hybridMultilevel"/>
    <w:lvl w:ilvl="0">
      <w:lvlJc w:val="left"/>
      <w:lvlText w:val="(%1)"/>
      <w:numFmt w:val="lowerLetter"/>
      <w:start w:val="4"/>
    </w:lvl>
    <w:lvl w:ilvl="1">
      <w:lvlJc w:val="left"/>
      <w:lvlText w:val="(%2)"/>
      <w:numFmt w:val="lowerRoman"/>
      <w:start w:val="1"/>
    </w:lvl>
  </w:abstractNum>
  <w:abstractNum w:abstractNumId="122">
    <w:nsid w:val="334A6F1F"/>
    <w:multiLevelType w:val="hybridMultilevel"/>
    <w:lvl w:ilvl="0">
      <w:lvlJc w:val="left"/>
      <w:lvlText w:val="%1"/>
      <w:numFmt w:val="lowerLetter"/>
      <w:start w:val="1"/>
    </w:lvl>
    <w:lvl w:ilvl="1">
      <w:lvlJc w:val="left"/>
      <w:lvlText w:val="(%2)"/>
      <w:numFmt w:val="lowerLetter"/>
      <w:start w:val="35"/>
    </w:lvl>
  </w:abstractNum>
  <w:abstractNum w:abstractNumId="123">
    <w:nsid w:val="2E5B12B8"/>
    <w:multiLevelType w:val="hybridMultilevel"/>
    <w:lvl w:ilvl="0">
      <w:lvlJc w:val="left"/>
      <w:lvlText w:val="(%1)"/>
      <w:numFmt w:val="lowerLetter"/>
      <w:start w:val="5"/>
    </w:lvl>
    <w:lvl w:ilvl="1">
      <w:lvlJc w:val="left"/>
      <w:lvlText w:val="(%2)"/>
      <w:numFmt w:val="lowerLetter"/>
      <w:start w:val="9"/>
    </w:lvl>
  </w:abstractNum>
  <w:abstractNum w:abstractNumId="124">
    <w:nsid w:val="5C03D76D"/>
    <w:multiLevelType w:val="hybridMultilevel"/>
    <w:lvl w:ilvl="0">
      <w:lvlJc w:val="left"/>
      <w:lvlText w:val="(%1)"/>
      <w:numFmt w:val="lowerRoman"/>
      <w:start w:val="2"/>
    </w:lvl>
  </w:abstractNum>
  <w:abstractNum w:abstractNumId="125">
    <w:nsid w:val="66A48D11"/>
    <w:multiLevelType w:val="hybridMultilevel"/>
    <w:lvl w:ilvl="0">
      <w:lvlJc w:val="left"/>
      <w:lvlText w:val="(%1)"/>
      <w:numFmt w:val="lowerLetter"/>
      <w:start w:val="6"/>
    </w:lvl>
  </w:abstractNum>
  <w:abstractNum w:abstractNumId="126">
    <w:nsid w:val="56C28E34"/>
    <w:multiLevelType w:val="hybridMultilevel"/>
    <w:lvl w:ilvl="0">
      <w:lvlJc w:val="left"/>
      <w:lvlText w:val="(%1)"/>
      <w:numFmt w:val="lowerLetter"/>
      <w:start w:val="8"/>
    </w:lvl>
  </w:abstractNum>
  <w:abstractNum w:abstractNumId="127">
    <w:nsid w:val="13916F2D"/>
    <w:multiLevelType w:val="hybridMultilevel"/>
    <w:lvl w:ilvl="0">
      <w:lvlJc w:val="left"/>
      <w:lvlText w:val="(%1)"/>
      <w:numFmt w:val="lowerLetter"/>
      <w:start w:val="12"/>
    </w:lvl>
  </w:abstractNum>
  <w:abstractNum w:abstractNumId="128">
    <w:nsid w:val="435D38D"/>
    <w:multiLevelType w:val="hybridMultilevel"/>
    <w:lvl w:ilvl="0">
      <w:lvlJc w:val="left"/>
      <w:lvlText w:val="(%1)"/>
      <w:numFmt w:val="lowerLetter"/>
      <w:start w:val="1"/>
    </w:lvl>
  </w:abstractNum>
  <w:abstractNum w:abstractNumId="129">
    <w:nsid w:val="822C0EF"/>
    <w:multiLevelType w:val="hybridMultilevel"/>
    <w:lvl w:ilvl="0">
      <w:lvlJc w:val="left"/>
      <w:lvlText w:val="(%1)"/>
      <w:numFmt w:val="lowerRoman"/>
      <w:start w:val="2"/>
    </w:lvl>
  </w:abstractNum>
  <w:abstractNum w:abstractNumId="130">
    <w:nsid w:val="57C5BB4F"/>
    <w:multiLevelType w:val="hybridMultilevel"/>
    <w:lvl w:ilvl="0">
      <w:lvlJc w:val="left"/>
      <w:lvlText w:val="(%1)"/>
      <w:numFmt w:val="lowerLetter"/>
      <w:start w:val="2"/>
    </w:lvl>
    <w:lvl w:ilvl="1">
      <w:lvlJc w:val="left"/>
      <w:lvlText w:val="(%2)"/>
      <w:numFmt w:val="lowerRoman"/>
      <w:start w:val="1"/>
    </w:lvl>
  </w:abstractNum>
  <w:abstractNum w:abstractNumId="131">
    <w:nsid w:val="1803D089"/>
    <w:multiLevelType w:val="hybridMultilevel"/>
    <w:lvl w:ilvl="0">
      <w:lvlJc w:val="left"/>
      <w:lvlText w:val="(%1)"/>
      <w:numFmt w:val="lowerRoman"/>
      <w:start w:val="4"/>
    </w:lvl>
  </w:abstractNum>
  <w:abstractNum w:abstractNumId="132">
    <w:nsid w:val="4F3A06D4"/>
    <w:multiLevelType w:val="hybridMultilevel"/>
    <w:lvl w:ilvl="0">
      <w:lvlJc w:val="left"/>
      <w:lvlText w:val="(%1)"/>
      <w:numFmt w:val="decimal"/>
      <w:start w:val="1"/>
    </w:lvl>
  </w:abstractNum>
  <w:abstractNum w:abstractNumId="133">
    <w:nsid w:val="59A377B6"/>
    <w:multiLevelType w:val="hybridMultilevel"/>
    <w:lvl w:ilvl="0">
      <w:lvlJc w:val="left"/>
      <w:lvlText w:val="(%1)"/>
      <w:numFmt w:val="lowerRoman"/>
      <w:start w:val="1"/>
    </w:lvl>
    <w:lvl w:ilvl="1">
      <w:lvlJc w:val="left"/>
      <w:lvlText w:val="."/>
      <w:numFmt w:val="bullet"/>
      <w:start w:val="1"/>
    </w:lvl>
  </w:abstractNum>
  <w:abstractNum w:abstractNumId="134">
    <w:nsid w:val="48AEB063"/>
    <w:multiLevelType w:val="hybridMultilevel"/>
    <w:lvl w:ilvl="0">
      <w:lvlJc w:val="left"/>
      <w:lvlText w:val="(%1)"/>
      <w:numFmt w:val="lowerLetter"/>
      <w:start w:val="1"/>
    </w:lvl>
  </w:abstractNum>
  <w:abstractNum w:abstractNumId="135">
    <w:nsid w:val="24E135"/>
    <w:multiLevelType w:val="hybridMultilevel"/>
    <w:lvl w:ilvl="0">
      <w:lvlJc w:val="left"/>
      <w:lvlText w:val="(%1)"/>
      <w:numFmt w:val="lowerLetter"/>
      <w:start w:val="1"/>
    </w:lvl>
  </w:abstractNum>
  <w:abstractNum w:abstractNumId="136">
    <w:nsid w:val="BB13C1"/>
    <w:multiLevelType w:val="hybridMultilevel"/>
    <w:lvl w:ilvl="0">
      <w:lvlJc w:val="left"/>
      <w:lvlText w:val="(%1)"/>
      <w:numFmt w:val="lowerLetter"/>
      <w:start w:val="2"/>
    </w:lvl>
  </w:abstractNum>
  <w:abstractNum w:abstractNumId="137">
    <w:nsid w:val="271210C7"/>
    <w:multiLevelType w:val="hybridMultilevel"/>
    <w:lvl w:ilvl="0">
      <w:lvlJc w:val="left"/>
      <w:lvlText w:val="(%1)"/>
      <w:numFmt w:val="lowerLetter"/>
      <w:start w:val="1"/>
    </w:lvl>
    <w:lvl w:ilvl="1">
      <w:lvlJc w:val="left"/>
      <w:lvlText w:val="(%2)"/>
      <w:numFmt w:val="lowerLetter"/>
      <w:start w:val="9"/>
    </w:lvl>
  </w:abstractNum>
  <w:abstractNum w:abstractNumId="138">
    <w:nsid w:val="217B22E4"/>
    <w:multiLevelType w:val="hybridMultilevel"/>
    <w:lvl w:ilvl="0">
      <w:lvlJc w:val="left"/>
      <w:lvlText w:val="."/>
      <w:numFmt w:val="bullet"/>
      <w:start w:val="1"/>
    </w:lvl>
    <w:lvl w:ilvl="1">
      <w:lvlJc w:val="left"/>
      <w:lvlText w:val="(%2)"/>
      <w:numFmt w:val="lowerLetter"/>
      <w:start w:val="1"/>
    </w:lvl>
  </w:abstractNum>
  <w:abstractNum w:abstractNumId="139">
    <w:nsid w:val="53E31A24"/>
    <w:multiLevelType w:val="hybridMultilevel"/>
    <w:lvl w:ilvl="0">
      <w:lvlJc w:val="left"/>
      <w:lvlText w:val="(%1)"/>
      <w:numFmt w:val="lowerLetter"/>
      <w:start w:val="2"/>
    </w:lvl>
  </w:abstractNum>
  <w:abstractNum w:abstractNumId="140">
    <w:nsid w:val="6DC45E83"/>
    <w:multiLevelType w:val="hybridMultilevel"/>
    <w:lvl w:ilvl="0">
      <w:lvlJc w:val="left"/>
      <w:lvlText w:val="(%1)"/>
      <w:numFmt w:val="lowerLetter"/>
      <w:start w:val="1"/>
    </w:lvl>
  </w:abstractNum>
  <w:abstractNum w:abstractNumId="141">
    <w:nsid w:val="17304A67"/>
    <w:multiLevelType w:val="hybridMultilevel"/>
    <w:lvl w:ilvl="0">
      <w:lvlJc w:val="left"/>
      <w:lvlText w:val="."/>
      <w:numFmt w:val="bullet"/>
      <w:start w:val="1"/>
    </w:lvl>
    <w:lvl w:ilvl="1">
      <w:lvlJc w:val="left"/>
      <w:lvlText w:val="(%2)"/>
      <w:numFmt w:val="lowerLetter"/>
      <w:start w:val="1"/>
    </w:lvl>
  </w:abstractNum>
  <w:abstractNum w:abstractNumId="142">
    <w:nsid w:val="2BB180D8"/>
    <w:multiLevelType w:val="hybridMultilevel"/>
    <w:lvl w:ilvl="0">
      <w:lvlJc w:val="left"/>
      <w:lvlText w:val="(%1)"/>
      <w:numFmt w:val="lowerLetter"/>
      <w:start w:val="1"/>
    </w:lvl>
  </w:abstractNum>
  <w:abstractNum w:abstractNumId="143">
    <w:nsid w:val="556B69ED"/>
    <w:multiLevelType w:val="hybridMultilevel"/>
    <w:lvl w:ilvl="0">
      <w:lvlJc w:val="left"/>
      <w:lvlText w:val="(%1)"/>
      <w:numFmt w:val="lowerLetter"/>
      <w:start w:val="2"/>
    </w:lvl>
  </w:abstractNum>
  <w:abstractNum w:abstractNumId="144">
    <w:nsid w:val="70836196"/>
    <w:multiLevelType w:val="hybridMultilevel"/>
    <w:lvl w:ilvl="0">
      <w:lvlJc w:val="left"/>
      <w:lvlText w:val="(%1)"/>
      <w:numFmt w:val="lowerLetter"/>
      <w:start w:val="4"/>
    </w:lvl>
  </w:abstractNum>
  <w:abstractNum w:abstractNumId="145">
    <w:nsid w:val="539F7F12"/>
    <w:multiLevelType w:val="hybridMultilevel"/>
    <w:lvl w:ilvl="0">
      <w:lvlJc w:val="left"/>
      <w:lvlText w:val="."/>
      <w:numFmt w:val="bullet"/>
      <w:start w:val="1"/>
    </w:lvl>
  </w:abstractNum>
  <w:abstractNum w:abstractNumId="146">
    <w:nsid w:val="2817E7EC"/>
    <w:multiLevelType w:val="hybridMultilevel"/>
    <w:lvl w:ilvl="0">
      <w:lvlJc w:val="left"/>
      <w:lvlText w:val="%1"/>
      <w:numFmt w:val="upperLetter"/>
      <w:start w:val="1"/>
    </w:lvl>
    <w:lvl w:ilvl="1">
      <w:lvlJc w:val="left"/>
      <w:lvlText w:val="(%2)"/>
      <w:numFmt w:val="lowerRoman"/>
      <w:start w:val="1"/>
    </w:lvl>
  </w:abstractNum>
  <w:abstractNum w:abstractNumId="147">
    <w:nsid w:val="71482545"/>
    <w:multiLevelType w:val="hybridMultilevel"/>
    <w:lvl w:ilvl="0">
      <w:lvlJc w:val="left"/>
      <w:lvlText w:val="(%1)"/>
      <w:numFmt w:val="upperLetter"/>
      <w:start w:val="3"/>
    </w:lvl>
    <w:lvl w:ilvl="1">
      <w:lvlJc w:val="left"/>
      <w:lvlText w:val="%2"/>
      <w:numFmt w:val="lowerRoman"/>
      <w:start w:val="1"/>
    </w:lvl>
  </w:abstractNum>
  <w:abstractNum w:abstractNumId="148">
    <w:nsid w:val="17D78639"/>
    <w:multiLevelType w:val="hybridMultilevel"/>
    <w:lvl w:ilvl="0">
      <w:lvlJc w:val="left"/>
      <w:lvlText w:val="(%1)"/>
      <w:numFmt w:val="lowerLetter"/>
      <w:start w:val="1"/>
    </w:lvl>
  </w:abstractNum>
  <w:abstractNum w:abstractNumId="149">
    <w:nsid w:val="141D2302"/>
    <w:multiLevelType w:val="hybridMultilevel"/>
    <w:lvl w:ilvl="0">
      <w:lvlJc w:val="left"/>
      <w:lvlText w:val="(%1)"/>
      <w:numFmt w:val="lowerLetter"/>
      <w:start w:val="3"/>
    </w:lvl>
    <w:lvl w:ilvl="1">
      <w:lvlJc w:val="left"/>
      <w:lvlText w:val="(%2)"/>
      <w:numFmt w:val="lowerRoman"/>
      <w:start w:val="1"/>
    </w:lvl>
  </w:abstractNum>
  <w:abstractNum w:abstractNumId="150">
    <w:nsid w:val="407168D8"/>
    <w:multiLevelType w:val="hybridMultilevel"/>
    <w:lvl w:ilvl="0">
      <w:lvlJc w:val="left"/>
      <w:lvlText w:val="%1"/>
      <w:numFmt w:val="lowerLetter"/>
      <w:start w:val="1"/>
    </w:lvl>
    <w:lvl w:ilvl="1">
      <w:lvlJc w:val="left"/>
      <w:lvlText w:val="(%2)"/>
      <w:numFmt w:val="lowerLetter"/>
      <w:start w:val="22"/>
    </w:lvl>
  </w:abstractNum>
  <w:abstractNum w:abstractNumId="151">
    <w:nsid w:val="6A1B45E5"/>
    <w:multiLevelType w:val="hybridMultilevel"/>
    <w:lvl w:ilvl="0">
      <w:lvlJc w:val="left"/>
      <w:lvlText w:val="(%1)"/>
      <w:numFmt w:val="lowerLetter"/>
      <w:start w:val="5"/>
    </w:lvl>
    <w:lvl w:ilvl="1">
      <w:lvlJc w:val="left"/>
      <w:lvlText w:val="%2"/>
      <w:numFmt w:val="lowerLetter"/>
      <w:start w:val="1"/>
    </w:lvl>
  </w:abstractNum>
  <w:abstractNum w:abstractNumId="152">
    <w:nsid w:val="567BD50A"/>
    <w:multiLevelType w:val="hybridMultilevel"/>
    <w:lvl w:ilvl="0">
      <w:lvlJc w:val="left"/>
      <w:lvlText w:val="(%1)"/>
      <w:numFmt w:val="lowerLetter"/>
      <w:start w:val="8"/>
    </w:lvl>
  </w:abstractNum>
  <w:abstractNum w:abstractNumId="153">
    <w:nsid w:val="73BBD7F8"/>
    <w:multiLevelType w:val="hybridMultilevel"/>
    <w:lvl w:ilvl="0">
      <w:lvlJc w:val="left"/>
      <w:lvlText w:val="(%1)"/>
      <w:numFmt w:val="lowerLetter"/>
      <w:start w:val="1"/>
    </w:lvl>
  </w:abstractNum>
  <w:abstractNum w:abstractNumId="154">
    <w:nsid w:val="1876589D"/>
    <w:multiLevelType w:val="hybridMultilevel"/>
    <w:lvl w:ilvl="0">
      <w:lvlJc w:val="left"/>
      <w:lvlText w:val="(%1)"/>
      <w:numFmt w:val="lowerLetter"/>
      <w:start w:val="3"/>
    </w:lvl>
  </w:abstractNum>
  <w:abstractNum w:abstractNumId="155">
    <w:nsid w:val="327FAC77"/>
    <w:multiLevelType w:val="hybridMultilevel"/>
    <w:lvl w:ilvl="0">
      <w:lvlJc w:val="left"/>
      <w:lvlText w:val="(%1)"/>
      <w:numFmt w:val="lowerLetter"/>
      <w:start w:val="1"/>
    </w:lvl>
    <w:lvl w:ilvl="1">
      <w:lvlJc w:val="left"/>
      <w:lvlText w:val="(%2)"/>
      <w:numFmt w:val="lowerLetter"/>
      <w:start w:val="9"/>
    </w:lvl>
  </w:abstractNum>
  <w:abstractNum w:abstractNumId="156">
    <w:nsid w:val="5A606509"/>
    <w:multiLevelType w:val="hybridMultilevel"/>
    <w:lvl w:ilvl="0">
      <w:lvlJc w:val="left"/>
      <w:lvlText w:val="%1"/>
      <w:numFmt w:val="decimal"/>
      <w:start w:val="1"/>
    </w:lvl>
    <w:lvl w:ilvl="1">
      <w:lvlJc w:val="left"/>
      <w:lvlText w:val="(%2)"/>
      <w:numFmt w:val="lowerRoman"/>
      <w:start w:val="2"/>
    </w:lvl>
  </w:abstractNum>
  <w:abstractNum w:abstractNumId="157">
    <w:nsid w:val="6F38E6D1"/>
    <w:multiLevelType w:val="hybridMultilevel"/>
    <w:lvl w:ilvl="0">
      <w:lvlJc w:val="left"/>
      <w:lvlText w:val="(%1)"/>
      <w:numFmt w:val="decimal"/>
      <w:start w:val="2"/>
    </w:lvl>
    <w:lvl w:ilvl="1">
      <w:lvlJc w:val="left"/>
      <w:lvlText w:val="(%2)"/>
      <w:numFmt w:val="lowerRoman"/>
      <w:start w:val="4"/>
    </w:lvl>
  </w:abstractNum>
  <w:abstractNum w:abstractNumId="158">
    <w:nsid w:val="46111BA5"/>
    <w:multiLevelType w:val="hybridMultilevel"/>
    <w:lvl w:ilvl="0">
      <w:lvlJc w:val="left"/>
      <w:lvlText w:val="(%1)"/>
      <w:numFmt w:val="lowerLetter"/>
      <w:start w:val="2"/>
    </w:lvl>
  </w:abstractNum>
  <w:abstractNum w:abstractNumId="159">
    <w:nsid w:val="5E963896"/>
    <w:multiLevelType w:val="hybridMultilevel"/>
    <w:lvl w:ilvl="0">
      <w:lvlJc w:val="left"/>
      <w:lvlText w:val="(%1)"/>
      <w:numFmt w:val="lowerLetter"/>
      <w:start w:val="1"/>
    </w:lvl>
  </w:abstractNum>
  <w:abstractNum w:abstractNumId="160">
    <w:nsid w:val="775BA7C1"/>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61">
    <w:nsid w:val="1DD6D6F4"/>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162">
    <w:nsid w:val="769A091F"/>
    <w:multiLevelType w:val="hybridMultilevel"/>
    <w:lvl w:ilvl="0">
      <w:lvlJc w:val="left"/>
      <w:lvlText w:val="(%1)"/>
      <w:numFmt w:val="lowerLetter"/>
      <w:start w:val="9"/>
    </w:lvl>
    <w:lvl w:ilvl="1">
      <w:lvlJc w:val="left"/>
      <w:lvlText w:val="(%2)"/>
      <w:numFmt w:val="lowerLetter"/>
      <w:start w:val="5"/>
    </w:lvl>
    <w:lvl w:ilvl="2">
      <w:lvlJc w:val="left"/>
      <w:lvlText w:val="%3"/>
      <w:numFmt w:val="lowerRoman"/>
      <w:start w:val="1"/>
    </w:lvl>
  </w:abstractNum>
  <w:abstractNum w:abstractNumId="163">
    <w:nsid w:val="4695AE95"/>
    <w:multiLevelType w:val="hybridMultilevel"/>
    <w:lvl w:ilvl="0">
      <w:lvlJc w:val="left"/>
      <w:lvlText w:val="(%1)"/>
      <w:numFmt w:val="lowerLetter"/>
      <w:start w:val="1"/>
    </w:lvl>
    <w:lvl w:ilvl="1">
      <w:lvlJc w:val="left"/>
      <w:lvlText w:val="(%2)"/>
      <w:numFmt w:val="lowerRoman"/>
      <w:start w:val="1"/>
    </w:lvl>
  </w:abstractNum>
  <w:abstractNum w:abstractNumId="164">
    <w:nsid w:val="777A4EAA"/>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abstractNum>
  <w:abstractNum w:abstractNumId="165">
    <w:nsid w:val="3F48B982"/>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166">
    <w:nsid w:val="46BA8FCA"/>
    <w:multiLevelType w:val="hybridMultilevel"/>
    <w:lvl w:ilvl="0">
      <w:lvlJc w:val="left"/>
      <w:lvlText w:val="(%1)"/>
      <w:numFmt w:val="lowerLetter"/>
      <w:start w:val="4"/>
    </w:lvl>
    <w:lvl w:ilvl="1">
      <w:lvlJc w:val="left"/>
      <w:lvlText w:val="(%2)"/>
      <w:numFmt w:val="lowerLetter"/>
      <w:start w:val="9"/>
    </w:lvl>
    <w:lvl w:ilvl="2">
      <w:lvlJc w:val="left"/>
      <w:lvlText w:val="%3"/>
      <w:numFmt w:val="upperLetter"/>
      <w:start w:val="1"/>
    </w:lvl>
  </w:abstractNum>
  <w:abstractNum w:abstractNumId="167">
    <w:nsid w:val="7835626C"/>
    <w:multiLevelType w:val="hybridMultilevel"/>
    <w:lvl w:ilvl="0">
      <w:lvlJc w:val="left"/>
      <w:lvlText w:val="%1"/>
      <w:numFmt w:val="decimal"/>
      <w:start w:val="1"/>
    </w:lvl>
    <w:lvl w:ilvl="1">
      <w:lvlJc w:val="left"/>
      <w:lvlText w:val="(%2)"/>
      <w:numFmt w:val="lowerRoman"/>
      <w:start w:val="2"/>
    </w:lvl>
    <w:lvl w:ilvl="2">
      <w:lvlJc w:val="left"/>
      <w:lvlText w:val="(%3)"/>
      <w:numFmt w:val="upperLetter"/>
      <w:start w:val="1"/>
    </w:lvl>
  </w:abstractNum>
  <w:abstractNum w:abstractNumId="168">
    <w:nsid w:val="665ACA49"/>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1"/>
    </w:lvl>
  </w:abstractNum>
  <w:abstractNum w:abstractNumId="169">
    <w:nsid w:val="6835B2A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170">
    <w:nsid w:val="4C187C90"/>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171">
    <w:nsid w:val="541F28CD"/>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abstractNum>
  <w:abstractNum w:abstractNumId="172">
    <w:nsid w:val="7F65FD16"/>
    <w:multiLevelType w:val="hybridMultilevel"/>
    <w:lvl w:ilvl="0">
      <w:lvlJc w:val="left"/>
      <w:lvlText w:val="(%1)"/>
      <w:numFmt w:val="lowerLetter"/>
      <w:start w:val="7"/>
    </w:lvl>
  </w:abstractNum>
  <w:abstractNum w:abstractNumId="173">
    <w:nsid w:val="77C9FD68"/>
    <w:multiLevelType w:val="hybridMultilevel"/>
    <w:lvl w:ilvl="0">
      <w:lvlJc w:val="left"/>
      <w:lvlText w:val="."/>
      <w:numFmt w:val="bullet"/>
      <w:start w:val="1"/>
    </w:lvl>
  </w:abstractNum>
  <w:abstractNum w:abstractNumId="174">
    <w:nsid w:val="298A92BA"/>
    <w:multiLevelType w:val="hybridMultilevel"/>
    <w:lvl w:ilvl="0">
      <w:lvlJc w:val="left"/>
      <w:lvlText w:val="%1"/>
      <w:numFmt w:val="lowerLetter"/>
      <w:start w:val="1"/>
    </w:lvl>
    <w:lvl w:ilvl="1">
      <w:lvlJc w:val="left"/>
      <w:lvlText w:val="."/>
      <w:numFmt w:val="bullet"/>
      <w:start w:val="1"/>
    </w:lvl>
    <w:lvl w:ilvl="2">
      <w:lvlJc w:val="left"/>
      <w:lvlText w:val="(%3)"/>
      <w:numFmt w:val="lowerLetter"/>
      <w:start w:val="1"/>
    </w:lvl>
  </w:abstractNum>
  <w:abstractNum w:abstractNumId="175">
    <w:nsid w:val="6FE95EAC"/>
    <w:multiLevelType w:val="hybridMultilevel"/>
    <w:lvl w:ilvl="0">
      <w:lvlJc w:val="left"/>
      <w:lvlText w:val="(%1)"/>
      <w:numFmt w:val="lowerLetter"/>
      <w:start w:val="3"/>
    </w:lvl>
    <w:lvl w:ilvl="1">
      <w:lvlJc w:val="left"/>
      <w:lvlText w:val="."/>
      <w:numFmt w:val="bullet"/>
      <w:start w:val="1"/>
    </w:lvl>
    <w:lvl w:ilvl="2">
      <w:lvlJc w:val="left"/>
      <w:lvlText w:val="%3"/>
      <w:numFmt w:val="lowerLetter"/>
      <w:start w:val="1"/>
    </w:lvl>
  </w:abstractNum>
  <w:abstractNum w:abstractNumId="176">
    <w:nsid w:val="4B697C7A"/>
    <w:multiLevelType w:val="hybridMultilevel"/>
    <w:lvl w:ilvl="0">
      <w:lvlJc w:val="left"/>
      <w:lvlText w:val="(%1)"/>
      <w:numFmt w:val="lowerLetter"/>
      <w:start w:val="1"/>
    </w:lvl>
    <w:lvl w:ilvl="1">
      <w:lvlJc w:val="left"/>
      <w:lvlText w:val="(%2)"/>
      <w:numFmt w:val="lowerRoman"/>
      <w:start w:val="1"/>
    </w:lvl>
  </w:abstractNum>
  <w:abstractNum w:abstractNumId="177">
    <w:nsid w:val="51A27AA6"/>
    <w:multiLevelType w:val="hybridMultilevel"/>
    <w:lvl w:ilvl="0">
      <w:lvlJc w:val="left"/>
      <w:lvlText w:val="(%1)"/>
      <w:numFmt w:val="lowerLetter"/>
      <w:start w:val="2"/>
    </w:lvl>
  </w:abstractNum>
  <w:abstractNum w:abstractNumId="178">
    <w:nsid w:val="613183F2"/>
    <w:multiLevelType w:val="hybridMultilevel"/>
    <w:lvl w:ilvl="0">
      <w:lvlJc w:val="left"/>
      <w:lvlText w:val="."/>
      <w:numFmt w:val="bullet"/>
      <w:start w:val="1"/>
    </w:lvl>
    <w:lvl w:ilvl="1">
      <w:lvlJc w:val="left"/>
      <w:lvlText w:val="(%2)"/>
      <w:numFmt w:val="lowerLetter"/>
      <w:start w:val="1"/>
    </w:lvl>
  </w:abstractNum>
  <w:abstractNum w:abstractNumId="179">
    <w:nsid w:val="634102B4"/>
    <w:multiLevelType w:val="hybridMultilevel"/>
    <w:lvl w:ilvl="0">
      <w:lvlJc w:val="left"/>
      <w:lvlText w:val="(%1)"/>
      <w:numFmt w:val="lowerLetter"/>
      <w:start w:val="1"/>
    </w:lvl>
  </w:abstractNum>
  <w:abstractNum w:abstractNumId="180">
    <w:nsid w:val="65BF9DA8"/>
    <w:multiLevelType w:val="hybridMultilevel"/>
    <w:lvl w:ilvl="0">
      <w:lvlJc w:val="left"/>
      <w:lvlText w:val="(%1)"/>
      <w:numFmt w:val="lowerLetter"/>
      <w:start w:val="2"/>
    </w:lvl>
  </w:abstractNum>
  <w:abstractNum w:abstractNumId="181">
    <w:nsid w:val="21A2ECCA"/>
    <w:multiLevelType w:val="hybridMultilevel"/>
    <w:lvl w:ilvl="0">
      <w:lvlJc w:val="left"/>
      <w:lvlText w:val="."/>
      <w:numFmt w:val="bullet"/>
      <w:start w:val="1"/>
    </w:lvl>
  </w:abstractNum>
  <w:abstractNum w:abstractNumId="182">
    <w:nsid w:val="4D5C4899"/>
    <w:multiLevelType w:val="hybridMultilevel"/>
    <w:lvl w:ilvl="0">
      <w:lvlJc w:val="left"/>
      <w:lvlText w:val="(%1)"/>
      <w:numFmt w:val="lowerLetter"/>
      <w:start w:val="1"/>
    </w:lvl>
    <w:lvl w:ilvl="1">
      <w:lvlJc w:val="left"/>
      <w:lvlText w:val="(%2)"/>
      <w:numFmt w:val="lowerLetter"/>
      <w:start w:val="1"/>
    </w:lvl>
  </w:abstractNum>
  <w:abstractNum w:abstractNumId="183">
    <w:nsid w:val="3C3B72B2"/>
    <w:multiLevelType w:val="hybridMultilevel"/>
    <w:lvl w:ilvl="0">
      <w:lvlJc w:val="left"/>
      <w:lvlText w:val="%1"/>
      <w:numFmt w:val="lowerLetter"/>
      <w:start w:val="1"/>
    </w:lvl>
    <w:lvl w:ilvl="1">
      <w:lvlJc w:val="left"/>
      <w:lvlText w:val="(%2)"/>
      <w:numFmt w:val="lowerLetter"/>
      <w:start w:val="2"/>
    </w:lvl>
  </w:abstractNum>
  <w:abstractNum w:abstractNumId="184">
    <w:nsid w:val="155EC4C2"/>
    <w:multiLevelType w:val="hybridMultilevel"/>
    <w:lvl w:ilvl="0">
      <w:lvlJc w:val="left"/>
      <w:lvlText w:val="(%1)"/>
      <w:numFmt w:val="lowerLetter"/>
      <w:start w:val="61"/>
    </w:lvl>
    <w:lvl w:ilvl="1">
      <w:lvlJc w:val="left"/>
      <w:lvlText w:val="(%2)"/>
      <w:numFmt w:val="lowerLetter"/>
      <w:start w:val="3"/>
    </w:lvl>
  </w:abstractNum>
  <w:abstractNum w:abstractNumId="185">
    <w:nsid w:val="65D2A137"/>
    <w:multiLevelType w:val="hybridMultilevel"/>
    <w:lvl w:ilvl="0">
      <w:lvlJc w:val="left"/>
      <w:lvlText w:val="."/>
      <w:numFmt w:val="bullet"/>
      <w:start w:val="1"/>
    </w:lvl>
    <w:lvl w:ilvl="1">
      <w:lvlJc w:val="left"/>
      <w:lvlText w:val="(%2)"/>
      <w:numFmt w:val="lowerLetter"/>
      <w:start w:val="1"/>
    </w:lvl>
  </w:abstractNum>
  <w:abstractNum w:abstractNumId="186">
    <w:nsid w:val="6EBB1F2A"/>
    <w:multiLevelType w:val="hybridMultilevel"/>
    <w:lvl w:ilvl="0">
      <w:lvlJc w:val="left"/>
      <w:lvlText w:val="(%1)"/>
      <w:numFmt w:val="decimal"/>
      <w:start w:val="2"/>
    </w:lvl>
    <w:lvl w:ilvl="1">
      <w:lvlJc w:val="left"/>
      <w:lvlText w:val="(%2)"/>
      <w:numFmt w:val="lowerRoman"/>
      <w:start w:val="2"/>
    </w:lvl>
  </w:abstractNum>
  <w:abstractNum w:abstractNumId="187">
    <w:nsid w:val="6FBF29CB"/>
    <w:multiLevelType w:val="hybridMultilevel"/>
    <w:lvl w:ilvl="0">
      <w:lvlJc w:val="left"/>
      <w:lvlText w:val="(%1)"/>
      <w:numFmt w:val="upperLetter"/>
      <w:start w:val="1"/>
    </w:lvl>
  </w:abstractNum>
  <w:abstractNum w:abstractNumId="188">
    <w:nsid w:val="550B8808"/>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upperLetter"/>
      <w:start w:val="2"/>
    </w:lvl>
  </w:abstractNum>
  <w:abstractNum w:abstractNumId="189">
    <w:nsid w:val="34CC3ACF"/>
    <w:multiLevelType w:val="hybridMultilevel"/>
    <w:lvl w:ilvl="0">
      <w:lvlJc w:val="left"/>
      <w:lvlText w:val="%1"/>
      <w:numFmt w:val="lowerLetter"/>
      <w:start w:val="1"/>
    </w:lvl>
    <w:lvl w:ilvl="1">
      <w:lvlJc w:val="left"/>
      <w:lvlText w:val="(%2)"/>
      <w:numFmt w:val="lowerRoman"/>
      <w:start w:val="3"/>
    </w:lvl>
    <w:lvl w:ilvl="2">
      <w:lvlJc w:val="left"/>
      <w:lvlText w:val="(%3)"/>
      <w:numFmt w:val="lowerRoman"/>
      <w:start w:val="8"/>
    </w:lvl>
    <w:lvl w:ilvl="3">
      <w:lvlJc w:val="left"/>
      <w:lvlText w:val="%4"/>
      <w:numFmt w:val="upperLetter"/>
      <w:start w:val="1"/>
    </w:lvl>
  </w:abstractNum>
  <w:abstractNum w:abstractNumId="190">
    <w:nsid w:val="4E556261"/>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lvl w:ilvl="3">
      <w:lvlJc w:val="left"/>
      <w:lvlText w:val="%4"/>
      <w:numFmt w:val="upperLetter"/>
      <w:start w:val="1"/>
    </w:lvl>
  </w:abstractNum>
  <w:abstractNum w:abstractNumId="191">
    <w:nsid w:val="4C672FC9"/>
    <w:multiLevelType w:val="hybridMultilevel"/>
    <w:lvl w:ilvl="0">
      <w:lvlJc w:val="left"/>
      <w:lvlText w:val="(%1)"/>
      <w:numFmt w:val="lowerLetter"/>
      <w:start w:val="5"/>
    </w:lvl>
  </w:abstractNum>
  <w:abstractNum w:abstractNumId="192">
    <w:nsid w:val="52A311C3"/>
    <w:multiLevelType w:val="hybridMultilevel"/>
    <w:lvl w:ilvl="0">
      <w:lvlJc w:val="left"/>
      <w:lvlText w:val="."/>
      <w:numFmt w:val="bullet"/>
      <w:start w:val="1"/>
    </w:lvl>
    <w:lvl w:ilvl="1">
      <w:lvlJc w:val="left"/>
      <w:lvlText w:val="(%2)"/>
      <w:numFmt w:val="lowerLetter"/>
      <w:start w:val="1"/>
    </w:lvl>
  </w:abstractNum>
  <w:abstractNum w:abstractNumId="193">
    <w:nsid w:val="44EF6B80"/>
    <w:multiLevelType w:val="hybridMultilevel"/>
    <w:lvl w:ilvl="0">
      <w:lvlJc w:val="left"/>
      <w:lvlText w:val="(%1)"/>
      <w:numFmt w:val="lowerLetter"/>
      <w:start w:val="1"/>
    </w:lvl>
    <w:lvl w:ilvl="1">
      <w:lvlJc w:val="left"/>
      <w:lvlText w:val="(%2)"/>
      <w:numFmt w:val="lowerLetter"/>
      <w:start w:val="2"/>
    </w:lvl>
  </w:abstractNum>
  <w:abstractNum w:abstractNumId="194">
    <w:nsid w:val="12FCDE5E"/>
    <w:multiLevelType w:val="hybridMultilevel"/>
    <w:lvl w:ilvl="0">
      <w:lvlJc w:val="left"/>
      <w:lvlText w:val="(%1)"/>
      <w:numFmt w:val="lowerLetter"/>
      <w:start w:val="1"/>
    </w:lvl>
    <w:lvl w:ilvl="1">
      <w:lvlJc w:val="left"/>
      <w:lvlText w:val="."/>
      <w:numFmt w:val="bullet"/>
      <w:start w:val="1"/>
    </w:lvl>
  </w:abstractNum>
  <w:abstractNum w:abstractNumId="195">
    <w:nsid w:val="4A1D606E"/>
    <w:multiLevelType w:val="hybridMultilevel"/>
    <w:lvl w:ilvl="0">
      <w:lvlJc w:val="left"/>
      <w:lvlText w:val="."/>
      <w:numFmt w:val="bullet"/>
      <w:start w:val="1"/>
    </w:lvl>
  </w:abstractNum>
  <w:abstractNum w:abstractNumId="196">
    <w:nsid w:val="4382503"/>
    <w:multiLevelType w:val="hybridMultilevel"/>
    <w:lvl w:ilvl="0">
      <w:lvlJc w:val="left"/>
      <w:lvlText w:val="(%1)"/>
      <w:numFmt w:val="lowerLetter"/>
      <w:start w:val="1"/>
    </w:lvl>
    <w:lvl w:ilvl="1">
      <w:lvlJc w:val="left"/>
      <w:lvlText w:val="."/>
      <w:numFmt w:val="bullet"/>
      <w:start w:val="1"/>
    </w:lvl>
  </w:abstractNum>
  <w:abstractNum w:abstractNumId="197">
    <w:nsid w:val="59B76E28"/>
    <w:multiLevelType w:val="hybridMultilevel"/>
    <w:lvl w:ilvl="0">
      <w:lvlJc w:val="left"/>
      <w:lvlText w:val="."/>
      <w:numFmt w:val="bullet"/>
      <w:start w:val="1"/>
    </w:lvl>
  </w:abstractNum>
  <w:abstractNum w:abstractNumId="198">
    <w:nsid w:val="4252C2DA"/>
    <w:multiLevelType w:val="hybridMultilevel"/>
    <w:lvl w:ilvl="0">
      <w:lvlJc w:val="left"/>
      <w:lvlText w:val="(%1)"/>
      <w:numFmt w:val="lowerLetter"/>
      <w:start w:val="1"/>
    </w:lvl>
  </w:abstractNum>
  <w:abstractNum w:abstractNumId="199">
    <w:nsid w:val="6A92EF4C"/>
    <w:multiLevelType w:val="hybridMultilevel"/>
    <w:lvl w:ilvl="0">
      <w:lvlJc w:val="left"/>
      <w:lvlText w:val="(%1)"/>
      <w:numFmt w:val="lowerLetter"/>
      <w:start w:val="3"/>
    </w:lvl>
  </w:abstractNum>
  <w:abstractNum w:abstractNumId="200">
    <w:nsid w:val="41ED20D7"/>
    <w:multiLevelType w:val="hybridMultilevel"/>
    <w:lvl w:ilvl="0">
      <w:lvlJc w:val="left"/>
      <w:lvlText w:val="."/>
      <w:numFmt w:val="bullet"/>
      <w:start w:val="1"/>
    </w:lvl>
  </w:abstractNum>
  <w:abstractNum w:abstractNumId="201">
    <w:nsid w:val="E6B3F6A"/>
    <w:multiLevelType w:val="hybridMultilevel"/>
    <w:lvl w:ilvl="0">
      <w:lvlJc w:val="left"/>
      <w:lvlText w:val="."/>
      <w:numFmt w:val="bullet"/>
      <w:start w:val="1"/>
    </w:lvl>
  </w:abstractNum>
  <w:abstractNum w:abstractNumId="202">
    <w:nsid w:val="3EB21819"/>
    <w:multiLevelType w:val="hybridMultilevel"/>
    <w:lvl w:ilvl="0">
      <w:lvlJc w:val="left"/>
      <w:lvlText w:val="(%1)"/>
      <w:numFmt w:val="lowerLetter"/>
      <w:start w:val="1"/>
    </w:lvl>
  </w:abstractNum>
  <w:abstractNum w:abstractNumId="203">
    <w:nsid w:val="41531DED"/>
    <w:multiLevelType w:val="hybridMultilevel"/>
    <w:lvl w:ilvl="0">
      <w:lvlJc w:val="left"/>
      <w:lvlText w:val="(%1)"/>
      <w:numFmt w:val="lowerLetter"/>
      <w:start w:val="3"/>
    </w:lvl>
  </w:abstractNum>
  <w:abstractNum w:abstractNumId="204">
    <w:nsid w:val="6353CD2"/>
    <w:multiLevelType w:val="hybridMultilevel"/>
    <w:lvl w:ilvl="0">
      <w:lvlJc w:val="left"/>
      <w:lvlText w:val="."/>
      <w:numFmt w:val="bullet"/>
      <w:start w:val="1"/>
    </w:lvl>
  </w:abstractNum>
  <w:abstractNum w:abstractNumId="205">
    <w:nsid w:val="683CAAD3"/>
    <w:multiLevelType w:val="hybridMultilevel"/>
    <w:lvl w:ilvl="0">
      <w:lvlJc w:val="left"/>
      <w:lvlText w:val="."/>
      <w:numFmt w:val="bullet"/>
      <w:start w:val="1"/>
    </w:lvl>
  </w:abstractNum>
  <w:abstractNum w:abstractNumId="206">
    <w:nsid w:val="313C7C99"/>
    <w:multiLevelType w:val="hybridMultilevel"/>
    <w:lvl w:ilvl="0">
      <w:lvlJc w:val="left"/>
      <w:lvlText w:val="(%1)"/>
      <w:numFmt w:val="lowerLetter"/>
      <w:start w:val="1"/>
    </w:lvl>
    <w:lvl w:ilvl="1">
      <w:lvlJc w:val="left"/>
      <w:lvlText w:val="(%2)"/>
      <w:numFmt w:val="lowerRoman"/>
      <w:start w:val="1"/>
    </w:lvl>
  </w:abstractNum>
  <w:abstractNum w:abstractNumId="207">
    <w:nsid w:val="519EB94C"/>
    <w:multiLevelType w:val="hybridMultilevel"/>
    <w:lvl w:ilvl="0">
      <w:lvlJc w:val="left"/>
      <w:lvlText w:val="(%1)"/>
      <w:numFmt w:val="lowerRoman"/>
      <w:start w:val="3"/>
    </w:lvl>
  </w:abstractNum>
  <w:abstractNum w:abstractNumId="208">
    <w:nsid w:val="39DF2579"/>
    <w:multiLevelType w:val="hybridMultilevel"/>
    <w:lvl w:ilvl="0">
      <w:lvlJc w:val="left"/>
      <w:lvlText w:val="."/>
      <w:numFmt w:val="bullet"/>
      <w:start w:val="1"/>
    </w:lvl>
  </w:abstractNum>
  <w:abstractNum w:abstractNumId="209">
    <w:nsid w:val="126E008B"/>
    <w:multiLevelType w:val="hybridMultilevel"/>
    <w:lvl w:ilvl="0">
      <w:lvlJc w:val="left"/>
      <w:lvlText w:val="(%1)"/>
      <w:numFmt w:val="lowerLetter"/>
      <w:start w:val="1"/>
    </w:lvl>
  </w:abstractNum>
  <w:abstractNum w:abstractNumId="210">
    <w:nsid w:val="34DFBC00"/>
    <w:multiLevelType w:val="hybridMultilevel"/>
    <w:lvl w:ilvl="0">
      <w:lvlJc w:val="left"/>
      <w:lvlText w:val="(%1)"/>
      <w:numFmt w:val="lowerLetter"/>
      <w:start w:val="1"/>
    </w:lvl>
  </w:abstractNum>
  <w:abstractNum w:abstractNumId="211">
    <w:nsid w:val="1F9EC322"/>
    <w:multiLevelType w:val="hybridMultilevel"/>
    <w:lvl w:ilvl="0">
      <w:lvlJc w:val="left"/>
      <w:lvlText w:val="."/>
      <w:numFmt w:val="bullet"/>
      <w:start w:val="1"/>
    </w:lvl>
  </w:abstractNum>
  <w:abstractNum w:abstractNumId="212">
    <w:nsid w:val="3410ED56"/>
    <w:multiLevelType w:val="hybridMultilevel"/>
    <w:lvl w:ilvl="0">
      <w:lvlJc w:val="left"/>
      <w:lvlText w:val="."/>
      <w:numFmt w:val="bullet"/>
      <w:start w:val="1"/>
    </w:lvl>
  </w:abstractNum>
  <w:abstractNum w:abstractNumId="213">
    <w:nsid w:val="23C049A"/>
    <w:multiLevelType w:val="hybridMultilevel"/>
    <w:lvl w:ilvl="0">
      <w:lvlJc w:val="left"/>
      <w:lvlText w:val="."/>
      <w:numFmt w:val="bullet"/>
      <w:start w:val="1"/>
    </w:lvl>
  </w:abstractNum>
  <w:abstractNum w:abstractNumId="214">
    <w:nsid w:val="5BDA35D4"/>
    <w:multiLevelType w:val="hybridMultilevel"/>
    <w:lvl w:ilvl="0">
      <w:lvlJc w:val="left"/>
      <w:lvlText w:val="."/>
      <w:numFmt w:val="bullet"/>
      <w:start w:val="1"/>
    </w:lvl>
    <w:lvl w:ilvl="1">
      <w:lvlJc w:val="left"/>
      <w:lvlText w:val="(%2)"/>
      <w:numFmt w:val="lowerLetter"/>
      <w:start w:val="1"/>
    </w:lvl>
  </w:abstractNum>
  <w:abstractNum w:abstractNumId="215">
    <w:nsid w:val="496FB218"/>
    <w:multiLevelType w:val="hybridMultilevel"/>
    <w:lvl w:ilvl="0">
      <w:lvlJc w:val="left"/>
      <w:lvlText w:val="(%1)"/>
      <w:numFmt w:val="lowerLetter"/>
      <w:start w:val="2"/>
    </w:lvl>
  </w:abstractNum>
  <w:abstractNum w:abstractNumId="216">
    <w:nsid w:val="680EA5D1"/>
    <w:multiLevelType w:val="hybridMultilevel"/>
    <w:lvl w:ilvl="0">
      <w:lvlJc w:val="left"/>
      <w:lvlText w:val="."/>
      <w:numFmt w:val="bullet"/>
      <w:start w:val="1"/>
    </w:lvl>
    <w:lvl w:ilvl="1">
      <w:lvlJc w:val="left"/>
      <w:lvlText w:val="(%2)"/>
      <w:numFmt w:val="lowerLetter"/>
      <w:start w:val="1"/>
    </w:lvl>
  </w:abstractNum>
  <w:abstractNum w:abstractNumId="217">
    <w:nsid w:val="4A9554FE"/>
    <w:multiLevelType w:val="hybridMultilevel"/>
    <w:lvl w:ilvl="0">
      <w:lvlJc w:val="left"/>
      <w:lvlText w:val="."/>
      <w:numFmt w:val="bullet"/>
      <w:start w:val="1"/>
    </w:lvl>
    <w:lvl w:ilvl="1">
      <w:lvlJc w:val="left"/>
      <w:lvlText w:val="(%2)"/>
      <w:numFmt w:val="lowerLetter"/>
      <w:start w:val="1"/>
    </w:lvl>
  </w:abstractNum>
  <w:abstractNum w:abstractNumId="218">
    <w:nsid w:val="392EDBE4"/>
    <w:multiLevelType w:val="hybridMultilevel"/>
    <w:lvl w:ilvl="0">
      <w:lvlJc w:val="left"/>
      <w:lvlText w:val="(%1)"/>
      <w:numFmt w:val="lowerLetter"/>
      <w:start w:val="1"/>
    </w:lvl>
  </w:abstractNum>
  <w:abstractNum w:abstractNumId="219">
    <w:nsid w:val="3D1A2DD9"/>
    <w:multiLevelType w:val="hybridMultilevel"/>
    <w:lvl w:ilvl="0">
      <w:lvlJc w:val="left"/>
      <w:lvlText w:val="."/>
      <w:numFmt w:val="bullet"/>
      <w:start w:val="1"/>
    </w:lvl>
  </w:abstractNum>
  <w:abstractNum w:abstractNumId="220">
    <w:nsid w:val="7F618FCD"/>
    <w:multiLevelType w:val="hybridMultilevel"/>
    <w:lvl w:ilvl="0">
      <w:lvlJc w:val="left"/>
      <w:lvlText w:val="."/>
      <w:numFmt w:val="bullet"/>
      <w:start w:val="1"/>
    </w:lvl>
  </w:abstractNum>
  <w:abstractNum w:abstractNumId="221">
    <w:nsid w:val="7843E45"/>
    <w:multiLevelType w:val="hybridMultilevel"/>
    <w:lvl w:ilvl="0">
      <w:lvlJc w:val="left"/>
      <w:lvlText w:val="."/>
      <w:numFmt w:val="bullet"/>
      <w:start w:val="1"/>
    </w:lvl>
  </w:abstractNum>
  <w:abstractNum w:abstractNumId="222">
    <w:nsid w:val="9815DA3"/>
    <w:multiLevelType w:val="hybridMultilevel"/>
    <w:lvl w:ilvl="0">
      <w:lvlJc w:val="left"/>
      <w:lvlText w:val="."/>
      <w:numFmt w:val="bullet"/>
      <w:start w:val="1"/>
    </w:lvl>
  </w:abstractNum>
  <w:abstractNum w:abstractNumId="223">
    <w:nsid w:val="5204A191"/>
    <w:multiLevelType w:val="hybridMultilevel"/>
    <w:lvl w:ilvl="0">
      <w:lvlJc w:val="left"/>
      <w:lvlText w:val="."/>
      <w:numFmt w:val="bullet"/>
      <w:start w:val="1"/>
    </w:lvl>
  </w:abstractNum>
  <w:abstractNum w:abstractNumId="224">
    <w:nsid w:val="4C73A9C6"/>
    <w:multiLevelType w:val="hybridMultilevel"/>
    <w:lvl w:ilvl="0">
      <w:lvlJc w:val="left"/>
      <w:lvlText w:val="."/>
      <w:numFmt w:val="bullet"/>
      <w:start w:val="1"/>
    </w:lvl>
  </w:abstractNum>
  <w:abstractNum w:abstractNumId="225">
    <w:nsid w:val="1C7E3C01"/>
    <w:multiLevelType w:val="hybridMultilevel"/>
    <w:lvl w:ilvl="0">
      <w:lvlJc w:val="left"/>
      <w:lvlText w:val="."/>
      <w:numFmt w:val="bullet"/>
      <w:start w:val="1"/>
    </w:lvl>
    <w:lvl w:ilvl="1">
      <w:lvlJc w:val="left"/>
      <w:lvlText w:val="(%2)"/>
      <w:numFmt w:val="lowerRoman"/>
      <w:start w:val="1"/>
    </w:lvl>
  </w:abstractNum>
  <w:abstractNum w:abstractNumId="226">
    <w:nsid w:val="1C2201FF"/>
    <w:multiLevelType w:val="hybridMultilevel"/>
    <w:lvl w:ilvl="0">
      <w:lvlJc w:val="left"/>
      <w:lvlText w:val="%1"/>
      <w:numFmt w:val="lowerRoman"/>
      <w:start w:val="1"/>
    </w:lvl>
    <w:lvl w:ilvl="1">
      <w:lvlJc w:val="left"/>
      <w:lvlText w:val="(%2)"/>
      <w:numFmt w:val="lowerRoman"/>
      <w:start w:val="2"/>
    </w:lvl>
    <w:lvl w:ilvl="2">
      <w:lvlJc w:val="left"/>
      <w:lvlText w:val="(%3)"/>
      <w:numFmt w:val="upperLetter"/>
      <w:start w:val="1"/>
    </w:lvl>
  </w:abstractNum>
  <w:abstractNum w:abstractNumId="227">
    <w:nsid w:val="50ABCEC9"/>
    <w:multiLevelType w:val="hybridMultilevel"/>
    <w:lvl w:ilvl="0">
      <w:lvlJc w:val="left"/>
      <w:lvlText w:val="(%1)"/>
      <w:numFmt w:val="lowerRoman"/>
      <w:start w:val="4"/>
    </w:lvl>
    <w:lvl w:ilvl="1">
      <w:lvlJc w:val="left"/>
      <w:lvlText w:val="%2"/>
      <w:numFmt w:val="lowerRoman"/>
      <w:start w:val="1"/>
    </w:lvl>
    <w:lvl w:ilvl="2">
      <w:lvlJc w:val="left"/>
      <w:lvlText w:val="%3"/>
      <w:numFmt w:val="upperLetter"/>
      <w:start w:val="1"/>
    </w:lvl>
  </w:abstractNum>
  <w:abstractNum w:abstractNumId="228">
    <w:nsid w:val="7635AA2A"/>
    <w:multiLevelType w:val="hybridMultilevel"/>
    <w:lvl w:ilvl="0">
      <w:lvlJc w:val="left"/>
      <w:lvlText w:val="."/>
      <w:numFmt w:val="bullet"/>
      <w:start w:val="1"/>
    </w:lvl>
  </w:abstractNum>
  <w:abstractNum w:abstractNumId="229">
    <w:nsid w:val="5E74C4D9"/>
    <w:multiLevelType w:val="hybridMultilevel"/>
    <w:lvl w:ilvl="0">
      <w:lvlJc w:val="left"/>
      <w:lvlText w:val="(%1)"/>
      <w:numFmt w:val="lowerLetter"/>
      <w:start w:val="2"/>
    </w:lvl>
  </w:abstractNum>
  <w:abstractNum w:abstractNumId="230">
    <w:nsid w:val="3B3EBE15"/>
    <w:multiLevelType w:val="hybridMultilevel"/>
    <w:lvl w:ilvl="0">
      <w:lvlJc w:val="left"/>
      <w:lvlText w:val="(%1)"/>
      <w:numFmt w:val="lowerLetter"/>
      <w:start w:val="4"/>
    </w:lvl>
  </w:abstractNum>
  <w:abstractNum w:abstractNumId="231">
    <w:nsid w:val="3822CB01"/>
    <w:multiLevelType w:val="hybridMultilevel"/>
    <w:lvl w:ilvl="0">
      <w:lvlJc w:val="left"/>
      <w:lvlText w:val="."/>
      <w:numFmt w:val="bullet"/>
      <w:start w:val="1"/>
    </w:lvl>
  </w:abstractNum>
  <w:abstractNum w:abstractNumId="232">
    <w:nsid w:val="6CE00443"/>
    <w:multiLevelType w:val="hybridMultilevel"/>
    <w:lvl w:ilvl="0">
      <w:lvlJc w:val="left"/>
      <w:lvlText w:val="."/>
      <w:numFmt w:val="bullet"/>
      <w:start w:val="1"/>
    </w:lvl>
  </w:abstractNum>
  <w:abstractNum w:abstractNumId="233">
    <w:nsid w:val="79F0D62F"/>
    <w:multiLevelType w:val="hybridMultilevel"/>
    <w:lvl w:ilvl="0">
      <w:lvlJc w:val="left"/>
      <w:lvlText w:val="."/>
      <w:numFmt w:val="bullet"/>
      <w:start w:val="1"/>
    </w:lvl>
    <w:lvl w:ilvl="1">
      <w:lvlJc w:val="left"/>
      <w:lvlText w:val="(%2)"/>
      <w:numFmt w:val="lowerLetter"/>
      <w:start w:val="1"/>
    </w:lvl>
  </w:abstractNum>
  <w:abstractNum w:abstractNumId="234">
    <w:nsid w:val="7975E8EE"/>
    <w:multiLevelType w:val="hybridMultilevel"/>
    <w:lvl w:ilvl="0">
      <w:lvlJc w:val="left"/>
      <w:lvlText w:val="(%1)"/>
      <w:numFmt w:val="lowerLetter"/>
      <w:start w:val="3"/>
    </w:lvl>
  </w:abstractNum>
  <w:abstractNum w:abstractNumId="235">
    <w:nsid w:val="73154115"/>
    <w:multiLevelType w:val="hybridMultilevel"/>
    <w:lvl w:ilvl="0">
      <w:lvlJc w:val="left"/>
      <w:lvlText w:val="%1"/>
      <w:numFmt w:val="lowerLetter"/>
      <w:start w:val="1"/>
    </w:lvl>
    <w:lvl w:ilvl="1">
      <w:lvlJc w:val="left"/>
      <w:lvlText w:val="(%2)"/>
      <w:numFmt w:val="lowerLetter"/>
      <w:start w:val="10"/>
    </w:lvl>
  </w:abstractNum>
  <w:abstractNum w:abstractNumId="236">
    <w:nsid w:val="622D8102"/>
    <w:multiLevelType w:val="hybridMultilevel"/>
    <w:lvl w:ilvl="0">
      <w:lvlJc w:val="left"/>
      <w:lvlText w:val="(%1)"/>
      <w:numFmt w:val="lowerLetter"/>
      <w:start w:val="61"/>
    </w:lvl>
    <w:lvl w:ilvl="1">
      <w:lvlJc w:val="left"/>
      <w:lvlText w:val="(%2)"/>
      <w:numFmt w:val="lowerLetter"/>
      <w:start w:val="18"/>
    </w:lvl>
  </w:abstractNum>
  <w:abstractNum w:abstractNumId="237">
    <w:nsid w:val="2AB26587"/>
    <w:multiLevelType w:val="hybridMultilevel"/>
    <w:lvl w:ilvl="0">
      <w:lvlJc w:val="left"/>
      <w:lvlText w:val="(%1)"/>
      <w:numFmt w:val="lowerLetter"/>
      <w:start w:val="21"/>
    </w:lvl>
  </w:abstractNum>
  <w:abstractNum w:abstractNumId="238">
    <w:nsid w:val="44B3FA61"/>
    <w:multiLevelType w:val="hybridMultilevel"/>
    <w:lvl w:ilvl="0">
      <w:lvlJc w:val="left"/>
      <w:lvlText w:val="(%1)"/>
      <w:numFmt w:val="lowerLetter"/>
      <w:start w:val="27"/>
    </w:lvl>
  </w:abstractNum>
  <w:abstractNum w:abstractNumId="239">
    <w:nsid w:val="1C0CA67C"/>
    <w:multiLevelType w:val="hybridMultilevel"/>
    <w:lvl w:ilvl="0">
      <w:lvlJc w:val="left"/>
      <w:lvlText w:val="%1"/>
      <w:numFmt w:val="upperLetter"/>
      <w:start w:val="1"/>
    </w:lvl>
    <w:lvl w:ilvl="1">
      <w:lvlJc w:val="left"/>
      <w:lvlText w:val="."/>
      <w:numFmt w:val="bullet"/>
      <w:start w:val="1"/>
    </w:lvl>
    <w:lvl w:ilvl="2">
      <w:lvlJc w:val="left"/>
      <w:lvlText w:val="(%3)"/>
      <w:numFmt w:val="lowerLetter"/>
      <w:start w:val="1"/>
    </w:lvl>
  </w:abstractNum>
  <w:abstractNum w:abstractNumId="240">
    <w:nsid w:val="3D206613"/>
    <w:multiLevelType w:val="hybridMultilevel"/>
    <w:lvl w:ilvl="0">
      <w:lvlJc w:val="left"/>
      <w:lvlText w:val="(%1)"/>
      <w:numFmt w:val="upperLetter"/>
      <w:start w:val="2"/>
    </w:lvl>
    <w:lvl w:ilvl="1">
      <w:lvlJc w:val="left"/>
      <w:lvlText w:val="."/>
      <w:numFmt w:val="bullet"/>
      <w:start w:val="1"/>
    </w:lvl>
    <w:lvl w:ilvl="2">
      <w:lvlJc w:val="left"/>
      <w:lvlText w:val="%3"/>
      <w:numFmt w:val="lowerLetter"/>
      <w:start w:val="1"/>
    </w:lvl>
  </w:abstractNum>
  <w:abstractNum w:abstractNumId="241">
    <w:nsid w:val="7993B662"/>
    <w:multiLevelType w:val="hybridMultilevel"/>
    <w:lvl w:ilvl="0">
      <w:lvlJc w:val="left"/>
      <w:lvlText w:val="(%1)"/>
      <w:numFmt w:val="lowerLetter"/>
      <w:start w:val="25"/>
    </w:lvl>
    <w:lvl w:ilvl="1">
      <w:lvlJc w:val="left"/>
      <w:lvlText w:val="(%2)"/>
      <w:numFmt w:val="lowerLetter"/>
      <w:start w:val="4"/>
    </w:lvl>
  </w:abstractNum>
  <w:abstractNum w:abstractNumId="242">
    <w:nsid w:val="3BAB699E"/>
    <w:multiLevelType w:val="hybridMultilevel"/>
    <w:lvl w:ilvl="0">
      <w:lvlJc w:val="left"/>
      <w:lvlText w:val="(%1)"/>
      <w:numFmt w:val="lowerLetter"/>
      <w:start w:val="9"/>
    </w:lvl>
  </w:abstractNum>
  <w:abstractNum w:abstractNumId="243">
    <w:nsid w:val="71315369"/>
    <w:multiLevelType w:val="hybridMultilevel"/>
    <w:lvl w:ilvl="0">
      <w:lvlJc w:val="left"/>
      <w:lvlText w:val="(%1)"/>
      <w:numFmt w:val="lowerLetter"/>
      <w:start w:val="20"/>
    </w:lvl>
  </w:abstractNum>
  <w:abstractNum w:abstractNumId="244">
    <w:nsid w:val="7BCFBAFC"/>
    <w:multiLevelType w:val="hybridMultilevel"/>
    <w:lvl w:ilvl="0">
      <w:lvlJc w:val="left"/>
      <w:lvlText w:val="."/>
      <w:numFmt w:val="bullet"/>
      <w:start w:val="1"/>
    </w:lvl>
    <w:lvl w:ilvl="1">
      <w:lvlJc w:val="left"/>
      <w:lvlText w:val="(%2)"/>
      <w:numFmt w:val="lowerLetter"/>
      <w:start w:val="1"/>
    </w:lvl>
  </w:abstractNum>
  <w:abstractNum w:abstractNumId="245">
    <w:nsid w:val="17859F72"/>
    <w:multiLevelType w:val="hybridMultilevel"/>
    <w:lvl w:ilvl="0">
      <w:lvlJc w:val="left"/>
      <w:lvlText w:val="(%1)"/>
      <w:numFmt w:val="lowerLetter"/>
      <w:start w:val="4"/>
    </w:lvl>
  </w:abstractNum>
  <w:abstractNum w:abstractNumId="246">
    <w:nsid w:val="3AA10581"/>
    <w:multiLevelType w:val="hybridMultilevel"/>
    <w:lvl w:ilvl="0">
      <w:lvlJc w:val="left"/>
      <w:lvlText w:val="(%1)"/>
      <w:numFmt w:val="lowerLetter"/>
      <w:start w:val="13"/>
    </w:lvl>
    <w:lvl w:ilvl="1">
      <w:lvlJc w:val="left"/>
      <w:lvlText w:val="(%2)"/>
      <w:numFmt w:val="lowerRoman"/>
      <w:start w:val="1"/>
    </w:lvl>
  </w:abstractNum>
  <w:abstractNum w:abstractNumId="247">
    <w:nsid w:val="63DE60CD"/>
    <w:multiLevelType w:val="hybridMultilevel"/>
    <w:lvl w:ilvl="0">
      <w:lvlJc w:val="left"/>
      <w:lvlText w:val="%1"/>
      <w:numFmt w:val="lowerRoman"/>
      <w:start w:val="1"/>
    </w:lvl>
    <w:lvl w:ilvl="1">
      <w:lvlJc w:val="left"/>
      <w:lvlText w:val="(%2)"/>
      <w:numFmt w:val="lowerRoman"/>
      <w:start w:val="3"/>
    </w:lvl>
  </w:abstractNum>
  <w:abstractNum w:abstractNumId="248">
    <w:nsid w:val="621AF471"/>
    <w:multiLevelType w:val="hybridMultilevel"/>
    <w:lvl w:ilvl="0">
      <w:lvlJc w:val="left"/>
      <w:lvlText w:val="(%1)"/>
      <w:numFmt w:val="lowerRoman"/>
      <w:start w:val="2"/>
    </w:lvl>
    <w:lvl w:ilvl="1">
      <w:lvlJc w:val="left"/>
      <w:lvlText w:val="(%2)"/>
      <w:numFmt w:val="lowerRoman"/>
      <w:start w:val="6"/>
    </w:lvl>
  </w:abstractNum>
  <w:abstractNum w:abstractNumId="249">
    <w:nsid w:val="73CFE165"/>
    <w:multiLevelType w:val="hybridMultilevel"/>
    <w:lvl w:ilvl="0">
      <w:lvlJc w:val="left"/>
      <w:lvlText w:val="(%1)"/>
      <w:numFmt w:val="lowerLetter"/>
      <w:start w:val="20"/>
    </w:lvl>
  </w:abstractNum>
  <w:abstractNum w:abstractNumId="250">
    <w:nsid w:val="20F88EA6"/>
    <w:multiLevelType w:val="hybridMultilevel"/>
    <w:lvl w:ilvl="0">
      <w:lvlJc w:val="left"/>
      <w:lvlText w:val="(%1)"/>
      <w:numFmt w:val="lowerLetter"/>
      <w:start w:val="26"/>
    </w:lvl>
  </w:abstractNum>
  <w:abstractNum w:abstractNumId="251">
    <w:nsid w:val="617C843E"/>
    <w:multiLevelType w:val="hybridMultilevel"/>
    <w:lvl w:ilvl="0">
      <w:lvlJc w:val="left"/>
      <w:lvlText w:val="(%1)"/>
      <w:numFmt w:val="lowerLetter"/>
      <w:start w:val="27"/>
    </w:lvl>
  </w:abstractNum>
  <w:abstractNum w:abstractNumId="252">
    <w:nsid w:val="7B541FAB"/>
    <w:multiLevelType w:val="hybridMultilevel"/>
    <w:lvl w:ilvl="0">
      <w:lvlJc w:val="left"/>
      <w:lvlText w:val="."/>
      <w:numFmt w:val="bullet"/>
      <w:start w:val="1"/>
    </w:lvl>
    <w:lvl w:ilvl="1">
      <w:lvlJc w:val="left"/>
      <w:lvlText w:val="(%2)"/>
      <w:numFmt w:val="lowerLetter"/>
      <w:start w:val="1"/>
    </w:lvl>
  </w:abstractNum>
  <w:abstractNum w:abstractNumId="253">
    <w:nsid w:val="2A79EC49"/>
    <w:multiLevelType w:val="hybridMultilevel"/>
    <w:lvl w:ilvl="0">
      <w:lvlJc w:val="left"/>
      <w:lvlText w:val="(%1)"/>
      <w:numFmt w:val="lowerLetter"/>
      <w:start w:val="4"/>
    </w:lvl>
  </w:abstractNum>
  <w:abstractNum w:abstractNumId="254">
    <w:nsid w:val="338125CF"/>
    <w:multiLevelType w:val="hybridMultilevel"/>
    <w:lvl w:ilvl="0">
      <w:lvlJc w:val="left"/>
      <w:lvlText w:val="."/>
      <w:numFmt w:val="bullet"/>
      <w:start w:val="1"/>
    </w:lvl>
    <w:lvl w:ilvl="1">
      <w:lvlJc w:val="left"/>
      <w:lvlText w:val="(%2)"/>
      <w:numFmt w:val="lowerLetter"/>
      <w:start w:val="1"/>
    </w:lvl>
  </w:abstractNum>
  <w:abstractNum w:abstractNumId="255">
    <w:nsid w:val="47C7C971"/>
    <w:multiLevelType w:val="hybridMultilevel"/>
    <w:lvl w:ilvl="0">
      <w:lvlJc w:val="left"/>
      <w:lvlText w:val="(%1)"/>
      <w:numFmt w:val="lowerLetter"/>
      <w:start w:val="8"/>
    </w:lvl>
  </w:abstractNum>
  <w:abstractNum w:abstractNumId="256">
    <w:nsid w:val="46F8284B"/>
    <w:multiLevelType w:val="hybridMultilevel"/>
    <w:lvl w:ilvl="0">
      <w:lvlJc w:val="left"/>
      <w:lvlText w:val="(%1)"/>
      <w:numFmt w:val="lowerLetter"/>
      <w:start w:val="12"/>
    </w:lvl>
  </w:abstractNum>
  <w:abstractNum w:abstractNumId="257">
    <w:nsid w:val="4FA327CE"/>
    <w:multiLevelType w:val="hybridMultilevel"/>
    <w:lvl w:ilvl="0">
      <w:lvlJc w:val="left"/>
      <w:lvlText w:val="(%1)"/>
      <w:numFmt w:val="lowerLetter"/>
      <w:start w:val="22"/>
    </w:lvl>
  </w:abstractNum>
  <w:abstractNum w:abstractNumId="258">
    <w:nsid w:val="1873983A"/>
    <w:multiLevelType w:val="hybridMultilevel"/>
    <w:lvl w:ilvl="0">
      <w:lvlJc w:val="left"/>
      <w:lvlText w:val="."/>
      <w:numFmt w:val="bullet"/>
      <w:start w:val="1"/>
    </w:lvl>
    <w:lvl w:ilvl="1">
      <w:lvlJc w:val="left"/>
      <w:lvlText w:val="(%2)"/>
      <w:numFmt w:val="lowerLetter"/>
      <w:start w:val="1"/>
    </w:lvl>
  </w:abstractNum>
  <w:abstractNum w:abstractNumId="259">
    <w:nsid w:val="3D2DD275"/>
    <w:multiLevelType w:val="hybridMultilevel"/>
    <w:lvl w:ilvl="0">
      <w:lvlJc w:val="left"/>
      <w:lvlText w:val="(%1)"/>
      <w:numFmt w:val="lowerLetter"/>
      <w:start w:val="6"/>
    </w:lvl>
  </w:abstractNum>
  <w:abstractNum w:abstractNumId="260">
    <w:nsid w:val="2E17ECA7"/>
    <w:multiLevelType w:val="hybridMultilevel"/>
    <w:lvl w:ilvl="0">
      <w:lvlJc w:val="left"/>
      <w:lvlText w:val="%1"/>
      <w:numFmt w:val="upperLetter"/>
      <w:start w:val="1"/>
    </w:lvl>
    <w:lvl w:ilvl="1">
      <w:lvlJc w:val="left"/>
      <w:lvlText w:val="(%2)"/>
      <w:numFmt w:val="lowerLetter"/>
      <w:start w:val="17"/>
    </w:lvl>
  </w:abstractNum>
  <w:abstractNum w:abstractNumId="261">
    <w:nsid w:val="53B2564F"/>
    <w:multiLevelType w:val="hybridMultilevel"/>
    <w:lvl w:ilvl="0">
      <w:lvlJc w:val="left"/>
      <w:lvlText w:val="(%1)"/>
      <w:numFmt w:val="upperLetter"/>
      <w:start w:val="1"/>
    </w:lvl>
    <w:lvl w:ilvl="1">
      <w:lvlJc w:val="left"/>
      <w:lvlText w:val="(%2)"/>
      <w:numFmt w:val="lowerLetter"/>
      <w:start w:val="19"/>
    </w:lvl>
  </w:abstractNum>
  <w:abstractNum w:abstractNumId="262">
    <w:nsid w:val="75509D76"/>
    <w:multiLevelType w:val="hybridMultilevel"/>
    <w:lvl w:ilvl="0">
      <w:lvlJc w:val="left"/>
      <w:lvlText w:val="(%1)"/>
      <w:numFmt w:val="lowerLetter"/>
      <w:start w:val="20"/>
    </w:lvl>
  </w:abstractNum>
  <w:abstractNum w:abstractNumId="263">
    <w:nsid w:val="1AF7F0EA"/>
    <w:multiLevelType w:val="hybridMultilevel"/>
    <w:lvl w:ilvl="0">
      <w:lvlJc w:val="left"/>
      <w:lvlText w:val="."/>
      <w:numFmt w:val="bullet"/>
      <w:start w:val="1"/>
    </w:lvl>
  </w:abstractNum>
  <w:abstractNum w:abstractNumId="264">
    <w:nsid w:val="4DA32C7E"/>
    <w:multiLevelType w:val="hybridMultilevel"/>
    <w:lvl w:ilvl="0">
      <w:lvlJc w:val="left"/>
      <w:lvlText w:val="."/>
      <w:numFmt w:val="bullet"/>
      <w:start w:val="1"/>
    </w:lvl>
    <w:lvl w:ilvl="1">
      <w:lvlJc w:val="left"/>
      <w:lvlText w:val="(%2)"/>
      <w:numFmt w:val="lowerLetter"/>
      <w:start w:val="1"/>
    </w:lvl>
  </w:abstractNum>
  <w:abstractNum w:abstractNumId="265">
    <w:nsid w:val="6EC68664"/>
    <w:multiLevelType w:val="hybridMultilevel"/>
    <w:lvl w:ilvl="0">
      <w:lvlJc w:val="left"/>
      <w:lvlText w:val="(%1)"/>
      <w:numFmt w:val="lowerLetter"/>
      <w:start w:val="7"/>
    </w:lvl>
  </w:abstractNum>
  <w:abstractNum w:abstractNumId="266">
    <w:nsid w:val="E0D31FF"/>
    <w:multiLevelType w:val="hybridMultilevel"/>
    <w:lvl w:ilvl="0">
      <w:lvlJc w:val="left"/>
      <w:lvlText w:val="."/>
      <w:numFmt w:val="bullet"/>
      <w:start w:val="1"/>
    </w:lvl>
  </w:abstractNum>
  <w:abstractNum w:abstractNumId="267">
    <w:nsid w:val="2FD0AD81"/>
    <w:multiLevelType w:val="hybridMultilevel"/>
    <w:lvl w:ilvl="0">
      <w:lvlJc w:val="left"/>
      <w:lvlText w:val="%1"/>
      <w:numFmt w:val="lowerLetter"/>
      <w:start w:val="1"/>
    </w:lvl>
    <w:lvl w:ilvl="1">
      <w:lvlJc w:val="left"/>
      <w:lvlText w:val="(%2)"/>
      <w:numFmt w:val="lowerLetter"/>
      <w:start w:val="1"/>
    </w:lvl>
  </w:abstractNum>
  <w:abstractNum w:abstractNumId="268">
    <w:nsid w:val="1978EBEB"/>
    <w:multiLevelType w:val="hybridMultilevel"/>
    <w:lvl w:ilvl="0">
      <w:lvlJc w:val="left"/>
      <w:lvlText w:val="(%1)"/>
      <w:numFmt w:val="lowerLetter"/>
      <w:start w:val="25"/>
    </w:lvl>
    <w:lvl w:ilvl="1">
      <w:lvlJc w:val="left"/>
      <w:lvlText w:val="%2"/>
      <w:numFmt w:val="lowerLetter"/>
      <w:start w:val="1"/>
    </w:lvl>
  </w:abstractNum>
  <w:abstractNum w:abstractNumId="269">
    <w:nsid w:val="52C12C61"/>
    <w:multiLevelType w:val="hybridMultilevel"/>
    <w:lvl w:ilvl="0">
      <w:lvlJc w:val="left"/>
      <w:lvlText w:val="(%1)"/>
      <w:numFmt w:val="lowerLetter"/>
      <w:start w:val="10"/>
    </w:lvl>
  </w:abstractNum>
  <w:abstractNum w:abstractNumId="270">
    <w:nsid w:val="4BDD53FD"/>
    <w:multiLevelType w:val="hybridMultilevel"/>
    <w:lvl w:ilvl="0">
      <w:lvlJc w:val="left"/>
      <w:lvlText w:val="(%1)"/>
      <w:numFmt w:val="lowerLetter"/>
    </w:lvl>
    <w:lvl w:ilvl="1">
      <w:lvlJc w:val="left"/>
      <w:lvlText w:val="."/>
      <w:numFmt w:val="bullet"/>
      <w:start w:val="1"/>
    </w:lvl>
  </w:abstractNum>
  <w:abstractNum w:abstractNumId="271">
    <w:nsid w:val="569951FE"/>
    <w:multiLevelType w:val="hybridMultilevel"/>
    <w:lvl w:ilvl="0">
      <w:lvlJc w:val="left"/>
      <w:lvlText w:val="."/>
      <w:numFmt w:val="bullet"/>
      <w:start w:val="1"/>
    </w:lvl>
  </w:abstractNum>
  <w:abstractNum w:abstractNumId="272">
    <w:nsid w:val="4C54E2C3"/>
    <w:multiLevelType w:val="hybridMultilevel"/>
    <w:lvl w:ilvl="0">
      <w:lvlJc w:val="left"/>
      <w:lvlText w:val="."/>
      <w:numFmt w:val="bullet"/>
      <w:start w:val="1"/>
    </w:lvl>
  </w:abstractNum>
  <w:abstractNum w:abstractNumId="273">
    <w:nsid w:val="788BD9B"/>
    <w:multiLevelType w:val="hybridMultilevel"/>
    <w:lvl w:ilvl="0">
      <w:lvlJc w:val="left"/>
      <w:lvlText w:val="."/>
      <w:numFmt w:val="bullet"/>
      <w:start w:val="1"/>
    </w:lvl>
  </w:abstractNum>
  <w:abstractNum w:abstractNumId="274">
    <w:nsid w:val="47CAA567"/>
    <w:multiLevelType w:val="hybridMultilevel"/>
    <w:lvl w:ilvl="0">
      <w:lvlJc w:val="left"/>
      <w:lvlText w:val="(%1)"/>
      <w:numFmt w:val="lowerLetter"/>
      <w:start w:val="1"/>
    </w:lvl>
  </w:abstractNum>
  <w:abstractNum w:abstractNumId="275">
    <w:nsid w:val="48249DBF"/>
    <w:multiLevelType w:val="hybridMultilevel"/>
    <w:lvl w:ilvl="0">
      <w:lvlJc w:val="left"/>
      <w:lvlText w:val="."/>
      <w:numFmt w:val="bullet"/>
      <w:start w:val="1"/>
    </w:lvl>
  </w:abstractNum>
  <w:abstractNum w:abstractNumId="276">
    <w:nsid w:val="1F0E5D0D"/>
    <w:multiLevelType w:val="hybridMultilevel"/>
    <w:lvl w:ilvl="0">
      <w:lvlJc w:val="left"/>
      <w:lvlText w:val="."/>
      <w:numFmt w:val="bullet"/>
      <w:start w:val="1"/>
    </w:lvl>
  </w:abstractNum>
  <w:abstractNum w:abstractNumId="277">
    <w:nsid w:val="26BAAE9"/>
    <w:multiLevelType w:val="hybridMultilevel"/>
    <w:lvl w:ilvl="0">
      <w:lvlJc w:val="left"/>
      <w:lvlText w:val="."/>
      <w:numFmt w:val="bullet"/>
      <w:start w:val="1"/>
    </w:lvl>
    <w:lvl w:ilvl="1">
      <w:lvlJc w:val="left"/>
      <w:lvlText w:val="(%2)"/>
      <w:numFmt w:val="lowerLetter"/>
      <w:start w:val="1"/>
    </w:lvl>
  </w:abstractNum>
  <w:abstractNum w:abstractNumId="278">
    <w:nsid w:val="2C02FE8C"/>
    <w:multiLevelType w:val="hybridMultilevel"/>
    <w:lvl w:ilvl="0">
      <w:lvlJc w:val="left"/>
      <w:lvlText w:val="(%1)"/>
      <w:numFmt w:val="upperLetter"/>
      <w:start w:val="1"/>
    </w:lvl>
    <w:lvl w:ilvl="1">
      <w:lvlJc w:val="left"/>
      <w:lvlText w:val="(%2)"/>
      <w:numFmt w:val="lowerLetter"/>
      <w:start w:val="6"/>
    </w:lvl>
  </w:abstractNum>
  <w:abstractNum w:abstractNumId="279">
    <w:nsid w:val="129517E"/>
    <w:multiLevelType w:val="hybridMultilevel"/>
    <w:lvl w:ilvl="0">
      <w:lvlJc w:val="left"/>
      <w:lvlText w:val="(%1)"/>
      <w:numFmt w:val="lowerLetter"/>
      <w:start w:val="11"/>
    </w:lvl>
  </w:abstractNum>
  <w:abstractNum w:abstractNumId="280">
    <w:nsid w:val="763B8C4E"/>
    <w:multiLevelType w:val="hybridMultilevel"/>
    <w:lvl w:ilvl="0">
      <w:lvlJc w:val="left"/>
      <w:lvlText w:val="."/>
      <w:numFmt w:val="bullet"/>
      <w:start w:val="1"/>
    </w:lvl>
    <w:lvl w:ilvl="1">
      <w:lvlJc w:val="left"/>
      <w:lvlText w:val="(%2)"/>
      <w:numFmt w:val="lowerLetter"/>
      <w:start w:val="1"/>
    </w:lvl>
  </w:abstractNum>
  <w:abstractNum w:abstractNumId="281">
    <w:nsid w:val="4CFB8D32"/>
    <w:multiLevelType w:val="hybridMultilevel"/>
    <w:lvl w:ilvl="0">
      <w:lvlJc w:val="left"/>
      <w:lvlText w:val="."/>
      <w:numFmt w:val="bullet"/>
      <w:start w:val="1"/>
    </w:lvl>
  </w:abstractNum>
  <w:abstractNum w:abstractNumId="282">
    <w:nsid w:val="62A5D5BD"/>
    <w:multiLevelType w:val="hybridMultilevel"/>
    <w:lvl w:ilvl="0">
      <w:lvlJc w:val="left"/>
      <w:lvlText w:val="(%1)"/>
      <w:numFmt w:val="lowerLetter"/>
      <w:start w:val="1"/>
    </w:lvl>
  </w:abstractNum>
  <w:abstractNum w:abstractNumId="283">
    <w:nsid w:val="718FABF9"/>
    <w:multiLevelType w:val="hybridMultilevel"/>
    <w:lvl w:ilvl="0">
      <w:lvlJc w:val="left"/>
      <w:lvlText w:val="."/>
      <w:numFmt w:val="bullet"/>
      <w:start w:val="1"/>
    </w:lvl>
  </w:abstractNum>
  <w:abstractNum w:abstractNumId="284">
    <w:nsid w:val="7775797C"/>
    <w:multiLevelType w:val="hybridMultilevel"/>
    <w:lvl w:ilvl="0">
      <w:lvlJc w:val="left"/>
      <w:lvlText w:val="."/>
      <w:numFmt w:val="bullet"/>
      <w:start w:val="1"/>
    </w:lvl>
    <w:lvl w:ilvl="1">
      <w:lvlJc w:val="left"/>
      <w:lvlText w:val="(%2)"/>
      <w:numFmt w:val="lowerLetter"/>
      <w:start w:val="1"/>
    </w:lvl>
  </w:abstractNum>
  <w:abstractNum w:abstractNumId="285">
    <w:nsid w:val="1626FB8C"/>
    <w:multiLevelType w:val="hybridMultilevel"/>
    <w:lvl w:ilvl="0">
      <w:lvlJc w:val="left"/>
      <w:lvlText w:val="."/>
      <w:numFmt w:val="bullet"/>
      <w:start w:val="1"/>
    </w:lvl>
  </w:abstractNum>
  <w:abstractNum w:abstractNumId="286">
    <w:nsid w:val="3957756A"/>
    <w:multiLevelType w:val="hybridMultilevel"/>
    <w:lvl w:ilvl="0">
      <w:lvlJc w:val="left"/>
      <w:lvlText w:val="."/>
      <w:numFmt w:val="bullet"/>
      <w:start w:val="1"/>
    </w:lvl>
  </w:abstractNum>
  <w:abstractNum w:abstractNumId="287">
    <w:nsid w:val="3E6DA1C7"/>
    <w:multiLevelType w:val="hybridMultilevel"/>
    <w:lvl w:ilvl="0">
      <w:lvlJc w:val="left"/>
      <w:lvlText w:val="."/>
      <w:numFmt w:val="bullet"/>
      <w:start w:val="1"/>
    </w:lvl>
  </w:abstractNum>
  <w:abstractNum w:abstractNumId="288">
    <w:nsid w:val="65CA235B"/>
    <w:multiLevelType w:val="hybridMultilevel"/>
    <w:lvl w:ilvl="0">
      <w:lvlJc w:val="left"/>
      <w:lvlText w:val="."/>
      <w:numFmt w:val="bullet"/>
      <w:start w:val="1"/>
    </w:lvl>
  </w:abstractNum>
  <w:abstractNum w:abstractNumId="289">
    <w:nsid w:val="51CB0DA4"/>
    <w:multiLevelType w:val="hybridMultilevel"/>
    <w:lvl w:ilvl="0">
      <w:lvlJc w:val="left"/>
      <w:lvlText w:val="."/>
      <w:numFmt w:val="bullet"/>
      <w:start w:val="1"/>
    </w:lvl>
    <w:lvl w:ilvl="1">
      <w:lvlJc w:val="left"/>
      <w:lvlText w:val="(%2)"/>
      <w:numFmt w:val="lowerLetter"/>
      <w:start w:val="1"/>
    </w:lvl>
  </w:abstractNum>
  <w:abstractNum w:abstractNumId="290">
    <w:nsid w:val="7B9B743C"/>
    <w:multiLevelType w:val="hybridMultilevel"/>
    <w:lvl w:ilvl="0">
      <w:lvlJc w:val="left"/>
      <w:lvlText w:val="."/>
      <w:numFmt w:val="bullet"/>
      <w:start w:val="1"/>
    </w:lvl>
    <w:lvl w:ilvl="1">
      <w:lvlJc w:val="left"/>
      <w:lvlText w:val="(%2)"/>
      <w:numFmt w:val="lowerLetter"/>
      <w:start w:val="1"/>
    </w:lvl>
  </w:abstractNum>
  <w:abstractNum w:abstractNumId="291">
    <w:nsid w:val="13E21002"/>
    <w:multiLevelType w:val="hybridMultilevel"/>
    <w:lvl w:ilvl="0">
      <w:lvlJc w:val="left"/>
      <w:lvlText w:val="(%1)"/>
      <w:numFmt w:val="lowerLetter"/>
      <w:start w:val="4"/>
    </w:lvl>
  </w:abstractNum>
  <w:abstractNum w:abstractNumId="292">
    <w:nsid w:val="257D63F4"/>
    <w:multiLevelType w:val="hybridMultilevel"/>
    <w:lvl w:ilvl="0">
      <w:lvlJc w:val="left"/>
      <w:lvlText w:val="."/>
      <w:numFmt w:val="bullet"/>
      <w:start w:val="1"/>
    </w:lvl>
  </w:abstractNum>
  <w:abstractNum w:abstractNumId="293">
    <w:nsid w:val="70EC11B2"/>
    <w:multiLevelType w:val="hybridMultilevel"/>
    <w:lvl w:ilvl="0">
      <w:lvlJc w:val="left"/>
      <w:lvlText w:val="(%1)"/>
      <w:numFmt w:val="lowerLetter"/>
      <w:start w:val="1"/>
    </w:lvl>
    <w:lvl w:ilvl="1">
      <w:lvlJc w:val="left"/>
      <w:lvlText w:val="(%2)"/>
      <w:numFmt w:val="lowerRoman"/>
      <w:start w:val="1"/>
    </w:lvl>
  </w:abstractNum>
  <w:abstractNum w:abstractNumId="294">
    <w:nsid w:val="2EDA00ED"/>
    <w:multiLevelType w:val="hybridMultilevel"/>
    <w:lvl w:ilvl="0">
      <w:lvlJc w:val="left"/>
      <w:lvlText w:val="%1"/>
      <w:numFmt w:val="lowerLetter"/>
      <w:start w:val="1"/>
    </w:lvl>
    <w:lvl w:ilvl="1">
      <w:lvlJc w:val="left"/>
      <w:lvlText w:val="(%2)"/>
      <w:numFmt w:val="lowerRoman"/>
      <w:start w:val="4"/>
    </w:lvl>
  </w:abstractNum>
  <w:abstractNum w:abstractNumId="295">
    <w:nsid w:val="73209072"/>
    <w:multiLevelType w:val="hybridMultilevel"/>
    <w:lvl w:ilvl="0">
      <w:lvlJc w:val="left"/>
      <w:lvlText w:val="(%1)"/>
      <w:numFmt w:val="lowerLetter"/>
      <w:start w:val="2"/>
    </w:lvl>
    <w:lvl w:ilvl="1">
      <w:lvlJc w:val="left"/>
      <w:lvlText w:val="%2"/>
      <w:numFmt w:val="lowerRoman"/>
      <w:start w:val="1"/>
    </w:lvl>
  </w:abstractNum>
  <w:abstractNum w:abstractNumId="296">
    <w:nsid w:val="5FB29816"/>
    <w:multiLevelType w:val="hybridMultilevel"/>
    <w:lvl w:ilvl="0">
      <w:lvlJc w:val="left"/>
      <w:lvlText w:val="(%1)"/>
      <w:numFmt w:val="lowerLetter"/>
      <w:start w:val="1"/>
    </w:lvl>
  </w:abstractNum>
  <w:abstractNum w:abstractNumId="297">
    <w:nsid w:val="3CE732EC"/>
    <w:multiLevelType w:val="hybridMultilevel"/>
    <w:lvl w:ilvl="0">
      <w:lvlJc w:val="left"/>
      <w:lvlText w:val="%1"/>
      <w:numFmt w:val="lowerLetter"/>
      <w:start w:val="1"/>
    </w:lvl>
    <w:lvl w:ilvl="1">
      <w:lvlJc w:val="left"/>
      <w:lvlText w:val="(%2)"/>
      <w:numFmt w:val="lowerLetter"/>
      <w:start w:val="2"/>
    </w:lvl>
  </w:abstractNum>
  <w:abstractNum w:abstractNumId="298">
    <w:nsid w:val="22F13DF3"/>
    <w:multiLevelType w:val="hybridMultilevel"/>
    <w:lvl w:ilvl="0">
      <w:lvlJc w:val="left"/>
      <w:lvlText w:val="(%1)"/>
      <w:numFmt w:val="lowerLetter"/>
      <w:start w:val="25"/>
    </w:lvl>
    <w:lvl w:ilvl="1">
      <w:lvlJc w:val="left"/>
      <w:lvlText w:val="(%2)"/>
      <w:numFmt w:val="lowerLetter"/>
      <w:start w:val="3"/>
    </w:lvl>
  </w:abstractNum>
  <w:abstractNum w:abstractNumId="299">
    <w:nsid w:val="792B8401"/>
    <w:multiLevelType w:val="hybridMultilevel"/>
    <w:lvl w:ilvl="0">
      <w:lvlJc w:val="left"/>
      <w:lvlText w:val="(%1)"/>
      <w:numFmt w:val="lowerLetter"/>
      <w:start w:val="1"/>
    </w:lvl>
  </w:abstractNum>
  <w:abstractNum w:abstractNumId="300">
    <w:nsid w:val="FA85F4D"/>
    <w:multiLevelType w:val="hybridMultilevel"/>
    <w:lvl w:ilvl="0">
      <w:lvlJc w:val="left"/>
      <w:lvlText w:val="(%1)"/>
      <w:numFmt w:val="lowerLetter"/>
      <w:start w:val="4"/>
    </w:lvl>
  </w:abstractNum>
  <w:abstractNum w:abstractNumId="301">
    <w:nsid w:val="6ECE91F0"/>
    <w:multiLevelType w:val="hybridMultilevel"/>
    <w:lvl w:ilvl="0">
      <w:lvlJc w:val="left"/>
      <w:lvlText w:val="(%1)"/>
      <w:numFmt w:val="lowerLetter"/>
      <w:start w:val="1"/>
    </w:lvl>
  </w:abstractNum>
  <w:abstractNum w:abstractNumId="302">
    <w:nsid w:val="4FC4D600"/>
    <w:multiLevelType w:val="hybridMultilevel"/>
    <w:lvl w:ilvl="0">
      <w:lvlJc w:val="left"/>
      <w:lvlText w:val="(%1)"/>
      <w:numFmt w:val="lowerLetter"/>
      <w:start w:val="2"/>
    </w:lvl>
  </w:abstractNum>
  <w:abstractNum w:abstractNumId="303">
    <w:nsid w:val="5BFD4210"/>
    <w:multiLevelType w:val="hybridMultilevel"/>
    <w:lvl w:ilvl="0">
      <w:lvlJc w:val="left"/>
      <w:lvlText w:val="(%1)"/>
      <w:numFmt w:val="lowerLetter"/>
      <w:start w:val="8"/>
    </w:lvl>
  </w:abstractNum>
  <w:abstractNum w:abstractNumId="304">
    <w:nsid w:val="76574F8B"/>
    <w:multiLevelType w:val="hybridMultilevel"/>
    <w:lvl w:ilvl="0">
      <w:lvlJc w:val="left"/>
      <w:lvlText w:val="(%1)"/>
      <w:numFmt w:val="lowerLetter"/>
      <w:start w:val="1"/>
    </w:lvl>
    <w:lvl w:ilvl="1">
      <w:lvlJc w:val="left"/>
      <w:lvlText w:val="(%2)"/>
      <w:numFmt w:val="lowerRoman"/>
      <w:start w:val="1"/>
    </w:lvl>
  </w:abstractNum>
  <w:abstractNum w:abstractNumId="305">
    <w:nsid w:val="178F7B67"/>
    <w:multiLevelType w:val="hybridMultilevel"/>
    <w:lvl w:ilvl="0">
      <w:lvlJc w:val="left"/>
      <w:lvlText w:val="(%1)"/>
      <w:numFmt w:val="lowerLetter"/>
      <w:start w:val="2"/>
    </w:lvl>
  </w:abstractNum>
  <w:abstractNum w:abstractNumId="306">
    <w:nsid w:val="2421DFCF"/>
    <w:multiLevelType w:val="hybridMultilevel"/>
    <w:lvl w:ilvl="0">
      <w:lvlJc w:val="left"/>
      <w:lvlText w:val="(%1)"/>
      <w:numFmt w:val="lowerLetter"/>
      <w:start w:val="3"/>
    </w:lvl>
  </w:abstractNum>
  <w:abstractNum w:abstractNumId="307">
    <w:nsid w:val="1565AC99"/>
    <w:multiLevelType w:val="hybridMultilevel"/>
    <w:lvl w:ilvl="0">
      <w:lvlJc w:val="left"/>
      <w:lvlText w:val="."/>
      <w:numFmt w:val="bullet"/>
      <w:start w:val="1"/>
    </w:lvl>
  </w:abstractNum>
  <w:abstractNum w:abstractNumId="308">
    <w:nsid w:val="19FB2650"/>
    <w:multiLevelType w:val="hybridMultilevel"/>
    <w:lvl w:ilvl="0">
      <w:lvlJc w:val="left"/>
      <w:lvlText w:val="(%1)"/>
      <w:numFmt w:val="lowerLetter"/>
      <w:start w:val="1"/>
    </w:lvl>
  </w:abstractNum>
  <w:abstractNum w:abstractNumId="309">
    <w:nsid w:val="5024DE5B"/>
    <w:multiLevelType w:val="hybridMultilevel"/>
    <w:lvl w:ilvl="0">
      <w:lvlJc w:val="left"/>
      <w:lvlText w:val="(%1)"/>
      <w:numFmt w:val="lowerLetter"/>
      <w:start w:val="2"/>
    </w:lvl>
  </w:abstractNum>
  <w:abstractNum w:abstractNumId="310">
    <w:nsid w:val="168EFE17"/>
    <w:multiLevelType w:val="hybridMultilevel"/>
    <w:lvl w:ilvl="0">
      <w:lvlJc w:val="left"/>
      <w:lvlText w:val="(%1)"/>
      <w:numFmt w:val="lowerLetter"/>
      <w:start w:val="3"/>
    </w:lvl>
    <w:lvl w:ilvl="1">
      <w:lvlJc w:val="left"/>
      <w:lvlText w:val="(%2)"/>
      <w:numFmt w:val="lowerLetter"/>
      <w:start w:val="4"/>
    </w:lvl>
  </w:abstractNum>
  <w:abstractNum w:abstractNumId="311">
    <w:nsid w:val="1036B29F"/>
    <w:multiLevelType w:val="hybridMultilevel"/>
    <w:lvl w:ilvl="0">
      <w:lvlJc w:val="left"/>
      <w:lvlText w:val="."/>
      <w:numFmt w:val="bullet"/>
      <w:start w:val="1"/>
    </w:lvl>
  </w:abstractNum>
  <w:abstractNum w:abstractNumId="312">
    <w:nsid w:val="1D206B8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13">
    <w:nsid w:val="7934D3D4"/>
    <w:multiLevelType w:val="hybridMultilevel"/>
    <w:lvl w:ilvl="0">
      <w:lvlJc w:val="left"/>
      <w:lvlText w:val="(%1)"/>
      <w:numFmt w:val="lowerRoman"/>
      <w:start w:val="2"/>
    </w:lvl>
    <w:lvl w:ilvl="1">
      <w:lvlJc w:val="left"/>
      <w:lvlText w:val="(%2)"/>
      <w:numFmt w:val="upperLetter"/>
      <w:start w:val="1"/>
    </w:lvl>
  </w:abstractNum>
  <w:abstractNum w:abstractNumId="314">
    <w:nsid w:val="1C65E98"/>
    <w:multiLevelType w:val="hybridMultilevel"/>
    <w:lvl w:ilvl="0">
      <w:lvlJc w:val="left"/>
      <w:lvlText w:val="%1"/>
      <w:numFmt w:val="decimal"/>
      <w:start w:val="1"/>
    </w:lvl>
    <w:lvl w:ilvl="1">
      <w:lvlJc w:val="left"/>
      <w:lvlText w:val="(%2)"/>
      <w:numFmt w:val="lowerRoman"/>
      <w:start w:val="7"/>
    </w:lvl>
    <w:lvl w:ilvl="2">
      <w:lvlJc w:val="left"/>
      <w:lvlText w:val="(%3)"/>
      <w:numFmt w:val="upperLetter"/>
      <w:start w:val="1"/>
    </w:lvl>
  </w:abstractNum>
  <w:abstractNum w:abstractNumId="315">
    <w:nsid w:val="1495E50A"/>
    <w:multiLevelType w:val="hybridMultilevel"/>
    <w:lvl w:ilvl="0">
      <w:lvlJc w:val="left"/>
      <w:lvlText w:val="(%1)"/>
      <w:numFmt w:val="decimal"/>
      <w:start w:val="2"/>
    </w:lvl>
    <w:lvl w:ilvl="1">
      <w:lvlJc w:val="left"/>
      <w:lvlText w:val="%2"/>
      <w:numFmt w:val="lowerRoman"/>
      <w:start w:val="1"/>
    </w:lvl>
    <w:lvl w:ilvl="2">
      <w:lvlJc w:val="left"/>
      <w:lvlText w:val="%3"/>
      <w:numFmt w:val="upperLetter"/>
      <w:start w:val="1"/>
    </w:lvl>
  </w:abstractNum>
  <w:abstractNum w:abstractNumId="316">
    <w:nsid w:val="F5BCF61"/>
    <w:multiLevelType w:val="hybridMultilevel"/>
    <w:lvl w:ilvl="0">
      <w:lvlJc w:val="left"/>
      <w:lvlText w:val="(%1)"/>
      <w:numFmt w:val="lowerRoman"/>
      <w:start w:val="8"/>
    </w:lvl>
  </w:abstractNum>
  <w:abstractNum w:abstractNumId="317">
    <w:nsid w:val="3B1DD403"/>
    <w:multiLevelType w:val="hybridMultilevel"/>
    <w:lvl w:ilvl="0">
      <w:lvlJc w:val="left"/>
      <w:lvlText w:val="(%1)"/>
      <w:numFmt w:val="lowerLetter"/>
      <w:start w:val="3"/>
    </w:lvl>
  </w:abstractNum>
  <w:abstractNum w:abstractNumId="318">
    <w:nsid w:val="530386D1"/>
    <w:multiLevelType w:val="hybridMultilevel"/>
    <w:lvl w:ilvl="0">
      <w:lvlJc w:val="left"/>
      <w:lvlText w:val="(%1)"/>
      <w:numFmt w:val="lowerLetter"/>
      <w:start w:val="4"/>
    </w:lvl>
  </w:abstractNum>
  <w:abstractNum w:abstractNumId="319">
    <w:nsid w:val="7525F2BC"/>
    <w:multiLevelType w:val="hybridMultilevel"/>
    <w:lvl w:ilvl="0">
      <w:lvlJc w:val="left"/>
      <w:lvlText w:val="(%1)"/>
      <w:numFmt w:val="lowerLetter"/>
      <w:start w:val="5"/>
    </w:lvl>
  </w:abstractNum>
  <w:abstractNum w:abstractNumId="320">
    <w:nsid w:val="CE8E1A7"/>
    <w:multiLevelType w:val="hybridMultilevel"/>
    <w:lvl w:ilvl="0">
      <w:lvlJc w:val="left"/>
      <w:lvlText w:val="%1"/>
      <w:numFmt w:val="lowerLetter"/>
      <w:start w:val="1"/>
    </w:lvl>
    <w:lvl w:ilvl="1">
      <w:lvlJc w:val="left"/>
      <w:lvlText w:val="(%2)"/>
      <w:numFmt w:val="lowerRoman"/>
      <w:start w:val="1"/>
    </w:lvl>
  </w:abstractNum>
  <w:abstractNum w:abstractNumId="321">
    <w:nsid w:val="4E9EFB0D"/>
    <w:multiLevelType w:val="hybridMultilevel"/>
    <w:lvl w:ilvl="0">
      <w:lvlJc w:val="left"/>
      <w:lvlText w:val="(%1)"/>
      <w:numFmt w:val="lowerLetter"/>
      <w:start w:val="25"/>
    </w:lvl>
    <w:lvl w:ilvl="1">
      <w:lvlJc w:val="left"/>
      <w:lvlText w:val="(%2)"/>
      <w:numFmt w:val="lowerRoman"/>
      <w:start w:val="4"/>
    </w:lvl>
  </w:abstractNum>
  <w:abstractNum w:abstractNumId="322">
    <w:nsid w:val="90802BE"/>
    <w:multiLevelType w:val="hybridMultilevel"/>
    <w:lvl w:ilvl="0">
      <w:lvlJc w:val="left"/>
      <w:lvlText w:val="(%1)"/>
      <w:numFmt w:val="lowerRoman"/>
      <w:start w:val="5"/>
    </w:lvl>
  </w:abstractNum>
  <w:abstractNum w:abstractNumId="323">
    <w:nsid w:val="3266459B"/>
    <w:multiLevelType w:val="hybridMultilevel"/>
    <w:lvl w:ilvl="0">
      <w:lvlJc w:val="left"/>
      <w:lvlText w:val="."/>
      <w:numFmt w:val="bullet"/>
      <w:start w:val="1"/>
    </w:lvl>
  </w:abstractNum>
  <w:abstractNum w:abstractNumId="324">
    <w:nsid w:val="3F8B0CBF"/>
    <w:multiLevelType w:val="hybridMultilevel"/>
    <w:lvl w:ilvl="0">
      <w:lvlJc w:val="left"/>
      <w:lvlText w:val="(%1)"/>
      <w:numFmt w:val="lowerRoman"/>
      <w:start w:val="1"/>
    </w:lvl>
  </w:abstractNum>
  <w:abstractNum w:abstractNumId="325">
    <w:nsid w:val="37E203AB"/>
    <w:multiLevelType w:val="hybridMultilevel"/>
    <w:lvl w:ilvl="0">
      <w:lvlJc w:val="left"/>
      <w:lvlText w:val="."/>
      <w:numFmt w:val="bullet"/>
      <w:start w:val="1"/>
    </w:lvl>
  </w:abstractNum>
  <w:abstractNum w:abstractNumId="326">
    <w:nsid w:val="2586D60E"/>
    <w:multiLevelType w:val="hybridMultilevel"/>
    <w:lvl w:ilvl="0">
      <w:lvlJc w:val="left"/>
      <w:lvlText w:val="."/>
      <w:numFmt w:val="bullet"/>
      <w:start w:val="1"/>
    </w:lvl>
  </w:abstractNum>
  <w:abstractNum w:abstractNumId="327">
    <w:nsid w:val="1F3DA4D5"/>
    <w:multiLevelType w:val="hybridMultilevel"/>
    <w:lvl w:ilvl="0">
      <w:lvlJc w:val="left"/>
      <w:lvlText w:val="."/>
      <w:numFmt w:val="bullet"/>
      <w:start w:val="1"/>
    </w:lvl>
  </w:abstractNum>
  <w:abstractNum w:abstractNumId="328">
    <w:nsid w:val="74C93698"/>
    <w:multiLevelType w:val="hybridMultilevel"/>
    <w:lvl w:ilvl="0">
      <w:lvlJc w:val="left"/>
      <w:lvlText w:val="."/>
      <w:numFmt w:val="bullet"/>
      <w:start w:val="1"/>
    </w:lvl>
  </w:abstractNum>
  <w:abstractNum w:abstractNumId="329">
    <w:nsid w:val="48781401"/>
    <w:multiLevelType w:val="hybridMultilevel"/>
    <w:lvl w:ilvl="0">
      <w:lvlJc w:val="left"/>
      <w:lvlText w:val="."/>
      <w:numFmt w:val="bullet"/>
      <w:start w:val="1"/>
    </w:lvl>
  </w:abstractNum>
  <w:abstractNum w:abstractNumId="330">
    <w:nsid w:val="186928D6"/>
    <w:multiLevelType w:val="hybridMultilevel"/>
    <w:lvl w:ilvl="0">
      <w:lvlJc w:val="left"/>
      <w:lvlText w:val="."/>
      <w:numFmt w:val="bullet"/>
      <w:start w:val="1"/>
    </w:lvl>
  </w:abstractNum>
  <w:abstractNum w:abstractNumId="331">
    <w:nsid w:val="47195E5"/>
    <w:multiLevelType w:val="hybridMultilevel"/>
    <w:lvl w:ilvl="0">
      <w:lvlJc w:val="left"/>
      <w:lvlText w:val="(%1)"/>
      <w:numFmt w:val="lowerLetter"/>
      <w:start w:val="1"/>
    </w:lvl>
  </w:abstractNum>
  <w:abstractNum w:abstractNumId="332">
    <w:nsid w:val="3746A5F2"/>
    <w:multiLevelType w:val="hybridMultilevel"/>
    <w:lvl w:ilvl="0">
      <w:lvlJc w:val="left"/>
      <w:lvlText w:val="(%1)"/>
      <w:numFmt w:val="lowerLetter"/>
      <w:start w:val="1"/>
    </w:lvl>
  </w:abstractNum>
  <w:abstractNum w:abstractNumId="333">
    <w:nsid w:val="682DFED6"/>
    <w:multiLevelType w:val="hybridMultilevel"/>
    <w:lvl w:ilvl="0">
      <w:lvlJc w:val="left"/>
      <w:lvlText w:val="(%1)"/>
      <w:numFmt w:val="lowerLetter"/>
      <w:start w:val="3"/>
    </w:lvl>
  </w:abstractNum>
  <w:abstractNum w:abstractNumId="334">
    <w:nsid w:val="606ED7F6"/>
    <w:multiLevelType w:val="hybridMultilevel"/>
    <w:lvl w:ilvl="0">
      <w:lvlJc w:val="left"/>
      <w:lvlText w:val="."/>
      <w:numFmt w:val="bullet"/>
      <w:start w:val="1"/>
    </w:lvl>
  </w:abstractNum>
  <w:abstractNum w:abstractNumId="335">
    <w:nsid w:val="2D9DF57D"/>
    <w:multiLevelType w:val="hybridMultilevel"/>
    <w:lvl w:ilvl="0">
      <w:lvlJc w:val="left"/>
      <w:lvlText w:val="."/>
      <w:numFmt w:val="bullet"/>
      <w:start w:val="1"/>
    </w:lvl>
  </w:abstractNum>
  <w:abstractNum w:abstractNumId="336">
    <w:nsid w:val="7FBD7A3E"/>
    <w:multiLevelType w:val="hybridMultilevel"/>
    <w:lvl w:ilvl="0">
      <w:lvlJc w:val="left"/>
      <w:lvlText w:val="."/>
      <w:numFmt w:val="bullet"/>
      <w:start w:val="1"/>
    </w:lvl>
  </w:abstractNum>
  <w:abstractNum w:abstractNumId="337">
    <w:nsid w:val="490B7C5"/>
    <w:multiLevelType w:val="hybridMultilevel"/>
    <w:lvl w:ilvl="0">
      <w:lvlJc w:val="left"/>
      <w:lvlText w:val="."/>
      <w:numFmt w:val="bullet"/>
      <w:start w:val="1"/>
    </w:lvl>
  </w:abstractNum>
  <w:abstractNum w:abstractNumId="338">
    <w:nsid w:val="4303A216"/>
    <w:multiLevelType w:val="hybridMultilevel"/>
    <w:lvl w:ilvl="0">
      <w:lvlJc w:val="left"/>
      <w:lvlText w:val="."/>
      <w:numFmt w:val="bullet"/>
      <w:start w:val="1"/>
    </w:lvl>
  </w:abstractNum>
  <w:abstractNum w:abstractNumId="339">
    <w:nsid w:val="19B8A08E"/>
    <w:multiLevelType w:val="hybridMultilevel"/>
    <w:lvl w:ilvl="0">
      <w:lvlJc w:val="left"/>
      <w:lvlText w:val="."/>
      <w:numFmt w:val="bullet"/>
      <w:start w:val="1"/>
    </w:lvl>
  </w:abstractNum>
  <w:abstractNum w:abstractNumId="340">
    <w:nsid w:val="54B59621"/>
    <w:multiLevelType w:val="hybridMultilevel"/>
    <w:lvl w:ilvl="0">
      <w:lvlJc w:val="left"/>
      <w:lvlText w:val="."/>
      <w:numFmt w:val="bullet"/>
      <w:start w:val="1"/>
    </w:lvl>
  </w:abstractNum>
  <w:abstractNum w:abstractNumId="341">
    <w:nsid w:val="5992A02E"/>
    <w:multiLevelType w:val="hybridMultilevel"/>
    <w:lvl w:ilvl="0">
      <w:lvlJc w:val="left"/>
      <w:lvlText w:val="(%1)"/>
      <w:numFmt w:val="lowerLetter"/>
      <w:start w:val="1"/>
    </w:lvl>
    <w:lvl w:ilvl="1">
      <w:lvlJc w:val="left"/>
      <w:lvlText w:val="(%2)"/>
      <w:numFmt w:val="lowerRoman"/>
      <w:start w:val="1"/>
    </w:lvl>
  </w:abstractNum>
  <w:abstractNum w:abstractNumId="342">
    <w:nsid w:val="29EF532D"/>
    <w:multiLevelType w:val="hybridMultilevel"/>
    <w:lvl w:ilvl="0">
      <w:lvlJc w:val="left"/>
      <w:lvlText w:val="."/>
      <w:numFmt w:val="bullet"/>
      <w:start w:val="1"/>
    </w:lvl>
  </w:abstractNum>
  <w:abstractNum w:abstractNumId="343">
    <w:nsid w:val="71D601AF"/>
    <w:multiLevelType w:val="hybridMultilevel"/>
    <w:lvl w:ilvl="0">
      <w:lvlJc w:val="left"/>
      <w:lvlText w:val="(%1)"/>
      <w:numFmt w:val="lowerLetter"/>
      <w:start w:val="1"/>
    </w:lvl>
  </w:abstractNum>
  <w:abstractNum w:abstractNumId="344">
    <w:nsid w:val="52C77402"/>
    <w:multiLevelType w:val="hybridMultilevel"/>
    <w:lvl w:ilvl="0">
      <w:lvlJc w:val="left"/>
      <w:lvlText w:val="(%1)"/>
      <w:numFmt w:val="lowerLetter"/>
      <w:start w:val="1"/>
    </w:lvl>
  </w:abstractNum>
  <w:abstractNum w:abstractNumId="345">
    <w:nsid w:val="2BB5B1C6"/>
    <w:multiLevelType w:val="hybridMultilevel"/>
    <w:lvl w:ilvl="0">
      <w:lvlJc w:val="left"/>
      <w:lvlText w:val="%1."/>
      <w:numFmt w:val="decimal"/>
      <w:start w:val="1"/>
    </w:lvl>
    <w:lvl w:ilvl="1">
      <w:lvlJc w:val="left"/>
      <w:lvlText w:val="%2."/>
      <w:numFmt w:val="lowerLetter"/>
      <w:start w:val="1"/>
    </w:lvl>
  </w:abstractNum>
  <w:abstractNum w:abstractNumId="346">
    <w:nsid w:val="66BE6B9"/>
    <w:multiLevelType w:val="hybridMultilevel"/>
    <w:lvl w:ilvl="0">
      <w:lvlJc w:val="left"/>
      <w:lvlText w:val="%1."/>
      <w:numFmt w:val="decimal"/>
      <w:start w:val="1"/>
    </w:lvl>
    <w:lvl w:ilvl="1">
      <w:lvlJc w:val="left"/>
      <w:lvlText w:val="%2."/>
      <w:numFmt w:val="lowerLetter"/>
      <w:start w:val="1"/>
    </w:lvl>
  </w:abstractNum>
  <w:abstractNum w:abstractNumId="347">
    <w:nsid w:val="62234363"/>
    <w:multiLevelType w:val="hybridMultilevel"/>
    <w:lvl w:ilvl="0">
      <w:lvlJc w:val="left"/>
      <w:lvlText w:val="(%1)"/>
      <w:numFmt w:val="lowerLetter"/>
      <w:start w:val="1"/>
    </w:lvl>
  </w:abstractNum>
  <w:abstractNum w:abstractNumId="348">
    <w:nsid w:val="66D385C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106" Type="http://schemas.openxmlformats.org/officeDocument/2006/relationships/image" Target="media/image81.png"/><Relationship Id="rId115" Type="http://schemas.openxmlformats.org/officeDocument/2006/relationships/image" Target="media/image82.png"/><Relationship Id="rId116" Type="http://schemas.openxmlformats.org/officeDocument/2006/relationships/image" Target="media/image83.png"/><Relationship Id="rId117" Type="http://schemas.openxmlformats.org/officeDocument/2006/relationships/image" Target="media/image84.png"/><Relationship Id="rId118" Type="http://schemas.openxmlformats.org/officeDocument/2006/relationships/image" Target="media/image85.png"/><Relationship Id="rId119" Type="http://schemas.openxmlformats.org/officeDocument/2006/relationships/image" Target="media/image86.png"/><Relationship Id="rId120" Type="http://schemas.openxmlformats.org/officeDocument/2006/relationships/image" Target="media/image87.png"/><Relationship Id="rId121" Type="http://schemas.openxmlformats.org/officeDocument/2006/relationships/image" Target="media/image88.png"/><Relationship Id="rId122" Type="http://schemas.openxmlformats.org/officeDocument/2006/relationships/image" Target="media/image89.png"/><Relationship Id="rId123" Type="http://schemas.openxmlformats.org/officeDocument/2006/relationships/image" Target="media/image90.png"/><Relationship Id="rId124" Type="http://schemas.openxmlformats.org/officeDocument/2006/relationships/image" Target="media/image91.png"/><Relationship Id="rId125" Type="http://schemas.openxmlformats.org/officeDocument/2006/relationships/image" Target="media/image92.png"/><Relationship Id="rId126" Type="http://schemas.openxmlformats.org/officeDocument/2006/relationships/image" Target="media/image93.png"/><Relationship Id="rId127" Type="http://schemas.openxmlformats.org/officeDocument/2006/relationships/image" Target="media/image94.png"/><Relationship Id="rId128" Type="http://schemas.openxmlformats.org/officeDocument/2006/relationships/image" Target="media/image95.png"/><Relationship Id="rId129" Type="http://schemas.openxmlformats.org/officeDocument/2006/relationships/image" Target="media/image96.png"/><Relationship Id="rId130" Type="http://schemas.openxmlformats.org/officeDocument/2006/relationships/image" Target="media/image97.png"/><Relationship Id="rId131" Type="http://schemas.openxmlformats.org/officeDocument/2006/relationships/image" Target="media/image98.png"/><Relationship Id="rId132" Type="http://schemas.openxmlformats.org/officeDocument/2006/relationships/image" Target="media/image99.png"/><Relationship Id="rId133" Type="http://schemas.openxmlformats.org/officeDocument/2006/relationships/image" Target="media/image100.png"/><Relationship Id="rId134" Type="http://schemas.openxmlformats.org/officeDocument/2006/relationships/image" Target="media/image101.png"/><Relationship Id="rId135" Type="http://schemas.openxmlformats.org/officeDocument/2006/relationships/image" Target="media/image102.png"/><Relationship Id="rId136" Type="http://schemas.openxmlformats.org/officeDocument/2006/relationships/image" Target="media/image103.png"/><Relationship Id="rId137" Type="http://schemas.openxmlformats.org/officeDocument/2006/relationships/image" Target="media/image104.png"/><Relationship Id="rId138" Type="http://schemas.openxmlformats.org/officeDocument/2006/relationships/image" Target="media/image105.png"/><Relationship Id="rId139" Type="http://schemas.openxmlformats.org/officeDocument/2006/relationships/image" Target="media/image106.png"/><Relationship Id="rId140" Type="http://schemas.openxmlformats.org/officeDocument/2006/relationships/image" Target="media/image107.png"/><Relationship Id="rId141" Type="http://schemas.openxmlformats.org/officeDocument/2006/relationships/image" Target="media/image108.png"/><Relationship Id="rId142" Type="http://schemas.openxmlformats.org/officeDocument/2006/relationships/image" Target="media/image109.png"/><Relationship Id="rId143" Type="http://schemas.openxmlformats.org/officeDocument/2006/relationships/image" Target="media/image110.png"/><Relationship Id="rId144" Type="http://schemas.openxmlformats.org/officeDocument/2006/relationships/image" Target="media/image111.png"/><Relationship Id="rId145" Type="http://schemas.openxmlformats.org/officeDocument/2006/relationships/image" Target="media/image112.png"/><Relationship Id="rId146" Type="http://schemas.openxmlformats.org/officeDocument/2006/relationships/image" Target="media/image113.png"/><Relationship Id="rId147" Type="http://schemas.openxmlformats.org/officeDocument/2006/relationships/image" Target="media/image114.png"/><Relationship Id="rId148" Type="http://schemas.openxmlformats.org/officeDocument/2006/relationships/image" Target="media/image115.png"/><Relationship Id="rId149" Type="http://schemas.openxmlformats.org/officeDocument/2006/relationships/image" Target="media/image116.png"/><Relationship Id="rId150" Type="http://schemas.openxmlformats.org/officeDocument/2006/relationships/image" Target="media/image117.png"/><Relationship Id="rId151" Type="http://schemas.openxmlformats.org/officeDocument/2006/relationships/image" Target="media/image118.png"/><Relationship Id="rId152" Type="http://schemas.openxmlformats.org/officeDocument/2006/relationships/image" Target="media/image119.png"/><Relationship Id="rId153" Type="http://schemas.openxmlformats.org/officeDocument/2006/relationships/image" Target="media/image120.png"/><Relationship Id="rId154" Type="http://schemas.openxmlformats.org/officeDocument/2006/relationships/image" Target="media/image121.png"/><Relationship Id="rId155" Type="http://schemas.openxmlformats.org/officeDocument/2006/relationships/image" Target="media/image122.png"/><Relationship Id="rId156" Type="http://schemas.openxmlformats.org/officeDocument/2006/relationships/image" Target="media/image123.png"/><Relationship Id="rId157" Type="http://schemas.openxmlformats.org/officeDocument/2006/relationships/image" Target="media/image124.png"/><Relationship Id="rId158" Type="http://schemas.openxmlformats.org/officeDocument/2006/relationships/image" Target="media/image125.png"/><Relationship Id="rId159" Type="http://schemas.openxmlformats.org/officeDocument/2006/relationships/image" Target="media/image126.png"/><Relationship Id="rId160" Type="http://schemas.openxmlformats.org/officeDocument/2006/relationships/image" Target="media/image127.png"/><Relationship Id="rId161" Type="http://schemas.openxmlformats.org/officeDocument/2006/relationships/image" Target="media/image128.png"/><Relationship Id="rId162" Type="http://schemas.openxmlformats.org/officeDocument/2006/relationships/image" Target="media/image129.png"/><Relationship Id="rId163" Type="http://schemas.openxmlformats.org/officeDocument/2006/relationships/image" Target="media/image130.png"/><Relationship Id="rId164" Type="http://schemas.openxmlformats.org/officeDocument/2006/relationships/image" Target="media/image131.png"/><Relationship Id="rId165" Type="http://schemas.openxmlformats.org/officeDocument/2006/relationships/image" Target="media/image132.png"/><Relationship Id="rId166" Type="http://schemas.openxmlformats.org/officeDocument/2006/relationships/image" Target="media/image133.png"/><Relationship Id="rId167" Type="http://schemas.openxmlformats.org/officeDocument/2006/relationships/image" Target="media/image134.png"/><Relationship Id="rId168" Type="http://schemas.openxmlformats.org/officeDocument/2006/relationships/image" Target="media/image135.png"/><Relationship Id="rId169" Type="http://schemas.openxmlformats.org/officeDocument/2006/relationships/image" Target="media/image136.png"/><Relationship Id="rId170" Type="http://schemas.openxmlformats.org/officeDocument/2006/relationships/image" Target="media/image137.png"/><Relationship Id="rId171" Type="http://schemas.openxmlformats.org/officeDocument/2006/relationships/image" Target="media/image138.png"/><Relationship Id="rId172" Type="http://schemas.openxmlformats.org/officeDocument/2006/relationships/image" Target="media/image139.png"/><Relationship Id="rId173" Type="http://schemas.openxmlformats.org/officeDocument/2006/relationships/image" Target="media/image140.png"/><Relationship Id="rId174" Type="http://schemas.openxmlformats.org/officeDocument/2006/relationships/image" Target="media/image141.png"/><Relationship Id="rId175" Type="http://schemas.openxmlformats.org/officeDocument/2006/relationships/image" Target="media/image142.png"/><Relationship Id="rId176" Type="http://schemas.openxmlformats.org/officeDocument/2006/relationships/image" Target="media/image143.png"/><Relationship Id="rId177" Type="http://schemas.openxmlformats.org/officeDocument/2006/relationships/image" Target="media/image144.png"/><Relationship Id="rId178" Type="http://schemas.openxmlformats.org/officeDocument/2006/relationships/image" Target="media/image145.png"/><Relationship Id="rId179" Type="http://schemas.openxmlformats.org/officeDocument/2006/relationships/image" Target="media/image146.png"/><Relationship Id="rId180" Type="http://schemas.openxmlformats.org/officeDocument/2006/relationships/image" Target="media/image147.png"/><Relationship Id="rId181" Type="http://schemas.openxmlformats.org/officeDocument/2006/relationships/image" Target="media/image148.png"/><Relationship Id="rId182" Type="http://schemas.openxmlformats.org/officeDocument/2006/relationships/image" Target="media/image149.png"/><Relationship Id="rId183" Type="http://schemas.openxmlformats.org/officeDocument/2006/relationships/image" Target="media/image150.png"/><Relationship Id="rId184" Type="http://schemas.openxmlformats.org/officeDocument/2006/relationships/image" Target="media/image151.png"/><Relationship Id="rId185" Type="http://schemas.openxmlformats.org/officeDocument/2006/relationships/image" Target="media/image152.png"/><Relationship Id="rId186" Type="http://schemas.openxmlformats.org/officeDocument/2006/relationships/image" Target="media/image153.png"/><Relationship Id="rId187" Type="http://schemas.openxmlformats.org/officeDocument/2006/relationships/image" Target="media/image154.png"/><Relationship Id="rId188" Type="http://schemas.openxmlformats.org/officeDocument/2006/relationships/image" Target="media/image155.png"/><Relationship Id="rId189" Type="http://schemas.openxmlformats.org/officeDocument/2006/relationships/image" Target="media/image156.png"/><Relationship Id="rId190" Type="http://schemas.openxmlformats.org/officeDocument/2006/relationships/image" Target="media/image157.png"/><Relationship Id="rId191" Type="http://schemas.openxmlformats.org/officeDocument/2006/relationships/image" Target="media/image158.png"/><Relationship Id="rId192" Type="http://schemas.openxmlformats.org/officeDocument/2006/relationships/image" Target="media/image159.png"/><Relationship Id="rId193" Type="http://schemas.openxmlformats.org/officeDocument/2006/relationships/image" Target="media/image160.png"/><Relationship Id="rId194" Type="http://schemas.openxmlformats.org/officeDocument/2006/relationships/image" Target="media/image161.png"/><Relationship Id="rId195" Type="http://schemas.openxmlformats.org/officeDocument/2006/relationships/image" Target="media/image162.png"/><Relationship Id="rId196" Type="http://schemas.openxmlformats.org/officeDocument/2006/relationships/image" Target="media/image163.png"/><Relationship Id="rId197" Type="http://schemas.openxmlformats.org/officeDocument/2006/relationships/image" Target="media/image164.png"/><Relationship Id="rId198" Type="http://schemas.openxmlformats.org/officeDocument/2006/relationships/image" Target="media/image165.png"/><Relationship Id="rId199" Type="http://schemas.openxmlformats.org/officeDocument/2006/relationships/image" Target="media/image166.png"/><Relationship Id="rId88" Type="http://schemas.openxmlformats.org/officeDocument/2006/relationships/hyperlink" Target="https://www.sec.gov/Archives/edgar/data/1772016/000119312521308736/d232418dex21.htm" TargetMode="External"/><Relationship Id="rId89" Type="http://schemas.openxmlformats.org/officeDocument/2006/relationships/hyperlink" Target="https://www.sec.gov/Archives/edgar/data/1772016/000119312522055719/d405795dex21.htm" TargetMode="External"/><Relationship Id="rId90" Type="http://schemas.openxmlformats.org/officeDocument/2006/relationships/hyperlink" Target="https://www.sec.gov/Archives/edgar/data/1772016/000119312525018382/d925487dex31.htm" TargetMode="External"/><Relationship Id="rId91" Type="http://schemas.openxmlformats.org/officeDocument/2006/relationships/hyperlink" Target="https://www.sec.gov/Archives/edgar/data/1772016/000119312525018382/d925487dex32.htm" TargetMode="External"/><Relationship Id="rId92" Type="http://schemas.openxmlformats.org/officeDocument/2006/relationships/hyperlink" Target="https://www.sec.gov/Archives/edgar/data/1772016/000119312522072132/d319129dex41.htm" TargetMode="External"/><Relationship Id="rId93" Type="http://schemas.openxmlformats.org/officeDocument/2006/relationships/hyperlink" Target="https://www.sec.gov/Archives/edgar/data/1772016/000177201623000015/exhib101_brbr2019ltipamend.htm" TargetMode="External"/><Relationship Id="rId94" Type="http://schemas.openxmlformats.org/officeDocument/2006/relationships/hyperlink" Target="https://www.sec.gov/Archives/edgar/data/1772016/000177201622000039/ex102formofomnibusamendmen.htm" TargetMode="External"/><Relationship Id="rId95" Type="http://schemas.openxmlformats.org/officeDocument/2006/relationships/hyperlink" Target="https://www.sec.gov/Archives/edgar/data/1772016/000177201622000039/ex103formofomnibusamendmen.htm" TargetMode="External"/><Relationship Id="rId96" Type="http://schemas.openxmlformats.org/officeDocument/2006/relationships/hyperlink" Target="https://www.sec.gov/Archives/edgar/data/1772016/000177201622000039/ex104formofomnibusamendmen.htm" TargetMode="External"/><Relationship Id="rId97" Type="http://schemas.openxmlformats.org/officeDocument/2006/relationships/hyperlink" Target="https://www.sec.gov/Archives/edgar/data/1772016/000177201622000039/ex107amendedandrestatedloc.htm" TargetMode="External"/><Relationship Id="rId98" Type="http://schemas.openxmlformats.org/officeDocument/2006/relationships/hyperlink" Target="https://www.sec.gov/Archives/edgar/data/1772016/000177201622000039/ex108amendedbellringbrands.htm" TargetMode="External"/><Relationship Id="rId99" Type="http://schemas.openxmlformats.org/officeDocument/2006/relationships/hyperlink" Target="https://www.sec.gov/Archives/edgar/data/1772016/000177201622000039/ex109formseveranceandchang.htm" TargetMode="External"/><Relationship Id="rId100" Type="http://schemas.openxmlformats.org/officeDocument/2006/relationships/hyperlink" Target="https://www.sec.gov/ix?doc=/Archives/edgar/data/0001772016/000177201624000108/brbr-20240930.htm" TargetMode="External"/><Relationship Id="rId101" Type="http://schemas.openxmlformats.org/officeDocument/2006/relationships/hyperlink" Target="https://www.sec.gov/Archives/edgar/data/1772016/000177201619000046/ex10-1brbrsrmgmtbonusprogr.htm" TargetMode="External"/><Relationship Id="rId102" Type="http://schemas.openxmlformats.org/officeDocument/2006/relationships/hyperlink" Target="https://www.sec.gov/Archives/edgar/data/1772016/000177201619000046/ex10-3formofnqsoagmt.htm" TargetMode="External"/><Relationship Id="rId103" Type="http://schemas.openxmlformats.org/officeDocument/2006/relationships/hyperlink" Target="https://www.sec.gov/Archives/edgar/data/1772016/000177201619000046/ex10-4formofdirectorrsuagmt.htm" TargetMode="External"/><Relationship Id="rId104" Type="http://schemas.openxmlformats.org/officeDocument/2006/relationships/hyperlink" Target="https://www.sec.gov/Archives/edgar/data/1772016/000119312522072132/d319129dex101.htm" TargetMode="External"/><Relationship Id="rId105" Type="http://schemas.openxmlformats.org/officeDocument/2006/relationships/hyperlink" Target="https://www.sec.gov/Archives/edgar/data/1772016/000177201623000060/ex1023amendtoarmasterservi.htm" TargetMode="External"/><Relationship Id="rId107" Type="http://schemas.openxmlformats.org/officeDocument/2006/relationships/hyperlink" Target="https://www.sec.gov/Archives/edgar/data/1772016/000119312522072132/d319129dex102.htm" TargetMode="External"/><Relationship Id="rId108" Type="http://schemas.openxmlformats.org/officeDocument/2006/relationships/hyperlink" Target="https://www.sec.gov/Archives/edgar/data/1772016/000119312522072132/d319129dex103.htm" TargetMode="External"/><Relationship Id="rId109" Type="http://schemas.openxmlformats.org/officeDocument/2006/relationships/hyperlink" Target="https://www.sec.gov/Archives/edgar/data/1772016/000119312522072132/d319129dex104.htm" TargetMode="External"/><Relationship Id="rId110" Type="http://schemas.openxmlformats.org/officeDocument/2006/relationships/hyperlink" Target="https://www.sec.gov/Archives/edgar/data/1772016/000119312519270862/d812149dex105.htm" TargetMode="External"/><Relationship Id="rId111" Type="http://schemas.openxmlformats.org/officeDocument/2006/relationships/hyperlink" Target="https://www.sec.gov/Archives/edgar/data/1772016/000119312522072132/d319129dex105.htm" TargetMode="External"/><Relationship Id="rId112" Type="http://schemas.openxmlformats.org/officeDocument/2006/relationships/hyperlink" Target="https://www.sec.gov/Archives/edgar/data/1772016/000177201623000060/ex1024fonterramastersupply.htm" TargetMode="External"/><Relationship Id="rId113" Type="http://schemas.openxmlformats.org/officeDocument/2006/relationships/hyperlink" Target="https://www.sec.gov/Archives/edgar/data/1772016/000177201623000060/ex1025fonterramasterpurcha.htm" TargetMode="External"/><Relationship Id="rId114" Type="http://schemas.openxmlformats.org/officeDocument/2006/relationships/hyperlink" Target="https://www.sec.gov/Archives/edgar/data/1772016/000177201623000015/exhib1022_stremicksmanufa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2025-11-18T11:28:40Z</dcterms:created>
  <dcterms:modified xsi:type="dcterms:W3CDTF">2025-11-18T11:28:40Z</dcterms:modified>
</cp:coreProperties>
</file>