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10,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333-234290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S-8</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87-3296749</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2503 S. Hanley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 Louis, Missouri</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registrant’s principal executive offices, including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BELLRING BRANDS, INC. 2019 LONG-TERM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Craig L. Rosenthal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2503 S. Hanley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 Louis, Missouri 63144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644-7600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4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This Post-Effective Amendment No. 1 (the “Amendment”) to that certain Registration Statement on </w:t>
      </w:r>
      <w:hyperlink r:id="rId17">
        <w:r>
          <w:rPr>
            <w:rFonts w:ascii="Arial" w:cs="Arial" w:eastAsia="Arial" w:hAnsi="Arial"/>
            <w:sz w:val="18"/>
            <w:szCs w:val="18"/>
            <w:u w:val="single" w:color="auto"/>
            <w:color w:val="0000EE"/>
          </w:rPr>
          <w:t>Form S-8 (Reg. No. 333-234290)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(the “Registration Statement”) is being filed pursuant to Rule 414 under the Securities Act of 1933, as amended (the “Securities Act”), by BellRing Brands, Inc. (formerly known as BellRing Distribution, LLC), a Delaware corporation (“New BellRing” or the “Registrant”), as the successor registrant to BellRing Intermediate Holdings, Inc. (formerly known as BellRing Brands, Inc.), a Delaware corporation (“Old BellRing” or the “Predecessor Registrant”), to reflect the transactions (the “transactions”) contemplated by that certain transaction agreement and plan of merger, dated as of October 26, 2021 (as amended, restated, supplemented or otherwise modified from time to time, including by that certain amendment no. 1 to the transaction agreement and plan of merger, dated as of February 28, 2022, the “transaction agreement”), by and among Old BellRing, Post Holdings, Inc. (“Post”), New BellRing and BellRing Merger Sub Corporation (“Merger Sub”). The Registration Statement originally covered shares of Old BellRing Class A common stock, par value $0.01 per share (“Old BellRing Class A Common Stock”), issuable under the BellRing Brands, Inc. 2019 Long-Term Incentive Plan (the “Plan”).</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March 9, 2022, pursuant to the transaction agreement, on the terms and subject to the conditions set forth therein, Post contributed certain cash and equity interests of Old BellRing and its subsidiaries to New BellRing in exchange for equity securities of New BellRing and the right to receive certain debt securities of New BellRing (such contribution, the “separation”). On March 10, 2022, pursuant to the transaction agreement, on the terms and subject to the conditions set forth therein, (i) New BellRing converted into a Delaware corporation; (ii) following the separation and such conversion, Post distributed an aggregate of 78,076,841 shares of New BellRing common stock to Post shareholders in a pro-rata distribution (the “distribution”); and (iii) following the distribution, Merger Sub merged with and into Old BellRing (the “merger”), with Old BellRing as the surviving corporation and a wholly-owned subsidiary of New BellRing.</w:t>
      </w:r>
    </w:p>
    <w:p>
      <w:pPr>
        <w:spacing w:after="0" w:line="19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accordance with the transaction agreement, each outstanding share of Old BellRing Class A Common Stock was converted into the right to receive one share of New BellRing common stock, par value $0.01 per share (“New BellRing Common Stock), and $2.97 in cash. As a result of the merger, each stockholder of Old BellRing became a holder of New BellRing Common Stock evidencing the same proportional interests in New BellRing and having the same designations, rights, powers and preferences and qualifications, limitations and restrictions as those securities that such stockholder held in Old BellRing. In addition, on the terms and subject to the conditions set forth in the transaction agreement, at the effective time of the merger, all outstanding unexercised and unexpired options to purchase shares of Old BellRing Class A Common Stock, outstanding restricted stock units with respect to Old BellRing Class A Common Stock and other equity awards with respect to Old BellRing Class A Common Stock outstanding under the Plan, whether or not exercisable or vested, were assumed by New BellRing and converted into rights to acquire shares of New BellRing Common Stock.</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the filing of the Current Report on Form 8-K12B by New BellRing on March 10, 2022, New BellRing became the successor registrant to Old BellRing under the Securities Exchange Act of 1934, as amended (the “Exchange Act”). In accordance with Rule 414 under the Securities Act, New BellRing hereby expressly adopts the Registration Statement as its own registration statement except as amended by this Amendment, for all purposes of the Securities Act and the Exchange Act.</w:t>
      </w:r>
    </w:p>
    <w:p>
      <w:pPr>
        <w:sectPr>
          <w:pgSz w:w="11900" w:h="16838" w:orient="portrait"/>
          <w:cols w:equalWidth="0" w:num="1">
            <w:col w:w="11000"/>
          </w:cols>
          <w:pgMar w:left="440" w:top="270"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documents, which have been filed with the Securities and Exchange Commission (the “SEC”), are incorporated by reference in this registration statement:</w:t>
      </w:r>
    </w:p>
    <w:p>
      <w:pPr>
        <w:spacing w:after="0" w:line="76"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Predecessor Registrant’s Annual Report on </w:t>
      </w:r>
      <w:hyperlink r:id="rId1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September 30, 2021, filed on November 19,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Predecessor Registrant’s Quarterly Report on </w:t>
      </w:r>
      <w:hyperlink r:id="rId20">
        <w:r>
          <w:rPr>
            <w:rFonts w:ascii="Arial" w:cs="Arial" w:eastAsia="Arial" w:hAnsi="Arial"/>
            <w:sz w:val="17"/>
            <w:szCs w:val="17"/>
            <w:u w:val="single" w:color="auto"/>
            <w:color w:val="0000EE"/>
          </w:rPr>
          <w:t>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quarter ended December 31, 2021, filed on February 4, 2022;</w:t>
      </w:r>
    </w:p>
    <w:p>
      <w:pPr>
        <w:spacing w:after="0" w:line="142" w:lineRule="exact"/>
        <w:rPr>
          <w:rFonts w:ascii="Arial" w:cs="Arial" w:eastAsia="Arial" w:hAnsi="Arial"/>
          <w:sz w:val="17"/>
          <w:szCs w:val="17"/>
          <w:color w:val="auto"/>
        </w:rPr>
      </w:pPr>
    </w:p>
    <w:p>
      <w:pPr>
        <w:ind w:left="960" w:right="260" w:hanging="424"/>
        <w:spacing w:after="0" w:line="286" w:lineRule="auto"/>
        <w:tabs>
          <w:tab w:leader="none" w:pos="960" w:val="left"/>
        </w:tabs>
        <w:numPr>
          <w:ilvl w:val="0"/>
          <w:numId w:val="1"/>
        </w:numPr>
        <w:rPr>
          <w:rFonts w:ascii="Arial" w:cs="Arial" w:eastAsia="Arial" w:hAnsi="Arial"/>
          <w:sz w:val="17"/>
          <w:szCs w:val="17"/>
          <w:color w:val="000000"/>
        </w:rPr>
      </w:pPr>
      <w:r>
        <w:rPr>
          <w:rFonts w:ascii="Arial" w:cs="Arial" w:eastAsia="Arial" w:hAnsi="Arial"/>
          <w:sz w:val="17"/>
          <w:szCs w:val="17"/>
          <w:color w:val="auto"/>
        </w:rPr>
        <w:t xml:space="preserve">Predecessor Registrant’s Current Reports on Form 8-K filed on </w:t>
      </w:r>
      <w:hyperlink r:id="rId21">
        <w:r>
          <w:rPr>
            <w:rFonts w:ascii="Arial" w:cs="Arial" w:eastAsia="Arial" w:hAnsi="Arial"/>
            <w:sz w:val="17"/>
            <w:szCs w:val="17"/>
            <w:u w:val="single" w:color="auto"/>
            <w:color w:val="0000EE"/>
          </w:rPr>
          <w:t>October 27,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(only such portions that are filed and not furnished), </w:t>
      </w:r>
      <w:hyperlink r:id="rId22">
        <w:r>
          <w:rPr>
            <w:rFonts w:ascii="Arial" w:cs="Arial" w:eastAsia="Arial" w:hAnsi="Arial"/>
            <w:sz w:val="17"/>
            <w:szCs w:val="17"/>
            <w:u w:val="single" w:color="auto"/>
            <w:color w:val="0000EE"/>
          </w:rPr>
          <w:t>December 17,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23">
        <w:r>
          <w:rPr>
            <w:rFonts w:ascii="Arial" w:cs="Arial" w:eastAsia="Arial" w:hAnsi="Arial"/>
            <w:sz w:val="17"/>
            <w:szCs w:val="17"/>
            <w:u w:val="single" w:color="auto"/>
            <w:color w:val="0000EE"/>
          </w:rPr>
          <w:t>February 4, 2022</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24">
        <w:r>
          <w:rPr>
            <w:rFonts w:ascii="Arial" w:cs="Arial" w:eastAsia="Arial" w:hAnsi="Arial"/>
            <w:sz w:val="17"/>
            <w:szCs w:val="17"/>
            <w:u w:val="single" w:color="auto"/>
            <w:color w:val="0000EE"/>
          </w:rPr>
          <w:t>February 14, 2022</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25">
        <w:r>
          <w:rPr>
            <w:rFonts w:ascii="Arial" w:cs="Arial" w:eastAsia="Arial" w:hAnsi="Arial"/>
            <w:sz w:val="17"/>
            <w:szCs w:val="17"/>
            <w:u w:val="single" w:color="auto"/>
            <w:color w:val="0000EE"/>
          </w:rPr>
          <w:t>February 22, 2022</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26">
        <w:r>
          <w:rPr>
            <w:rFonts w:ascii="Arial" w:cs="Arial" w:eastAsia="Arial" w:hAnsi="Arial"/>
            <w:sz w:val="17"/>
            <w:szCs w:val="17"/>
            <w:u w:val="single" w:color="auto"/>
            <w:color w:val="0000EE"/>
          </w:rPr>
          <w:t>February 24, 2022</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February 28, 2022 (solely the</w:t>
      </w:r>
      <w:r>
        <w:rPr>
          <w:rFonts w:ascii="Arial" w:cs="Arial" w:eastAsia="Arial" w:hAnsi="Arial"/>
          <w:sz w:val="17"/>
          <w:szCs w:val="17"/>
          <w:color w:val="0000EE"/>
        </w:rPr>
        <w:t xml:space="preserve"> </w:t>
      </w:r>
      <w:hyperlink r:id="rId27">
        <w:r>
          <w:rPr>
            <w:rFonts w:ascii="Arial" w:cs="Arial" w:eastAsia="Arial" w:hAnsi="Arial"/>
            <w:sz w:val="17"/>
            <w:szCs w:val="17"/>
            <w:u w:val="single" w:color="auto"/>
            <w:color w:val="0000EE"/>
          </w:rPr>
          <w:t>first</w:t>
        </w:r>
      </w:hyperlink>
      <w:r>
        <w:rPr>
          <w:rFonts w:ascii="Arial" w:cs="Arial" w:eastAsia="Arial" w:hAnsi="Arial"/>
          <w:sz w:val="17"/>
          <w:szCs w:val="17"/>
          <w:color w:val="0000EE"/>
        </w:rPr>
        <w:t xml:space="preserve"> </w:t>
      </w:r>
      <w:r>
        <w:rPr>
          <w:rFonts w:ascii="Arial" w:cs="Arial" w:eastAsia="Arial" w:hAnsi="Arial"/>
          <w:sz w:val="17"/>
          <w:szCs w:val="17"/>
          <w:color w:val="000000"/>
        </w:rPr>
        <w:t xml:space="preserve">and </w:t>
      </w:r>
      <w:hyperlink r:id="rId28">
        <w:r>
          <w:rPr>
            <w:rFonts w:ascii="Arial" w:cs="Arial" w:eastAsia="Arial" w:hAnsi="Arial"/>
            <w:sz w:val="17"/>
            <w:szCs w:val="17"/>
            <w:u w:val="single" w:color="auto"/>
            <w:color w:val="0000EE"/>
          </w:rPr>
          <w:t>third</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 xml:space="preserve">Current Reports on Form 8-K filed on such date), </w:t>
      </w:r>
      <w:hyperlink r:id="rId29">
        <w:r>
          <w:rPr>
            <w:rFonts w:ascii="Arial" w:cs="Arial" w:eastAsia="Arial" w:hAnsi="Arial"/>
            <w:sz w:val="17"/>
            <w:szCs w:val="17"/>
            <w:u w:val="single" w:color="auto"/>
            <w:color w:val="0000EE"/>
          </w:rPr>
          <w:t>March 1, 2022</w:t>
        </w:r>
      </w:hyperlink>
      <w:r>
        <w:rPr>
          <w:rFonts w:ascii="Arial" w:cs="Arial" w:eastAsia="Arial" w:hAnsi="Arial"/>
          <w:sz w:val="17"/>
          <w:szCs w:val="17"/>
          <w:color w:val="000000"/>
        </w:rPr>
        <w:t xml:space="preserve">, </w:t>
      </w:r>
      <w:hyperlink r:id="rId30">
        <w:r>
          <w:rPr>
            <w:rFonts w:ascii="Arial" w:cs="Arial" w:eastAsia="Arial" w:hAnsi="Arial"/>
            <w:sz w:val="17"/>
            <w:szCs w:val="17"/>
            <w:u w:val="single" w:color="auto"/>
            <w:color w:val="0000EE"/>
          </w:rPr>
          <w:t>March 8, 2022</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 xml:space="preserve">and </w:t>
      </w:r>
      <w:hyperlink r:id="rId31">
        <w:r>
          <w:rPr>
            <w:rFonts w:ascii="Arial" w:cs="Arial" w:eastAsia="Arial" w:hAnsi="Arial"/>
            <w:sz w:val="17"/>
            <w:szCs w:val="17"/>
            <w:u w:val="single" w:color="auto"/>
            <w:color w:val="0000EE"/>
          </w:rPr>
          <w:t>March 10, 2022</w:t>
        </w:r>
      </w:hyperlink>
      <w:r>
        <w:rPr>
          <w:rFonts w:ascii="Arial" w:cs="Arial" w:eastAsia="Arial" w:hAnsi="Arial"/>
          <w:sz w:val="17"/>
          <w:szCs w:val="17"/>
          <w:color w:val="000000"/>
        </w:rPr>
        <w:t>;</w:t>
      </w:r>
    </w:p>
    <w:p>
      <w:pPr>
        <w:spacing w:after="0" w:line="70" w:lineRule="exact"/>
        <w:rPr>
          <w:rFonts w:ascii="Arial" w:cs="Arial" w:eastAsia="Arial" w:hAnsi="Arial"/>
          <w:sz w:val="17"/>
          <w:szCs w:val="17"/>
          <w:color w:val="000000"/>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Registrant’s Current Report on Form 8-K filed on </w:t>
      </w:r>
      <w:hyperlink r:id="rId32">
        <w:r>
          <w:rPr>
            <w:rFonts w:ascii="Arial" w:cs="Arial" w:eastAsia="Arial" w:hAnsi="Arial"/>
            <w:sz w:val="18"/>
            <w:szCs w:val="18"/>
            <w:u w:val="single" w:color="auto"/>
            <w:color w:val="0000EE"/>
          </w:rPr>
          <w:t>March 10, 2022</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Registrant’s common stock contained in any registration statement or report filed by Predecessor Registrant under the Exchange Act, including any amendment or report filed for the purpose of updating such description.</w:t>
      </w:r>
    </w:p>
    <w:p>
      <w:pPr>
        <w:spacing w:after="0" w:line="170" w:lineRule="exact"/>
        <w:rPr>
          <w:rFonts w:ascii="Arial" w:cs="Arial" w:eastAsia="Arial" w:hAnsi="Arial"/>
          <w:sz w:val="17"/>
          <w:szCs w:val="17"/>
          <w:color w:val="000000"/>
        </w:rPr>
      </w:pPr>
    </w:p>
    <w:p>
      <w:pPr>
        <w:spacing w:after="0" w:line="272" w:lineRule="auto"/>
        <w:rPr>
          <w:sz w:val="20"/>
          <w:szCs w:val="20"/>
          <w:color w:val="auto"/>
        </w:rPr>
      </w:pPr>
      <w:r>
        <w:rPr>
          <w:rFonts w:ascii="Arial" w:cs="Arial" w:eastAsia="Arial" w:hAnsi="Arial"/>
          <w:sz w:val="17"/>
          <w:szCs w:val="17"/>
          <w:color w:val="auto"/>
        </w:rPr>
        <w:t>All documents filed by Registrant pursuant to Sections 13(a), 13(c), 14 and 15(d) of the Exchange Act subsequent to the date hereof and prior to the filing of a post-effective amendment which indicates that all securities offered hereby have been sold or which deregisters all securities remaining unsold shall be deemed to be incorporated by reference herein and to be a part hereof from the respective dates of filing of such documents. Any statement contained in a document incorporated or deemed to be incorporated by reference herein shall be deemed to be modified or superseded for purposes of this Amendment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Amendment.</w:t>
      </w:r>
    </w:p>
    <w:p>
      <w:pPr>
        <w:spacing w:after="0" w:line="281" w:lineRule="exact"/>
        <w:rPr>
          <w:rFonts w:ascii="Arial" w:cs="Arial" w:eastAsia="Arial" w:hAnsi="Arial"/>
          <w:sz w:val="17"/>
          <w:szCs w:val="17"/>
          <w:color w:val="000000"/>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7"/>
          <w:szCs w:val="17"/>
          <w:color w:val="000000"/>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7"/>
          <w:szCs w:val="17"/>
          <w:color w:val="000000"/>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rFonts w:ascii="Arial" w:cs="Arial" w:eastAsia="Arial" w:hAnsi="Arial"/>
          <w:sz w:val="17"/>
          <w:szCs w:val="17"/>
          <w:color w:val="000000"/>
        </w:rPr>
      </w:pPr>
    </w:p>
    <w:p>
      <w:pPr>
        <w:ind w:right="60"/>
        <w:spacing w:after="0" w:line="277" w:lineRule="auto"/>
        <w:rPr>
          <w:sz w:val="20"/>
          <w:szCs w:val="20"/>
          <w:color w:val="auto"/>
        </w:rPr>
      </w:pPr>
      <w:r>
        <w:rPr>
          <w:rFonts w:ascii="Arial" w:cs="Arial" w:eastAsia="Arial" w:hAnsi="Arial"/>
          <w:sz w:val="18"/>
          <w:szCs w:val="18"/>
          <w:color w:val="auto"/>
        </w:rPr>
        <w:t>Craig L. Rosenthal, Esq., whose legal opinion with respect to the securities registered hereunder is filed as Exhibit 5.1 hereto, is an officer of Registrant and participates in the Plan and other benefit plans.</w:t>
      </w:r>
    </w:p>
    <w:p>
      <w:pPr>
        <w:spacing w:after="0" w:line="274" w:lineRule="exact"/>
        <w:rPr>
          <w:rFonts w:ascii="Arial" w:cs="Arial" w:eastAsia="Arial" w:hAnsi="Arial"/>
          <w:sz w:val="17"/>
          <w:szCs w:val="17"/>
          <w:color w:val="000000"/>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rFonts w:ascii="Arial" w:cs="Arial" w:eastAsia="Arial" w:hAnsi="Arial"/>
          <w:sz w:val="17"/>
          <w:szCs w:val="17"/>
          <w:color w:val="000000"/>
        </w:rPr>
      </w:pPr>
    </w:p>
    <w:p>
      <w:pPr>
        <w:ind w:right="140"/>
        <w:spacing w:after="0" w:line="259" w:lineRule="auto"/>
        <w:rPr>
          <w:sz w:val="20"/>
          <w:szCs w:val="20"/>
          <w:color w:val="auto"/>
        </w:rPr>
      </w:pPr>
      <w:r>
        <w:rPr>
          <w:rFonts w:ascii="Arial" w:cs="Arial" w:eastAsia="Arial" w:hAnsi="Arial"/>
          <w:sz w:val="18"/>
          <w:szCs w:val="18"/>
          <w:color w:val="auto"/>
        </w:rPr>
        <w:t>The following is a general summary of certain aspects of the Delaware General Corporation Law (the “DGCL”) and the Certificate of Incorporation of Registrant. Such summary includes descriptions related to arrangements under which controlling persons, directors and officers of Registrant are indemnified against liability, which they may incur in their capacities as such, and does not purport to be complete. It is qualified in its entirety by reference to the detailed provisions of the DGCL and Registrant’s certificate of incorporation.</w:t>
      </w:r>
    </w:p>
    <w:p>
      <w:pPr>
        <w:spacing w:after="0" w:line="187" w:lineRule="exact"/>
        <w:rPr>
          <w:rFonts w:ascii="Arial" w:cs="Arial" w:eastAsia="Arial" w:hAnsi="Arial"/>
          <w:sz w:val="17"/>
          <w:szCs w:val="17"/>
          <w:color w:val="000000"/>
        </w:rPr>
      </w:pPr>
    </w:p>
    <w:p>
      <w:pPr>
        <w:spacing w:after="0" w:line="287" w:lineRule="auto"/>
        <w:rPr>
          <w:sz w:val="20"/>
          <w:szCs w:val="20"/>
          <w:color w:val="auto"/>
        </w:rPr>
      </w:pPr>
      <w:r>
        <w:rPr>
          <w:rFonts w:ascii="Arial" w:cs="Arial" w:eastAsia="Arial" w:hAnsi="Arial"/>
          <w:sz w:val="16"/>
          <w:szCs w:val="16"/>
          <w:i w:val="1"/>
          <w:iCs w:val="1"/>
          <w:color w:val="auto"/>
        </w:rPr>
        <w:t>DGCL</w:t>
      </w:r>
      <w:r>
        <w:rPr>
          <w:rFonts w:ascii="Arial" w:cs="Arial" w:eastAsia="Arial" w:hAnsi="Arial"/>
          <w:sz w:val="16"/>
          <w:szCs w:val="16"/>
          <w:color w:val="auto"/>
        </w:rPr>
        <w:t>. Registrant is subject to the provisions of the DGCL. Section 145(a) of the DGCL provides that a corporation may indemnify any person who</w:t>
      </w:r>
      <w:r>
        <w:rPr>
          <w:rFonts w:ascii="Arial" w:cs="Arial" w:eastAsia="Arial" w:hAnsi="Arial"/>
          <w:sz w:val="16"/>
          <w:szCs w:val="16"/>
          <w:i w:val="1"/>
          <w:iCs w:val="1"/>
          <w:color w:val="auto"/>
        </w:rPr>
        <w:t xml:space="preserve"> </w:t>
      </w:r>
      <w:r>
        <w:rPr>
          <w:rFonts w:ascii="Arial" w:cs="Arial" w:eastAsia="Arial" w:hAnsi="Arial"/>
          <w:sz w:val="16"/>
          <w:szCs w:val="16"/>
          <w:color w:val="auto"/>
        </w:rPr>
        <w:t>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ectPr>
          <w:pgSz w:w="11900" w:h="16838" w:orient="portrait"/>
          <w:cols w:equalWidth="0" w:num="1">
            <w:col w:w="10980"/>
          </w:cols>
          <w:pgMar w:left="440" w:top="270" w:right="479" w:bottom="1440" w:gutter="0" w:footer="0" w:header="0"/>
        </w:sectPr>
      </w:pPr>
    </w:p>
    <w:bookmarkStart w:id="3" w:name="page4"/>
    <w:bookmarkEnd w:id="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145(b) of the DGCL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the person is fairly and reasonably entitled to indemnity for such expenses as the Delaware Court of Chancery or such other court shall deem proper.</w:t>
      </w:r>
    </w:p>
    <w:p>
      <w:pPr>
        <w:spacing w:after="0" w:line="1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Section 145(c) of the DGCL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w:t>
      </w:r>
    </w:p>
    <w:p>
      <w:pPr>
        <w:spacing w:after="0" w:line="18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Section 145(d) of the DGCL states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Section 145(f) of the DGCL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87"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Section 145.</w:t>
      </w:r>
    </w:p>
    <w:p>
      <w:pPr>
        <w:spacing w:after="0" w:line="18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Section 145(j) of the DGCL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spacing w:after="0" w:line="18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Certificate of Incorporation</w:t>
      </w:r>
      <w:r>
        <w:rPr>
          <w:rFonts w:ascii="Arial" w:cs="Arial" w:eastAsia="Arial" w:hAnsi="Arial"/>
          <w:sz w:val="16"/>
          <w:szCs w:val="16"/>
          <w:color w:val="auto"/>
        </w:rPr>
        <w:t>. Registrant’s certificate of incorporation provides for the indemnification of each person (other than a party plaintiff suing</w:t>
      </w:r>
      <w:r>
        <w:rPr>
          <w:rFonts w:ascii="Arial" w:cs="Arial" w:eastAsia="Arial" w:hAnsi="Arial"/>
          <w:sz w:val="16"/>
          <w:szCs w:val="16"/>
          <w:i w:val="1"/>
          <w:iCs w:val="1"/>
          <w:color w:val="auto"/>
        </w:rPr>
        <w:t xml:space="preserve"> </w:t>
      </w:r>
      <w:r>
        <w:rPr>
          <w:rFonts w:ascii="Arial" w:cs="Arial" w:eastAsia="Arial" w:hAnsi="Arial"/>
          <w:sz w:val="16"/>
          <w:szCs w:val="16"/>
          <w:color w:val="auto"/>
        </w:rPr>
        <w:t>on his or her behalf or in the right of Registrant) who at any time is serving or has served as a director or officer of Registrant against any claim, liability or expense incurred as a result of such service, any other service on behalf of Registrant or any service at the request of Registrant as a director, officer, manager, employee, member or agent of another corporation, partnership, joint venture, trust or other enterprise (whether incorporated or unincorporated, for-profit or not-for-profit), to the maximum extent permitted by law. Without limiting the generality of the foregoing, Registrant shall indemnify any such person who was or is a party (other than a party plaintiff suing on his or her behalf or in the right of Registrant), or is threatened to be made a party, to any threatened, pending or completed action, suit or proceeding, whether civil, criminal, administrative or investigative (including, but not limited to, an action by or in the right of Registrant) by reason of such service, against expenses (including, without limitation, attorneys’ fees), judgments, fines and amounts paid in settlement actually and reasonably incurred by him or her in connection with such action, suit or proceeding.</w:t>
      </w:r>
    </w:p>
    <w:p>
      <w:pPr>
        <w:spacing w:after="0" w:line="16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Indemnification Agreements</w:t>
      </w:r>
      <w:r>
        <w:rPr>
          <w:rFonts w:ascii="Arial" w:cs="Arial" w:eastAsia="Arial" w:hAnsi="Arial"/>
          <w:sz w:val="16"/>
          <w:szCs w:val="16"/>
          <w:color w:val="auto"/>
        </w:rPr>
        <w:t>. Registrant has entered into indemnification agreements with each of its directors and executive officers, which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indemnity to the fullest extent permitted by applicable law against liabilities and expenses incurred in connection with the defense or disposition of certain actions, suits or proceedings in which such person may be involved or with which such person was, is or is threatened to be made, a party by reason of the service of such person as a director or an officer of Registrant or certain of its subsidiaries, as applicable, or in certain other representative or fiduciary capacities on behalf thereof and which establish processes and procedures for indemnification claims.</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Other Insurance</w:t>
      </w:r>
      <w:r>
        <w:rPr>
          <w:rFonts w:ascii="Arial" w:cs="Arial" w:eastAsia="Arial" w:hAnsi="Arial"/>
          <w:sz w:val="18"/>
          <w:szCs w:val="18"/>
          <w:color w:val="auto"/>
        </w:rPr>
        <w:t>. Registrant maintains directors’ and officers’ liability insurance, which covers directors and officers against certain claims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out of the performance of their duties.</w:t>
      </w:r>
    </w:p>
    <w:p>
      <w:pPr>
        <w:sectPr>
          <w:pgSz w:w="11900" w:h="16838" w:orient="portrait"/>
          <w:cols w:equalWidth="0" w:num="1">
            <w:col w:w="11000"/>
          </w:cols>
          <w:pgMar w:left="440" w:top="274" w:right="4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 Exemption from Registration Claimed.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Exhibits.</w:t>
      </w:r>
    </w:p>
    <w:p>
      <w:pPr>
        <w:spacing w:after="0" w:line="256" w:lineRule="exact"/>
        <w:rPr>
          <w:sz w:val="20"/>
          <w:szCs w:val="20"/>
          <w:color w:val="auto"/>
        </w:rPr>
      </w:pPr>
    </w:p>
    <w:p>
      <w:pPr>
        <w:ind w:left="724" w:hanging="714"/>
        <w:spacing w:after="0" w:line="277" w:lineRule="auto"/>
        <w:tabs>
          <w:tab w:leader="none" w:pos="7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of BellRing Brands, Inc. (incorporated by reference to Exhibit 3.1 of the Current Report on Form 8-K of BellRing Brands, Inc. filed with the SEC on March 10, 2022).</w:t>
      </w:r>
    </w:p>
    <w:p>
      <w:pPr>
        <w:spacing w:after="0" w:line="62" w:lineRule="exact"/>
        <w:rPr>
          <w:sz w:val="20"/>
          <w:szCs w:val="20"/>
          <w:color w:val="auto"/>
        </w:rPr>
      </w:pPr>
    </w:p>
    <w:p>
      <w:pPr>
        <w:ind w:left="724" w:right="480" w:hanging="714"/>
        <w:spacing w:after="0" w:line="277" w:lineRule="auto"/>
        <w:tabs>
          <w:tab w:leader="none" w:pos="70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BellRing Brands, Inc. (incorporated by reference to Exhibit 3.2 of the Current Report on Form 8-K of BellRing Brands, Inc. filed with the SEC on March 10, 2022).</w:t>
      </w:r>
    </w:p>
    <w:p>
      <w:pPr>
        <w:spacing w:after="0" w:line="62" w:lineRule="exact"/>
        <w:rPr>
          <w:sz w:val="20"/>
          <w:szCs w:val="20"/>
          <w:color w:val="auto"/>
        </w:rPr>
      </w:pPr>
    </w:p>
    <w:p>
      <w:pPr>
        <w:ind w:left="4"/>
        <w:spacing w:after="0"/>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7">
        <w:r>
          <w:rPr>
            <w:rFonts w:ascii="Arial" w:cs="Arial" w:eastAsia="Arial" w:hAnsi="Arial"/>
            <w:sz w:val="16"/>
            <w:szCs w:val="16"/>
            <w:u w:val="single" w:color="auto"/>
            <w:color w:val="0000EE"/>
          </w:rPr>
          <w:t>Opinion of Craig L. Rosenthal, Esq., Senior Vice President and General Counsel, Secretary of BellRing Brands, Inc.</w:t>
        </w:r>
      </w:hyperlink>
    </w:p>
    <w:p>
      <w:pPr>
        <w:spacing w:after="0" w:line="117" w:lineRule="exact"/>
        <w:rPr>
          <w:sz w:val="20"/>
          <w:szCs w:val="20"/>
          <w:color w:val="auto"/>
        </w:rPr>
      </w:pPr>
    </w:p>
    <w:p>
      <w:pPr>
        <w:ind w:left="4"/>
        <w:spacing w:after="0"/>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9">
        <w:r>
          <w:rPr>
            <w:rFonts w:ascii="Arial" w:cs="Arial" w:eastAsia="Arial" w:hAnsi="Arial"/>
            <w:sz w:val="16"/>
            <w:szCs w:val="16"/>
            <w:u w:val="single" w:color="auto"/>
            <w:color w:val="0000EE"/>
          </w:rPr>
          <w:t>Consent of PricewaterhouseCoopers LLP, independent registered public accounting firm.</w:t>
        </w:r>
      </w:hyperlink>
    </w:p>
    <w:p>
      <w:pPr>
        <w:spacing w:after="0" w:line="117" w:lineRule="exact"/>
        <w:rPr>
          <w:sz w:val="20"/>
          <w:szCs w:val="20"/>
          <w:color w:val="auto"/>
        </w:rPr>
      </w:pPr>
    </w:p>
    <w:p>
      <w:pPr>
        <w:ind w:left="4"/>
        <w:spacing w:after="0"/>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7">
        <w:r>
          <w:rPr>
            <w:rFonts w:ascii="Arial" w:cs="Arial" w:eastAsia="Arial" w:hAnsi="Arial"/>
            <w:sz w:val="16"/>
            <w:szCs w:val="16"/>
            <w:u w:val="single" w:color="auto"/>
            <w:color w:val="0000EE"/>
          </w:rPr>
          <w:t>Consent of Craig L. Rosenthal, Esq., Senior Vice President and General Counsel, Secretary of BellRing Brands, Inc. (included in Exhibit 5.1).</w:t>
        </w:r>
      </w:hyperlink>
    </w:p>
    <w:p>
      <w:pPr>
        <w:spacing w:after="0" w:line="117" w:lineRule="exact"/>
        <w:rPr>
          <w:sz w:val="20"/>
          <w:szCs w:val="20"/>
          <w:color w:val="auto"/>
        </w:rPr>
      </w:pPr>
    </w:p>
    <w:p>
      <w:pPr>
        <w:ind w:left="4"/>
        <w:spacing w:after="0"/>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r:id="rId35">
        <w:r>
          <w:rPr>
            <w:rFonts w:ascii="Arial" w:cs="Arial" w:eastAsia="Arial" w:hAnsi="Arial"/>
            <w:sz w:val="16"/>
            <w:szCs w:val="16"/>
            <w:u w:val="single" w:color="auto"/>
            <w:color w:val="0000EE"/>
          </w:rPr>
          <w:t>Power of Attorney</w:t>
        </w:r>
      </w:hyperlink>
    </w:p>
    <w:p>
      <w:pPr>
        <w:spacing w:after="0" w:line="117" w:lineRule="exact"/>
        <w:rPr>
          <w:sz w:val="20"/>
          <w:szCs w:val="20"/>
          <w:color w:val="auto"/>
        </w:rPr>
      </w:pPr>
    </w:p>
    <w:p>
      <w:pPr>
        <w:ind w:left="4"/>
        <w:spacing w:after="0"/>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24.2*</w:t>
      </w:r>
      <w:r>
        <w:rPr>
          <w:sz w:val="20"/>
          <w:szCs w:val="20"/>
          <w:color w:val="auto"/>
        </w:rPr>
        <w:tab/>
      </w:r>
      <w:hyperlink w:anchor="page10">
        <w:r>
          <w:rPr>
            <w:rFonts w:ascii="Arial" w:cs="Arial" w:eastAsia="Arial" w:hAnsi="Arial"/>
            <w:sz w:val="16"/>
            <w:szCs w:val="16"/>
            <w:u w:val="single" w:color="auto"/>
            <w:color w:val="0000EE"/>
          </w:rPr>
          <w:t>Power of Attorney of Chonda J. Nwamu.</w:t>
        </w:r>
      </w:hyperlink>
    </w:p>
    <w:p>
      <w:pPr>
        <w:spacing w:after="0" w:line="252"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sz w:val="20"/>
          <w:szCs w:val="20"/>
          <w:color w:val="auto"/>
        </w:rPr>
      </w:pPr>
    </w:p>
    <w:p>
      <w:pPr>
        <w:ind w:left="264" w:hanging="264"/>
        <w:spacing w:after="0"/>
        <w:tabs>
          <w:tab w:leader="none" w:pos="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117" w:lineRule="exact"/>
        <w:rPr>
          <w:sz w:val="20"/>
          <w:szCs w:val="20"/>
          <w:color w:val="auto"/>
        </w:rPr>
      </w:pPr>
    </w:p>
    <w:p>
      <w:pPr>
        <w:ind w:left="4" w:right="80" w:hanging="4"/>
        <w:spacing w:after="0" w:line="293" w:lineRule="auto"/>
        <w:tabs>
          <w:tab w:leader="none" w:pos="269"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56" w:lineRule="exact"/>
        <w:rPr>
          <w:rFonts w:ascii="Arial" w:cs="Arial" w:eastAsia="Arial" w:hAnsi="Arial"/>
          <w:sz w:val="16"/>
          <w:szCs w:val="16"/>
          <w:color w:val="auto"/>
        </w:rPr>
      </w:pPr>
    </w:p>
    <w:p>
      <w:pPr>
        <w:ind w:left="4" w:right="320" w:hanging="4"/>
        <w:spacing w:after="0" w:line="277"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4"/>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w:t>
      </w:r>
      <w:r>
        <w:rPr>
          <w:rFonts w:ascii="Arial" w:cs="Arial" w:eastAsia="Arial" w:hAnsi="Arial"/>
          <w:sz w:val="18"/>
          <w:szCs w:val="18"/>
          <w:color w:val="auto"/>
        </w:rPr>
        <w:t>that paragraphs (a)(1)(i) and (a)(1)(ii) above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SEC by the Registrant pursuant to Section 13 or Section 15(d) of the Securities Exchange Act of 1934 that are incorporated by reference in the registration statement.</w:t>
      </w:r>
    </w:p>
    <w:p>
      <w:pPr>
        <w:spacing w:after="0" w:line="76" w:lineRule="exact"/>
        <w:rPr>
          <w:sz w:val="20"/>
          <w:szCs w:val="20"/>
          <w:color w:val="auto"/>
        </w:rPr>
      </w:pPr>
    </w:p>
    <w:p>
      <w:pPr>
        <w:ind w:left="4" w:right="140" w:hanging="4"/>
        <w:spacing w:after="0" w:line="263"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4" w:hanging="4"/>
        <w:spacing w:after="0" w:line="277"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sz w:val="20"/>
          <w:szCs w:val="20"/>
          <w:color w:val="auto"/>
        </w:rPr>
      </w:pPr>
    </w:p>
    <w:p>
      <w:pPr>
        <w:ind w:left="4" w:hanging="4"/>
        <w:spacing w:after="0" w:line="259"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Arial" w:cs="Arial" w:eastAsia="Arial" w:hAnsi="Arial"/>
          <w:sz w:val="18"/>
          <w:szCs w:val="18"/>
          <w:color w:val="auto"/>
        </w:rPr>
      </w:pPr>
    </w:p>
    <w:p>
      <w:pPr>
        <w:ind w:left="244" w:hanging="244"/>
        <w:spacing w:after="0"/>
        <w:tabs>
          <w:tab w:leader="none" w:pos="244"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w:t>
      </w:r>
    </w:p>
    <w:p>
      <w:pPr>
        <w:spacing w:after="0" w:line="34" w:lineRule="exact"/>
        <w:rPr>
          <w:rFonts w:ascii="Arial" w:cs="Arial" w:eastAsia="Arial" w:hAnsi="Arial"/>
          <w:sz w:val="17"/>
          <w:szCs w:val="17"/>
          <w:color w:val="auto"/>
        </w:rPr>
      </w:pPr>
    </w:p>
    <w:p>
      <w:pPr>
        <w:ind w:left="4" w:right="120"/>
        <w:spacing w:after="0" w:line="252" w:lineRule="auto"/>
        <w:rPr>
          <w:rFonts w:ascii="Arial" w:cs="Arial" w:eastAsia="Arial" w:hAnsi="Arial"/>
          <w:sz w:val="17"/>
          <w:szCs w:val="17"/>
          <w:color w:val="auto"/>
        </w:rPr>
      </w:pPr>
      <w:r>
        <w:rPr>
          <w:rFonts w:ascii="Arial" w:cs="Arial" w:eastAsia="Arial" w:hAnsi="Arial"/>
          <w:sz w:val="18"/>
          <w:szCs w:val="18"/>
          <w:color w:val="auto"/>
        </w:rPr>
        <w:t>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0" w:right="45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Post-Effective Amendment No. 1 to this registration statement to be signed on its behalf by the undersigned, thereunto duly authorized, in the City of St. Louis, State of Missouri, on the 10</w:t>
      </w:r>
      <w:r>
        <w:rPr>
          <w:rFonts w:ascii="Arial" w:cs="Arial" w:eastAsia="Arial" w:hAnsi="Arial"/>
          <w:sz w:val="14"/>
          <w:szCs w:val="14"/>
          <w:color w:val="auto"/>
        </w:rPr>
        <w:t>th</w:t>
      </w:r>
      <w:r>
        <w:rPr>
          <w:rFonts w:ascii="Arial" w:cs="Arial" w:eastAsia="Arial" w:hAnsi="Arial"/>
          <w:sz w:val="17"/>
          <w:szCs w:val="17"/>
          <w:color w:val="auto"/>
        </w:rPr>
        <w:t xml:space="preserve"> day of March 2022.</w:t>
      </w:r>
    </w:p>
    <w:p>
      <w:pPr>
        <w:spacing w:after="0" w:line="18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BELLRING BRANDS,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Craig L. Rosenthal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Senior Vice President, General Counsel and Secretary</w:t>
      </w:r>
    </w:p>
    <w:p>
      <w:pPr>
        <w:spacing w:after="0" w:line="23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Post-Effective Amendment No. 1 to this registration statement has been signed by the following persons in the capacities indicated on the 10</w:t>
      </w:r>
      <w:r>
        <w:rPr>
          <w:rFonts w:ascii="Arial" w:cs="Arial" w:eastAsia="Arial" w:hAnsi="Arial"/>
          <w:sz w:val="15"/>
          <w:szCs w:val="15"/>
          <w:color w:val="auto"/>
        </w:rPr>
        <w:t>th</w:t>
      </w:r>
      <w:r>
        <w:rPr>
          <w:rFonts w:ascii="Arial" w:cs="Arial" w:eastAsia="Arial" w:hAnsi="Arial"/>
          <w:sz w:val="18"/>
          <w:szCs w:val="18"/>
          <w:color w:val="auto"/>
        </w:rPr>
        <w:t xml:space="preserve"> day of March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Signature</w:t>
            </w: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Title</w:t>
            </w:r>
          </w:p>
        </w:tc>
        <w:tc>
          <w:tcPr>
            <w:tcW w:w="2260" w:type="dxa"/>
            <w:vAlign w:val="bottom"/>
          </w:tcPr>
          <w:p>
            <w:pPr>
              <w:spacing w:after="0"/>
              <w:rPr>
                <w:sz w:val="14"/>
                <w:szCs w:val="14"/>
                <w:color w:val="auto"/>
              </w:rPr>
            </w:pPr>
          </w:p>
        </w:tc>
      </w:tr>
      <w:tr>
        <w:trPr>
          <w:trHeight w:val="425"/>
        </w:trPr>
        <w:tc>
          <w:tcPr>
            <w:tcW w:w="2120" w:type="dxa"/>
            <w:vAlign w:val="bottom"/>
            <w:tcBorders>
              <w:bottom w:val="single" w:sz="8" w:color="auto"/>
            </w:tcBorders>
            <w:gridSpan w:val="3"/>
          </w:tcPr>
          <w:p>
            <w:pPr>
              <w:ind w:left="17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6200" w:type="dxa"/>
            <w:vAlign w:val="bottom"/>
            <w:gridSpan w:val="4"/>
          </w:tcPr>
          <w:p>
            <w:pPr>
              <w:ind w:left="220"/>
              <w:spacing w:after="0"/>
              <w:rPr>
                <w:sz w:val="20"/>
                <w:szCs w:val="20"/>
                <w:color w:val="auto"/>
              </w:rPr>
            </w:pPr>
            <w:r>
              <w:rPr>
                <w:rFonts w:ascii="Arial" w:cs="Arial" w:eastAsia="Arial" w:hAnsi="Arial"/>
                <w:sz w:val="18"/>
                <w:szCs w:val="18"/>
                <w:color w:val="auto"/>
              </w:rPr>
              <w:t>Executive Chairman (Co-Principal Executive Officer and Director)</w:t>
            </w:r>
          </w:p>
        </w:tc>
      </w:tr>
      <w:tr>
        <w:trPr>
          <w:trHeight w:val="224"/>
        </w:trPr>
        <w:tc>
          <w:tcPr>
            <w:tcW w:w="2120" w:type="dxa"/>
            <w:vAlign w:val="bottom"/>
            <w:gridSpan w:val="3"/>
          </w:tcPr>
          <w:p>
            <w:pPr>
              <w:spacing w:after="0"/>
              <w:rPr>
                <w:sz w:val="20"/>
                <w:szCs w:val="20"/>
                <w:color w:val="auto"/>
              </w:rPr>
            </w:pPr>
            <w:r>
              <w:rPr>
                <w:rFonts w:ascii="Arial" w:cs="Arial" w:eastAsia="Arial" w:hAnsi="Arial"/>
                <w:sz w:val="18"/>
                <w:szCs w:val="18"/>
                <w:color w:val="auto"/>
              </w:rPr>
              <w:t>Robert V. Vitale</w:t>
            </w: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ind w:left="17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6200" w:type="dxa"/>
            <w:vAlign w:val="bottom"/>
            <w:gridSpan w:val="4"/>
          </w:tcPr>
          <w:p>
            <w:pPr>
              <w:ind w:left="220"/>
              <w:spacing w:after="0"/>
              <w:rPr>
                <w:sz w:val="20"/>
                <w:szCs w:val="20"/>
                <w:color w:val="auto"/>
              </w:rPr>
            </w:pPr>
            <w:r>
              <w:rPr>
                <w:rFonts w:ascii="Arial" w:cs="Arial" w:eastAsia="Arial" w:hAnsi="Arial"/>
                <w:sz w:val="18"/>
                <w:szCs w:val="18"/>
                <w:color w:val="auto"/>
                <w:w w:val="94"/>
              </w:rPr>
              <w:t>President, Chief Executive Officer and Director (Co-Principal Executive Officer)</w:t>
            </w:r>
          </w:p>
        </w:tc>
      </w:tr>
      <w:tr>
        <w:trPr>
          <w:trHeight w:val="224"/>
        </w:trPr>
        <w:tc>
          <w:tcPr>
            <w:tcW w:w="2120" w:type="dxa"/>
            <w:vAlign w:val="bottom"/>
            <w:gridSpan w:val="3"/>
          </w:tcPr>
          <w:p>
            <w:pPr>
              <w:spacing w:after="0"/>
              <w:rPr>
                <w:sz w:val="20"/>
                <w:szCs w:val="20"/>
                <w:color w:val="auto"/>
              </w:rPr>
            </w:pPr>
            <w:r>
              <w:rPr>
                <w:rFonts w:ascii="Arial" w:cs="Arial" w:eastAsia="Arial" w:hAnsi="Arial"/>
                <w:sz w:val="18"/>
                <w:szCs w:val="18"/>
                <w:color w:val="auto"/>
              </w:rPr>
              <w:t>Darcy Horn Davenport</w:t>
            </w: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ind w:left="17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6200" w:type="dxa"/>
            <w:vAlign w:val="bottom"/>
            <w:gridSpan w:val="4"/>
          </w:tcPr>
          <w:p>
            <w:pPr>
              <w:ind w:left="220"/>
              <w:spacing w:after="0"/>
              <w:rPr>
                <w:sz w:val="20"/>
                <w:szCs w:val="20"/>
                <w:color w:val="auto"/>
              </w:rPr>
            </w:pPr>
            <w:r>
              <w:rPr>
                <w:rFonts w:ascii="Arial" w:cs="Arial" w:eastAsia="Arial" w:hAnsi="Arial"/>
                <w:sz w:val="18"/>
                <w:szCs w:val="18"/>
                <w:color w:val="auto"/>
                <w:w w:val="92"/>
              </w:rPr>
              <w:t>Chief Financial Officer and Treasurer (Principal Financial and Accounting Officer)</w:t>
            </w:r>
          </w:p>
        </w:tc>
      </w:tr>
      <w:tr>
        <w:trPr>
          <w:trHeight w:val="224"/>
        </w:trPr>
        <w:tc>
          <w:tcPr>
            <w:tcW w:w="2120" w:type="dxa"/>
            <w:vAlign w:val="bottom"/>
            <w:gridSpan w:val="3"/>
          </w:tcPr>
          <w:p>
            <w:pPr>
              <w:spacing w:after="0"/>
              <w:rPr>
                <w:sz w:val="20"/>
                <w:szCs w:val="20"/>
                <w:color w:val="auto"/>
              </w:rPr>
            </w:pPr>
            <w:r>
              <w:rPr>
                <w:rFonts w:ascii="Arial" w:cs="Arial" w:eastAsia="Arial" w:hAnsi="Arial"/>
                <w:sz w:val="18"/>
                <w:szCs w:val="18"/>
                <w:color w:val="auto"/>
              </w:rPr>
              <w:t>Paul A. Rode</w:t>
            </w: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ind w:left="17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6200" w:type="dxa"/>
            <w:vAlign w:val="bottom"/>
            <w:gridSpan w:val="4"/>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120" w:type="dxa"/>
            <w:vAlign w:val="bottom"/>
            <w:gridSpan w:val="3"/>
          </w:tcPr>
          <w:p>
            <w:pPr>
              <w:spacing w:after="0"/>
              <w:rPr>
                <w:sz w:val="20"/>
                <w:szCs w:val="20"/>
                <w:color w:val="auto"/>
              </w:rPr>
            </w:pPr>
            <w:r>
              <w:rPr>
                <w:rFonts w:ascii="Arial" w:cs="Arial" w:eastAsia="Arial" w:hAnsi="Arial"/>
                <w:sz w:val="18"/>
                <w:szCs w:val="18"/>
                <w:color w:val="auto"/>
              </w:rPr>
              <w:t>Thomas P. Erickson</w:t>
            </w: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ind w:left="17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6200" w:type="dxa"/>
            <w:vAlign w:val="bottom"/>
            <w:gridSpan w:val="4"/>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120" w:type="dxa"/>
            <w:vAlign w:val="bottom"/>
            <w:gridSpan w:val="3"/>
          </w:tcPr>
          <w:p>
            <w:pPr>
              <w:spacing w:after="0"/>
              <w:rPr>
                <w:sz w:val="20"/>
                <w:szCs w:val="20"/>
                <w:color w:val="auto"/>
              </w:rPr>
            </w:pPr>
            <w:r>
              <w:rPr>
                <w:rFonts w:ascii="Arial" w:cs="Arial" w:eastAsia="Arial" w:hAnsi="Arial"/>
                <w:sz w:val="18"/>
                <w:szCs w:val="18"/>
                <w:color w:val="auto"/>
                <w:w w:val="93"/>
              </w:rPr>
              <w:t>Jennifer Kuperman Johnson</w:t>
            </w: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ind w:left="17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6200" w:type="dxa"/>
            <w:vAlign w:val="bottom"/>
            <w:gridSpan w:val="4"/>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120" w:type="dxa"/>
            <w:vAlign w:val="bottom"/>
            <w:gridSpan w:val="3"/>
          </w:tcPr>
          <w:p>
            <w:pPr>
              <w:spacing w:after="0"/>
              <w:rPr>
                <w:sz w:val="20"/>
                <w:szCs w:val="20"/>
                <w:color w:val="auto"/>
              </w:rPr>
            </w:pPr>
            <w:r>
              <w:rPr>
                <w:rFonts w:ascii="Arial" w:cs="Arial" w:eastAsia="Arial" w:hAnsi="Arial"/>
                <w:sz w:val="18"/>
                <w:szCs w:val="18"/>
                <w:color w:val="auto"/>
              </w:rPr>
              <w:t>Elliot H. Stein, Jr.</w:t>
            </w: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ind w:left="17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6200" w:type="dxa"/>
            <w:vAlign w:val="bottom"/>
            <w:gridSpan w:val="4"/>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2120" w:type="dxa"/>
            <w:vAlign w:val="bottom"/>
            <w:gridSpan w:val="3"/>
          </w:tcPr>
          <w:p>
            <w:pPr>
              <w:spacing w:after="0"/>
              <w:rPr>
                <w:sz w:val="20"/>
                <w:szCs w:val="20"/>
                <w:color w:val="auto"/>
              </w:rPr>
            </w:pPr>
            <w:r>
              <w:rPr>
                <w:rFonts w:ascii="Arial" w:cs="Arial" w:eastAsia="Arial" w:hAnsi="Arial"/>
                <w:sz w:val="18"/>
                <w:szCs w:val="18"/>
                <w:color w:val="auto"/>
              </w:rPr>
              <w:t>Chonda J. Nwamu</w:t>
            </w: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58"/>
        </w:trPr>
        <w:tc>
          <w:tcPr>
            <w:tcW w:w="2120" w:type="dxa"/>
            <w:vAlign w:val="bottom"/>
            <w:gridSpan w:val="3"/>
          </w:tcPr>
          <w:p>
            <w:pPr>
              <w:spacing w:after="0"/>
              <w:rPr>
                <w:sz w:val="20"/>
                <w:szCs w:val="20"/>
                <w:color w:val="auto"/>
              </w:rPr>
            </w:pPr>
            <w:r>
              <w:rPr>
                <w:rFonts w:ascii="Arial" w:cs="Arial" w:eastAsia="Arial" w:hAnsi="Arial"/>
                <w:sz w:val="18"/>
                <w:szCs w:val="18"/>
                <w:color w:val="auto"/>
                <w:w w:val="97"/>
              </w:rPr>
              <w:t>*By:  /s/ Craig L. Rosenthal</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4"/>
        </w:trPr>
        <w:tc>
          <w:tcPr>
            <w:tcW w:w="480" w:type="dxa"/>
            <w:vAlign w:val="bottom"/>
          </w:tcPr>
          <w:p>
            <w:pPr>
              <w:spacing w:after="0"/>
              <w:rPr>
                <w:sz w:val="19"/>
                <w:szCs w:val="19"/>
                <w:color w:val="auto"/>
              </w:rPr>
            </w:pPr>
          </w:p>
        </w:tc>
        <w:tc>
          <w:tcPr>
            <w:tcW w:w="1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Craig L. Rosenthal</w:t>
            </w:r>
          </w:p>
        </w:tc>
        <w:tc>
          <w:tcPr>
            <w:tcW w:w="15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bl>
    <w:p>
      <w:pPr>
        <w:sectPr>
          <w:pgSz w:w="11900" w:h="16838" w:orient="portrait"/>
          <w:cols w:equalWidth="0" w:num="1">
            <w:col w:w="10920"/>
          </w:cols>
          <w:pgMar w:left="440" w:top="270" w:right="5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 63144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 am General Counsel of BellRing Brands, Inc. (formerly known as BellRing Distribution, LLC), a Delaware corporation (the “Company”). This letter is being delivered in connection with the Post-Effective Amendment No. 1 (the “Post-Effective Amendment”) to the Registration Statement on Form S-8 (File No. 333-234290) (the “Registration Statement”), under the Securities Act of 1933, as amended (the “Securities Act”), originally filed by BellRing Intermediate Holdings, Inc. (formerly known as BellRing Brands, Inc.), a Delaware corporation (the “Predecessor Registrant”), relating to the registration by the Predecessor Registrant of shares of Class A common stock, par value $0.01 per share, of the Predecessor Registrant, issuable pursuant to the BellRing Brands, Inc. 2019 Long-Term Incentive Plan (the “Plan”).</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became the successor to the Predecessor Registrant on March 10, 2022 for purposes of Rule 414 under the Securities Act as a result of the transactions contemplated by that certain transaction agreement and plan of merger, dated as of October 26, 2021 (as amended, restated, supplemented or otherwise modified from time to time, including by that certain amendment no. 1 to the transaction agreement and plan of merger, dated as of February 28, 2022, the “transaction agreement”), by and among Predecessor Registrant, Post Holdings, Inc., the Company and BellRing Merger Sub Corporation (“Merger Sub”). Pursuant to the transaction agreement, among other things, on March 10, 2022, Merger Sub merged with and into Predecessor Registrant (the “merger”), with Predecessor Registrant as the surviving corporation and a wholly-owned subsidiary of the Company. In connection with the merger, the Company assumed and adopted the Plan and, as a result, shares of the Company’s common stock, par value $0.01 per share (“Company Common Stock”), are issuable pursuant thereto.</w:t>
      </w:r>
    </w:p>
    <w:p>
      <w:pPr>
        <w:spacing w:after="0" w:line="17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Registration Statement, as amended by the Post-Effective Amendment, relates to the offering and sale by the Company of certain shares of Company Common Stock.</w:t>
      </w:r>
    </w:p>
    <w:p>
      <w:pPr>
        <w:spacing w:after="0" w:line="17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 have examined the Registration Statement, the Post-Effective Amendment and the Plan. I also have examined the originals or duplicates or certified or conformed copies of such records, agreements, documents and other instruments and have made such other investigations as I have deemed relevant and necessary in connection with the opinions expressed herein. In rendering the opinions below, I have assumed the genuineness of all signatures, the legal capacity of natural persons, the authenticity of all documents submitted to me as originals, the conformity to the original documents of all documents submitted to me as duplicates or certified or conformed copies and the authenticity of the originals of such latter documents.</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Based upon the foregoing, and subject to the qualifications and limitations stated herein, I am of the opinion that the shares of Company Common Stock have been duly authorized for issuance under the Plan and, upon their issuance and delivery in accordance with the Plan, will be validly issued, fully paid and non-assessable.</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 do not express any opinion herein concerning any law other than the laws of the State of Delaware and the federal law of the United States. I am not admitted to practice in the State of Delaware.</w:t>
      </w:r>
    </w:p>
    <w:p>
      <w:pPr>
        <w:sectPr>
          <w:pgSz w:w="11900" w:h="16838" w:orient="portrait"/>
          <w:cols w:equalWidth="0" w:num="1">
            <w:col w:w="11020"/>
          </w:cols>
          <w:pgMar w:left="440" w:top="121" w:right="439" w:bottom="1440" w:gutter="0" w:footer="0" w:header="0"/>
        </w:sectPr>
      </w:pPr>
    </w:p>
    <w:bookmarkStart w:id="7" w:name="page8"/>
    <w:bookmarkEnd w:id="7"/>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consent to the filing of this opinion as Exhibit 5.1 to the Post-Effective Amendment. In giving this consent, I do not hereby admit that I am in the category of persons whose consent is required under Section 7 of the Securities Act or the rules and regulations thereunder.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Craig L. Rosenthal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Craig L. Rosenthal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General Counsel</w:t>
      </w:r>
    </w:p>
    <w:p>
      <w:pPr>
        <w:sectPr>
          <w:pgSz w:w="11900" w:h="16838" w:orient="portrait"/>
          <w:cols w:equalWidth="0" w:num="1">
            <w:col w:w="10540"/>
          </w:cols>
          <w:pgMar w:left="440" w:top="274" w:right="91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BellRing Brands, Inc. of our report dated November 19, 2021 relating to the financial statements and the effectiveness of internal control over financial reporting, which appears in BellRing Brands, Inc.’s Annual Report on Form 10-K for the year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each of Craig L. Rosenthal and Paul A. Rode, with full power to each of them to act alone, his or her true and lawful attorney-in-fact and agent, with full power of substitution and resubstitution, for him or her and in his or her name, place and stead, in any and all capacities, to sign each of the Registration Statement on Form S-8 (File No. 333-238306), the Registration Statement on Form S-8 (File No. 333-237494) and the Registration Statement on Form S-8 (File</w:t>
      </w:r>
    </w:p>
    <w:p>
      <w:pPr>
        <w:spacing w:after="0" w:line="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No. 333-234290), in each case, of BellRing Brands, Inc. (collectively, the “Registration Statements”), any and all amendments including post-effective amendments to each such Registration Statement, and to file the same, with all exhibits thereto, and other documents in connection therewith, with the Securities and Exchange Commission, granting unto said attorneys-in-fact and agents, and each of them, or their substitute or substitutes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WITNESS HEREOF, the undersigned has subscribed his or her name as of the date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92"/>
              </w:rPr>
              <w:t>Signature</w:t>
            </w:r>
          </w:p>
        </w:tc>
        <w:tc>
          <w:tcPr>
            <w:tcW w:w="1620" w:type="dxa"/>
            <w:vAlign w:val="bottom"/>
          </w:tcPr>
          <w:p>
            <w:pPr>
              <w:spacing w:after="0"/>
              <w:rPr>
                <w:sz w:val="14"/>
                <w:szCs w:val="14"/>
                <w:color w:val="auto"/>
              </w:rPr>
            </w:pPr>
          </w:p>
        </w:tc>
        <w:tc>
          <w:tcPr>
            <w:tcW w:w="352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w w:val="97"/>
              </w:rPr>
              <w:t>Title</w:t>
            </w:r>
          </w:p>
        </w:tc>
        <w:tc>
          <w:tcPr>
            <w:tcW w:w="178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Chonda J. Nwamu</w:t>
            </w:r>
          </w:p>
        </w:tc>
        <w:tc>
          <w:tcPr>
            <w:tcW w:w="6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520" w:type="dxa"/>
            <w:vAlign w:val="bottom"/>
            <w:gridSpan w:val="3"/>
          </w:tcPr>
          <w:p>
            <w:pPr>
              <w:jc w:val="center"/>
              <w:ind w:left="159"/>
              <w:spacing w:after="0"/>
              <w:rPr>
                <w:sz w:val="20"/>
                <w:szCs w:val="20"/>
                <w:color w:val="auto"/>
              </w:rPr>
            </w:pPr>
            <w:r>
              <w:rPr>
                <w:rFonts w:ascii="Arial" w:cs="Arial" w:eastAsia="Arial" w:hAnsi="Arial"/>
                <w:sz w:val="18"/>
                <w:szCs w:val="18"/>
                <w:color w:val="auto"/>
                <w:w w:val="95"/>
              </w:rPr>
              <w:t>Director</w:t>
            </w:r>
          </w:p>
        </w:tc>
        <w:tc>
          <w:tcPr>
            <w:tcW w:w="2500" w:type="dxa"/>
            <w:vAlign w:val="bottom"/>
            <w:gridSpan w:val="3"/>
          </w:tcPr>
          <w:p>
            <w:pPr>
              <w:jc w:val="center"/>
              <w:ind w:left="1270"/>
              <w:spacing w:after="0"/>
              <w:rPr>
                <w:sz w:val="20"/>
                <w:szCs w:val="20"/>
                <w:color w:val="auto"/>
              </w:rPr>
            </w:pPr>
            <w:r>
              <w:rPr>
                <w:rFonts w:ascii="Arial" w:cs="Arial" w:eastAsia="Arial" w:hAnsi="Arial"/>
                <w:sz w:val="18"/>
                <w:szCs w:val="18"/>
                <w:color w:val="auto"/>
                <w:w w:val="91"/>
              </w:rPr>
              <w:t>March 10, 2022</w:t>
            </w:r>
          </w:p>
        </w:tc>
      </w:tr>
      <w:tr>
        <w:trPr>
          <w:trHeight w:val="224"/>
        </w:trPr>
        <w:tc>
          <w:tcPr>
            <w:tcW w:w="2240" w:type="dxa"/>
            <w:vAlign w:val="bottom"/>
            <w:gridSpan w:val="2"/>
          </w:tcPr>
          <w:p>
            <w:pPr>
              <w:spacing w:after="0"/>
              <w:rPr>
                <w:sz w:val="20"/>
                <w:szCs w:val="20"/>
                <w:color w:val="auto"/>
              </w:rPr>
            </w:pPr>
            <w:r>
              <w:rPr>
                <w:rFonts w:ascii="Arial" w:cs="Arial" w:eastAsia="Arial" w:hAnsi="Arial"/>
                <w:sz w:val="18"/>
                <w:szCs w:val="18"/>
                <w:color w:val="auto"/>
              </w:rPr>
              <w:t>Chonda J. Nwamu</w:t>
            </w: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17" Type="http://schemas.openxmlformats.org/officeDocument/2006/relationships/hyperlink" Target="http://www.sec.gov/Archives/edgar/data/1772016/000177201619000031/brbrs-8_2019xltip.htm" TargetMode="External"/><Relationship Id="rId19" Type="http://schemas.openxmlformats.org/officeDocument/2006/relationships/hyperlink" Target="http://www.sec.gov/ix?doc=/Archives/edgar/data/1772016/000177201621000118/brbr-20210930.htm" TargetMode="External"/><Relationship Id="rId20" Type="http://schemas.openxmlformats.org/officeDocument/2006/relationships/hyperlink" Target="http://www.sec.gov/ix?doc=/Archives/edgar/data/1772016/000177201622000028/brbr-20211231.htm" TargetMode="External"/><Relationship Id="rId21" Type="http://schemas.openxmlformats.org/officeDocument/2006/relationships/hyperlink" Target="http://www.sec.gov/ix?doc=/Archives/edgar/data/1772016/000119312521308736/d232418d8k.htm" TargetMode="External"/><Relationship Id="rId22" Type="http://schemas.openxmlformats.org/officeDocument/2006/relationships/hyperlink" Target="http://www.sec.gov/ix?doc=/Archives/edgar/data/1772016/000119312521359836/d243174d8k.htm" TargetMode="External"/><Relationship Id="rId23" Type="http://schemas.openxmlformats.org/officeDocument/2006/relationships/hyperlink" Target="http://www.sec.gov/ix?doc=/Archives/edgar/data/1772016/000177201622000018/brbr-20220203.htm" TargetMode="External"/><Relationship Id="rId24" Type="http://schemas.openxmlformats.org/officeDocument/2006/relationships/hyperlink" Target="http://www.sec.gov/ix?doc=/Archives/edgar/data/1772016/000177201622000032/brbr-20220211.htm" TargetMode="External"/><Relationship Id="rId25" Type="http://schemas.openxmlformats.org/officeDocument/2006/relationships/hyperlink" Target="http://www.sec.gov/ix?doc=/Archives/edgar/data/1772016/000119312522047864/d234626d8k.htm" TargetMode="External"/><Relationship Id="rId26" Type="http://schemas.openxmlformats.org/officeDocument/2006/relationships/hyperlink" Target="http://www.sec.gov/ix?doc=/Archives/edgar/data/1772016/000119312522052442/d291324d8k.htm" TargetMode="External"/><Relationship Id="rId27" Type="http://schemas.openxmlformats.org/officeDocument/2006/relationships/hyperlink" Target="http://www.sec.gov/ix?doc=/Archives/edgar/data/1772016/000119312522055719/d405795d8k.htm" TargetMode="External"/><Relationship Id="rId28" Type="http://schemas.openxmlformats.org/officeDocument/2006/relationships/hyperlink" Target="http://www.sec.gov/ix?doc=/Archives/edgar/data/1772016/000119312522058050/d499890d8k.htm" TargetMode="External"/><Relationship Id="rId29" Type="http://schemas.openxmlformats.org/officeDocument/2006/relationships/hyperlink" Target="http://www.sec.gov/ix?doc=/Archives/edgar/data/1772016/000119312522060024/d314342d8k.htm" TargetMode="External"/><Relationship Id="rId30" Type="http://schemas.openxmlformats.org/officeDocument/2006/relationships/hyperlink" Target="http://www.sec.gov/ix?doc=/Archives/edgar/data/1772016/000119312522069355/d264262d8k.htm" TargetMode="External"/><Relationship Id="rId31" Type="http://schemas.openxmlformats.org/officeDocument/2006/relationships/hyperlink" Target="http://www.sec.gov/ix?doc=/Archives/edgar/data/1772016/000119312522072017/d212065d8k.htm" TargetMode="External"/><Relationship Id="rId32" Type="http://schemas.openxmlformats.org/officeDocument/2006/relationships/hyperlink" Target="http://www.sec.gov/ix?doc=/Archives/edgar/data/1772016/000119312522072132/d319129d8k12b.htm" TargetMode="External"/><Relationship Id="rId35" Type="http://schemas.openxmlformats.org/officeDocument/2006/relationships/hyperlink" Target="http://www.sec.gov/Archives/edgar/data/0001772016/000177201619000031/brbrs-8_2019xlti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2022-03-11T05:14:55Z</dcterms:created>
  <dcterms:modified xsi:type="dcterms:W3CDTF">2022-03-11T05:14:55Z</dcterms:modified>
</cp:coreProperties>
</file>