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8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VITALE ROBERT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260" w:space="555"/>
            <w:col w:w="3265"/>
          </w:cols>
          <w:pgMar w:left="460" w:top="219" w:right="439" w:bottom="85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85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11/22/2024</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344</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390,067</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132,483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5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166,021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50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80"/>
        <w:spacing w:after="0" w:line="253" w:lineRule="auto"/>
        <w:rPr>
          <w:sz w:val="20"/>
          <w:szCs w:val="20"/>
          <w:color w:val="auto"/>
        </w:rPr>
      </w:pPr>
      <w:r>
        <w:rPr>
          <w:rFonts w:ascii="Times New Roman" w:cs="Times New Roman" w:eastAsia="Times New Roman" w:hAnsi="Times New Roman"/>
          <w:sz w:val="13"/>
          <w:szCs w:val="13"/>
          <w:color w:val="008000"/>
        </w:rPr>
        <w:t>The number of securities beneficially owned as reported in each column (5) reflects ownership as of the date of this filing based on available records of the Reporting Person and other information provided to the Issuer and reflects the correct allocation of the Reporting Person's shares among various accounts. Prior Form 4 filings made by the Reporting Person inadvertently overstated the aggregate number of securities beneficially owned by Reporting Person by 8,715 shares. The Reporting Person has corrected the inadvertent overstatement in this Form 4 filing across applicable accounts.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2024-11-26T20:56:45Z</dcterms:created>
  <dcterms:modified xsi:type="dcterms:W3CDTF">2024-11-26T20:56:45Z</dcterms:modified>
</cp:coreProperties>
</file>