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120015</wp:posOffset>
            </wp:positionV>
            <wp:extent cx="149987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BellRing Brands, Inc.</w:t>
      </w:r>
    </w:p>
    <w:p>
      <w:pPr>
        <w:spacing w:after="0" w:line="152"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6840" w:type="dxa"/>
            <w:vAlign w:val="bottom"/>
            <w:gridSpan w:val="3"/>
          </w:tcPr>
          <w:p>
            <w:pPr>
              <w:jc w:val="center"/>
              <w:ind w:left="2826"/>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580" w:type="dxa"/>
            <w:vAlign w:val="bottom"/>
          </w:tcPr>
          <w:p>
            <w:pPr>
              <w:spacing w:after="0"/>
              <w:rPr>
                <w:sz w:val="20"/>
                <w:szCs w:val="20"/>
                <w:color w:val="auto"/>
              </w:rPr>
            </w:pPr>
          </w:p>
        </w:tc>
      </w:tr>
      <w:tr>
        <w:trPr>
          <w:trHeight w:val="27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1880" w:type="dxa"/>
            <w:vAlign w:val="bottom"/>
          </w:tcPr>
          <w:p>
            <w:pPr>
              <w:jc w:val="center"/>
              <w:ind w:left="844"/>
              <w:spacing w:after="0"/>
              <w:rPr>
                <w:sz w:val="20"/>
                <w:szCs w:val="20"/>
                <w:color w:val="auto"/>
              </w:rPr>
            </w:pPr>
            <w:r>
              <w:rPr>
                <w:rFonts w:ascii="Times New Roman" w:cs="Times New Roman" w:eastAsia="Times New Roman" w:hAnsi="Times New Roman"/>
                <w:sz w:val="20"/>
                <w:szCs w:val="20"/>
                <w:b w:val="1"/>
                <w:bCs w:val="1"/>
                <w:color w:val="auto"/>
                <w:w w:val="99"/>
              </w:rPr>
              <w:t>001-39093</w:t>
            </w:r>
          </w:p>
        </w:tc>
        <w:tc>
          <w:tcPr>
            <w:tcW w:w="1500" w:type="dxa"/>
            <w:vAlign w:val="bottom"/>
          </w:tcPr>
          <w:p>
            <w:pPr>
              <w:spacing w:after="0"/>
              <w:rPr>
                <w:sz w:val="24"/>
                <w:szCs w:val="24"/>
                <w:color w:val="auto"/>
              </w:rPr>
            </w:pPr>
          </w:p>
        </w:tc>
        <w:tc>
          <w:tcPr>
            <w:tcW w:w="2580" w:type="dxa"/>
            <w:vAlign w:val="bottom"/>
          </w:tcPr>
          <w:p>
            <w:pPr>
              <w:jc w:val="right"/>
              <w:ind w:right="686"/>
              <w:spacing w:after="0"/>
              <w:rPr>
                <w:sz w:val="20"/>
                <w:szCs w:val="20"/>
                <w:color w:val="auto"/>
              </w:rPr>
            </w:pPr>
            <w:r>
              <w:rPr>
                <w:rFonts w:ascii="Times New Roman" w:cs="Times New Roman" w:eastAsia="Times New Roman" w:hAnsi="Times New Roman"/>
                <w:sz w:val="20"/>
                <w:szCs w:val="20"/>
                <w:b w:val="1"/>
                <w:bCs w:val="1"/>
                <w:color w:val="auto"/>
              </w:rPr>
              <w:t>87-3296749</w:t>
            </w:r>
          </w:p>
        </w:tc>
      </w:tr>
      <w:tr>
        <w:trPr>
          <w:trHeight w:val="237"/>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8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80" w:type="dxa"/>
            <w:vAlign w:val="bottom"/>
          </w:tcPr>
          <w:p>
            <w:pPr>
              <w:jc w:val="center"/>
              <w:ind w:left="6"/>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86"/>
        </w:trPr>
        <w:tc>
          <w:tcPr>
            <w:tcW w:w="3460" w:type="dxa"/>
            <w:vAlign w:val="bottom"/>
          </w:tcPr>
          <w:p>
            <w:pPr>
              <w:jc w:val="center"/>
              <w:ind w:right="186"/>
              <w:spacing w:after="0"/>
              <w:rPr>
                <w:sz w:val="20"/>
                <w:szCs w:val="20"/>
                <w:color w:val="auto"/>
              </w:rPr>
            </w:pPr>
            <w:r>
              <w:rPr>
                <w:rFonts w:ascii="Times New Roman" w:cs="Times New Roman" w:eastAsia="Times New Roman" w:hAnsi="Times New Roman"/>
                <w:sz w:val="20"/>
                <w:szCs w:val="20"/>
                <w:b w:val="1"/>
                <w:bCs w:val="1"/>
                <w:color w:val="auto"/>
                <w:w w:val="98"/>
              </w:rPr>
              <w:t>1 N Brentwood Blvd., Suite 1550</w:t>
            </w:r>
          </w:p>
        </w:tc>
        <w:tc>
          <w:tcPr>
            <w:tcW w:w="188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St. Louis</w:t>
            </w:r>
          </w:p>
        </w:tc>
        <w:tc>
          <w:tcPr>
            <w:tcW w:w="15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Missouri</w:t>
            </w:r>
          </w:p>
        </w:tc>
        <w:tc>
          <w:tcPr>
            <w:tcW w:w="2580" w:type="dxa"/>
            <w:vAlign w:val="bottom"/>
          </w:tcPr>
          <w:p>
            <w:pPr>
              <w:jc w:val="right"/>
              <w:ind w:right="906"/>
              <w:spacing w:after="0"/>
              <w:rPr>
                <w:sz w:val="20"/>
                <w:szCs w:val="20"/>
                <w:color w:val="auto"/>
              </w:rPr>
            </w:pPr>
            <w:r>
              <w:rPr>
                <w:rFonts w:ascii="Times New Roman" w:cs="Times New Roman" w:eastAsia="Times New Roman" w:hAnsi="Times New Roman"/>
                <w:sz w:val="20"/>
                <w:szCs w:val="20"/>
                <w:b w:val="1"/>
                <w:bCs w:val="1"/>
                <w:color w:val="auto"/>
              </w:rPr>
              <w:t>63105</w:t>
            </w:r>
          </w:p>
        </w:tc>
      </w:tr>
      <w:tr>
        <w:trPr>
          <w:trHeight w:val="237"/>
        </w:trPr>
        <w:tc>
          <w:tcPr>
            <w:tcW w:w="53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9"/>
          <w:szCs w:val="19"/>
          <w:b w:val="1"/>
          <w:bCs w:val="1"/>
          <w:color w:val="auto"/>
        </w:rPr>
        <w:t>(314) 644-7652</w:t>
      </w:r>
    </w:p>
    <w:p>
      <w:pPr>
        <w:spacing w:after="0" w:line="19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264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6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380" w:type="dxa"/>
            <w:vAlign w:val="bottom"/>
          </w:tcPr>
          <w:p>
            <w:pPr>
              <w:spacing w:after="0"/>
              <w:rPr>
                <w:sz w:val="21"/>
                <w:szCs w:val="21"/>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BRBR</w:t>
            </w:r>
          </w:p>
        </w:tc>
        <w:tc>
          <w:tcPr>
            <w:tcW w:w="4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1"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1153160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213995</wp:posOffset>
            </wp:positionV>
            <wp:extent cx="6026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240030</wp:posOffset>
            </wp:positionV>
            <wp:extent cx="6026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line="230" w:lineRule="exact"/>
        <w:rPr>
          <w:sz w:val="20"/>
          <w:szCs w:val="20"/>
          <w:color w:val="auto"/>
        </w:rPr>
      </w:pPr>
    </w:p>
    <w:p>
      <w:pPr>
        <w:ind w:left="960" w:right="40" w:hanging="1295"/>
        <w:spacing w:after="0" w:line="302"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19, 2026, the Corporate Governance and Compensation Committee of the Board of Directors of BellRing Brands, Inc. (the “Company”)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a special grant of restricted stock units (“RSUs”) to certain of the Company’s named executive officers in the following amounts and values: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3060" w:type="dxa"/>
            <w:vAlign w:val="bottom"/>
            <w:gridSpan w:val="2"/>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Number of RSUs</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 Date Fair Value of RSUs</w:t>
            </w:r>
          </w:p>
        </w:tc>
      </w:tr>
      <w:tr>
        <w:trPr>
          <w:trHeight w:val="20"/>
        </w:trPr>
        <w:tc>
          <w:tcPr>
            <w:tcW w:w="8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r>
        <w:trPr>
          <w:trHeight w:val="203"/>
        </w:trPr>
        <w:tc>
          <w:tcPr>
            <w:tcW w:w="51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Paul A. Rode</w:t>
            </w:r>
          </w:p>
        </w:tc>
        <w:tc>
          <w:tcPr>
            <w:tcW w:w="13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29,043</w:t>
            </w:r>
          </w:p>
        </w:tc>
        <w:tc>
          <w:tcPr>
            <w:tcW w:w="1760" w:type="dxa"/>
            <w:vAlign w:val="bottom"/>
          </w:tcPr>
          <w:p>
            <w:pPr>
              <w:spacing w:after="0"/>
              <w:rPr>
                <w:sz w:val="17"/>
                <w:szCs w:val="17"/>
                <w:color w:val="auto"/>
              </w:rPr>
            </w:pPr>
          </w:p>
        </w:tc>
        <w:tc>
          <w:tcPr>
            <w:tcW w:w="2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$551,236</w:t>
            </w:r>
          </w:p>
        </w:tc>
      </w:tr>
      <w:tr>
        <w:trPr>
          <w:trHeight w:val="236"/>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23"/>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27,209</w:t>
            </w:r>
          </w:p>
        </w:tc>
        <w:tc>
          <w:tcPr>
            <w:tcW w:w="176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$516,427</w:t>
            </w:r>
          </w:p>
        </w:tc>
      </w:tr>
      <w:tr>
        <w:trPr>
          <w:trHeight w:val="236"/>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Chief Growth Officer</w:t>
            </w:r>
          </w:p>
        </w:tc>
        <w:tc>
          <w:tcPr>
            <w:tcW w:w="1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23"/>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26,349</w:t>
            </w:r>
          </w:p>
        </w:tc>
        <w:tc>
          <w:tcPr>
            <w:tcW w:w="176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$500,104</w:t>
            </w:r>
          </w:p>
        </w:tc>
      </w:tr>
      <w:tr>
        <w:trPr>
          <w:trHeight w:val="203"/>
        </w:trPr>
        <w:tc>
          <w:tcPr>
            <w:tcW w:w="51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Chief Legal Officer, Chief Compliance Officer and</w:t>
            </w:r>
          </w:p>
        </w:tc>
        <w:tc>
          <w:tcPr>
            <w:tcW w:w="1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36"/>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1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23"/>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23,877</w:t>
            </w:r>
          </w:p>
        </w:tc>
        <w:tc>
          <w:tcPr>
            <w:tcW w:w="176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$453,185</w:t>
            </w:r>
          </w:p>
        </w:tc>
      </w:tr>
      <w:tr>
        <w:trPr>
          <w:trHeight w:val="236"/>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Chief Supply Chain Officer - Premier Nutrition</w:t>
            </w:r>
          </w:p>
        </w:tc>
        <w:tc>
          <w:tcPr>
            <w:tcW w:w="1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3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RSUs are intended to promote retention during the previously disclosed CEO transition period and will vest in full on the first anniversary of the grant date. Vesting of the RSUs may be accelerated upon the occurrence of certain termination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2026</w:t>
            </w:r>
          </w:p>
        </w:tc>
        <w:tc>
          <w:tcPr>
            <w:tcW w:w="73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BellRing Brands, Inc.</w:t>
            </w:r>
          </w:p>
        </w:tc>
      </w:tr>
      <w:tr>
        <w:trPr>
          <w:trHeight w:val="338"/>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(Registrant)</w:t>
            </w:r>
          </w:p>
        </w:tc>
        <w:tc>
          <w:tcPr>
            <w:tcW w:w="4600" w:type="dxa"/>
            <w:vAlign w:val="bottom"/>
          </w:tcPr>
          <w:p>
            <w:pPr>
              <w:spacing w:after="0"/>
              <w:rPr>
                <w:sz w:val="24"/>
                <w:szCs w:val="24"/>
                <w:color w:val="auto"/>
              </w:rPr>
            </w:pPr>
          </w:p>
        </w:tc>
      </w:tr>
      <w:tr>
        <w:trPr>
          <w:trHeight w:val="675"/>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L. Rosenthal</w:t>
            </w:r>
          </w:p>
        </w:tc>
      </w:tr>
      <w:tr>
        <w:trPr>
          <w:trHeight w:val="313"/>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L. Rosenthal</w:t>
            </w:r>
          </w:p>
        </w:tc>
      </w:tr>
      <w:tr>
        <w:trPr>
          <w:trHeight w:val="234"/>
        </w:trPr>
        <w:tc>
          <w:tcPr>
            <w:tcW w:w="3640" w:type="dxa"/>
            <w:vAlign w:val="bottom"/>
          </w:tcPr>
          <w:p>
            <w:pPr>
              <w:spacing w:after="0"/>
              <w:rPr>
                <w:sz w:val="20"/>
                <w:szCs w:val="20"/>
                <w:color w:val="auto"/>
              </w:rPr>
            </w:pPr>
          </w:p>
        </w:tc>
        <w:tc>
          <w:tcPr>
            <w:tcW w:w="27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1" w:lineRule="exact"/>
        <w:rPr>
          <w:sz w:val="20"/>
          <w:szCs w:val="20"/>
          <w:color w:val="auto"/>
        </w:rPr>
      </w:pP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2026-02-23T15:29:01Z</dcterms:created>
  <dcterms:modified xsi:type="dcterms:W3CDTF">2026-02-23T15:29:01Z</dcterms:modified>
</cp:coreProperties>
</file>