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November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79375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tbl>
      <w:tblPr>
        <w:tblLayout w:type="fixed"/>
        <w:tblInd w:w="128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280" w:type="dxa"/>
            <w:vAlign w:val="bottom"/>
          </w:tcPr>
          <w:p>
            <w:pPr>
              <w:spacing w:after="0"/>
              <w:rPr>
                <w:sz w:val="13"/>
                <w:szCs w:val="13"/>
                <w:color w:val="auto"/>
              </w:rPr>
            </w:pPr>
          </w:p>
        </w:tc>
      </w:tr>
      <w:tr>
        <w:trPr>
          <w:trHeight w:val="184"/>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340" w:type="dxa"/>
            <w:vAlign w:val="bottom"/>
          </w:tcPr>
          <w:p>
            <w:pPr>
              <w:spacing w:after="0"/>
              <w:rPr>
                <w:sz w:val="16"/>
                <w:szCs w:val="16"/>
                <w:color w:val="auto"/>
              </w:rPr>
            </w:pPr>
          </w:p>
        </w:tc>
        <w:tc>
          <w:tcPr>
            <w:tcW w:w="2260" w:type="dxa"/>
            <w:vAlign w:val="bottom"/>
          </w:tcPr>
          <w:p>
            <w:pPr>
              <w:jc w:val="center"/>
              <w:ind w:right="1394"/>
              <w:spacing w:after="0"/>
              <w:rPr>
                <w:sz w:val="20"/>
                <w:szCs w:val="20"/>
                <w:color w:val="auto"/>
              </w:rPr>
            </w:pPr>
            <w:r>
              <w:rPr>
                <w:rFonts w:ascii="Times New Roman" w:cs="Times New Roman" w:eastAsia="Times New Roman" w:hAnsi="Times New Roman"/>
                <w:sz w:val="13"/>
                <w:szCs w:val="13"/>
                <w:b w:val="1"/>
                <w:bCs w:val="1"/>
                <w:color w:val="auto"/>
                <w:w w:val="99"/>
              </w:rPr>
              <w:t>001-39093</w:t>
            </w:r>
          </w:p>
        </w:tc>
        <w:tc>
          <w:tcPr>
            <w:tcW w:w="2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87-3296749</w:t>
            </w:r>
          </w:p>
        </w:tc>
      </w:tr>
      <w:tr>
        <w:trPr>
          <w:trHeight w:val="158"/>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80" w:type="dxa"/>
            <w:vAlign w:val="bottom"/>
          </w:tcPr>
          <w:p>
            <w:pPr>
              <w:jc w:val="center"/>
              <w:ind w:left="557"/>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91"/>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2503 S. Hanley Road</w:t>
            </w:r>
          </w:p>
        </w:tc>
        <w:tc>
          <w:tcPr>
            <w:tcW w:w="13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St. Louis</w:t>
            </w:r>
          </w:p>
        </w:tc>
        <w:tc>
          <w:tcPr>
            <w:tcW w:w="22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Missouri</w:t>
            </w:r>
          </w:p>
        </w:tc>
        <w:tc>
          <w:tcPr>
            <w:tcW w:w="2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63144</w:t>
            </w:r>
          </w:p>
        </w:tc>
      </w:tr>
      <w:tr>
        <w:trPr>
          <w:trHeight w:val="158"/>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9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5"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204"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582295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-44450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-27305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7" w:right="3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 and Financial Condition.</w:t>
      </w:r>
    </w:p>
    <w:p>
      <w:pPr>
        <w:spacing w:after="0" w:line="172"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On November 17, 2022, BellRing Brands, Inc. (the "Company") issued a press release announcing results for its fourth fiscal quarter and fiscal year ended September 30, 2022 and providing a financial outlook for fiscal year 2023. A copy of the press release is attached hereto as Exhibit 99.1 and incorporated herein by reference.</w:t>
      </w:r>
    </w:p>
    <w:p>
      <w:pPr>
        <w:spacing w:after="0" w:line="129"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In addition, on November 17, 2022, the Company published to the "Investor Relations" section of its website, www.bellringbrands.com, a supplemental presentation related to results for its fourth fiscal quarter and fiscal year ended September 30, 2022. A copy of the presentation is attached hereto as Exhibit 99.2 and incorporated herein by reference.</w:t>
      </w:r>
    </w:p>
    <w:p>
      <w:pPr>
        <w:spacing w:after="0" w:line="1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60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700" w:type="dxa"/>
            <w:vAlign w:val="bottom"/>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dated November 17, 2022</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700" w:type="dxa"/>
            <w:vAlign w:val="bottom"/>
          </w:tcPr>
          <w:p>
            <w:pPr>
              <w:spacing w:after="0"/>
              <w:rPr>
                <w:sz w:val="11"/>
                <w:szCs w:val="11"/>
                <w:color w:val="auto"/>
              </w:rPr>
            </w:pPr>
          </w:p>
        </w:tc>
        <w:tc>
          <w:tcPr>
            <w:tcW w:w="4440" w:type="dxa"/>
            <w:vAlign w:val="bottom"/>
            <w:tcBorders>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w w:val="99"/>
              </w:rPr>
              <w:t>Fourth Fiscal Quarter and Fiscal Year Ended September 30, 2022 Supplemental Presentation</w:t>
            </w:r>
          </w:p>
        </w:tc>
        <w:tc>
          <w:tcPr>
            <w:tcW w:w="4600" w:type="dxa"/>
            <w:vAlign w:val="bottom"/>
          </w:tcPr>
          <w:p>
            <w:pPr>
              <w:spacing w:after="0"/>
              <w:rPr>
                <w:sz w:val="11"/>
                <w:szCs w:val="1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17, 2022</w:t>
            </w:r>
          </w:p>
        </w:tc>
        <w:tc>
          <w:tcPr>
            <w:tcW w:w="7680" w:type="dxa"/>
            <w:vAlign w:val="bottom"/>
            <w:gridSpan w:val="2"/>
          </w:tcPr>
          <w:p>
            <w:pPr>
              <w:ind w:left="214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25"/>
        </w:trPr>
        <w:tc>
          <w:tcPr>
            <w:tcW w:w="3400" w:type="dxa"/>
            <w:vAlign w:val="bottom"/>
          </w:tcPr>
          <w:p>
            <w:pPr>
              <w:spacing w:after="0"/>
              <w:rPr>
                <w:sz w:val="19"/>
                <w:szCs w:val="19"/>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19"/>
                <w:szCs w:val="19"/>
                <w:color w:val="auto"/>
              </w:rPr>
            </w:pPr>
          </w:p>
        </w:tc>
      </w:tr>
      <w:tr>
        <w:trPr>
          <w:trHeight w:val="450"/>
        </w:trPr>
        <w:tc>
          <w:tcPr>
            <w:tcW w:w="3400" w:type="dxa"/>
            <w:vAlign w:val="bottom"/>
          </w:tcPr>
          <w:p>
            <w:pPr>
              <w:spacing w:after="0"/>
              <w:rPr>
                <w:sz w:val="24"/>
                <w:szCs w:val="24"/>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A. Rode</w:t>
            </w:r>
          </w:p>
        </w:tc>
      </w:tr>
      <w:tr>
        <w:trPr>
          <w:trHeight w:val="203"/>
        </w:trPr>
        <w:tc>
          <w:tcPr>
            <w:tcW w:w="3400" w:type="dxa"/>
            <w:vAlign w:val="bottom"/>
          </w:tcPr>
          <w:p>
            <w:pPr>
              <w:spacing w:after="0"/>
              <w:rPr>
                <w:sz w:val="17"/>
                <w:szCs w:val="17"/>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Paul A. Rode</w:t>
            </w:r>
          </w:p>
        </w:tc>
      </w:tr>
      <w:tr>
        <w:trPr>
          <w:trHeight w:val="155"/>
        </w:trPr>
        <w:tc>
          <w:tcPr>
            <w:tcW w:w="3400" w:type="dxa"/>
            <w:vAlign w:val="bottom"/>
          </w:tcPr>
          <w:p>
            <w:pPr>
              <w:spacing w:after="0"/>
              <w:rPr>
                <w:sz w:val="13"/>
                <w:szCs w:val="13"/>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100012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0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Reports Results for the Fourth Quarter and Fiscal Year 2022</w:t>
      </w:r>
    </w:p>
    <w:p>
      <w:pPr>
        <w:spacing w:after="0" w:line="15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St. Louis - November 17, 2022 </w:t>
      </w:r>
      <w:r>
        <w:rPr>
          <w:rFonts w:ascii="Times New Roman" w:cs="Times New Roman" w:eastAsia="Times New Roman" w:hAnsi="Times New Roman"/>
          <w:sz w:val="12"/>
          <w:szCs w:val="12"/>
          <w:color w:val="auto"/>
        </w:rPr>
        <w:t>- BellRing Brands, Inc. (NYSE:BRBR) (“BellRing”), a holding company operating in the global convenient nutrition category, today reported results for the fourth fiscal quarter and fiscal year ended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September 30,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Fourth quarter net sales of $379.2 million, operating profit of $61.1 million; net earnings available to common stockholders of $33.7 million and Adjusted EBITDA of $79.9 million</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Fiscal year net sales of $1,371.5 million, operating profit of $212.4 million; net earnings available to common stockholders of $82.3 million and Adjusted EBITDA of $271.4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Fiscal year 2023 net sales and Adjusted EBITDA expected to range between $1.56-$1.64 billion and $300-$325 million,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Operating Results</w:t>
      </w:r>
    </w:p>
    <w:p>
      <w:pPr>
        <w:spacing w:after="0" w:line="1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2"/>
          <w:szCs w:val="12"/>
          <w:color w:val="auto"/>
        </w:rPr>
        <w:t xml:space="preserve">Net sales were $379.2 million, an increase of 11.5%, or $39.2 million, compared to the prior year period.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increased 10.1% and volumes declined 9.2%.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ready-to-drink (“RTD”) shake net sales increased 9.2% and benefited from higher average net selling prices driven by price increases and reduced promotional activity, which was partially offset by a volume decline of 9.1%. As discussed in previous earnings releases, capacity constraints across the broader shake contract manufacturer network have resulted in the allocation of certain products and reduced demand-driving promotional activity. Additionally, the brand lapped a prior year period where shipments outpaced production (in part to meet demand driven by heavy promotional activity), which caused a sales volume reduction when compared to the prior year period.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net sales increased 31.6% and benefited from higher average net selling prices (driven by price increases) and favorable product mix.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volumes declined 15.1% primarily driven by lapping volumes in the prior year period for discontinued products.</w:t>
      </w:r>
    </w:p>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2"/>
          <w:szCs w:val="12"/>
          <w:color w:val="auto"/>
        </w:rPr>
        <w:t xml:space="preserve">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RTD shakes decreased 5.3% (as consumption was negatively impacted by lapping significant demand-driving promotional activity in the prior year period)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United States (“U.S.”) powder products increased 31.5% in the 13-week period ended October 1, 2022, as compared to the same period in 2021 (inclusive of NielsenIQ Total US xAOC including Convenience and management estimates of untracked channels).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Gross profit was $122.3 million, or 32.3% of net sales, an increase of 27.4%, or $26.3 million, compared to $96.0 million, or 28.2% of net sales, in the prior year period.</w:t>
      </w:r>
    </w:p>
    <w:p>
      <w:pPr>
        <w:spacing w:after="0" w:line="114"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(“SG&amp;A”) expenses were $56.2 million, or 14.8% of net sales, an increase of $18.2 million compared to $38.0 million, or 11.2% of net sales, in the prior year period. SG&amp;A expenses in the fourth quarter of 2022 included an $8.0 million provision for legal matters and $1.3 million of costs incurred in connection with BellRing’s separation from Post Holdings, Inc. (“Post”). The provision for legal matters and separation costs were treated as adjustments for non-GAAP measures.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profit was $61.1 million, an increase of 15.1%, or $8.0 million, compared to $53.1 million in the prior year period.</w:t>
      </w:r>
    </w:p>
    <w:p>
      <w:pPr>
        <w:spacing w:after="0" w:line="114"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2"/>
          <w:szCs w:val="12"/>
          <w:color w:val="auto"/>
        </w:rPr>
        <w:t>Net earnings available to common stockholders were $33.7 million, an increase of 247.4%, or $24.0 million, compared to $9.7 million in the prior year period. Net earnings available to common stockholders in the prior year period excluded $30.8 million of net earnings attributable to the Company’s redeemable noncontrolling interest (“NCI”). Net earnings per diluted share of common stock were $0.25 in both the fourth quarter of 2022 and 2021. Adjusted net earnings available to common stockholders were $41.8 million, or $0.31 per diluted share of common stock, compared to $10.0 million, or $0.25 per diluted share of common stock, in the prior year period.</w:t>
      </w:r>
    </w:p>
    <w:p>
      <w:pPr>
        <w:spacing w:after="0" w:line="83" w:lineRule="exact"/>
        <w:rPr>
          <w:sz w:val="20"/>
          <w:szCs w:val="20"/>
          <w:color w:val="auto"/>
        </w:rPr>
      </w:pPr>
    </w:p>
    <w:p>
      <w:pPr>
        <w:jc w:val="both"/>
        <w:ind w:right="180"/>
        <w:spacing w:after="0" w:line="279" w:lineRule="auto"/>
        <w:rPr>
          <w:sz w:val="20"/>
          <w:szCs w:val="20"/>
          <w:color w:val="auto"/>
        </w:rPr>
      </w:pPr>
      <w:r>
        <w:rPr>
          <w:rFonts w:ascii="Times New Roman" w:cs="Times New Roman" w:eastAsia="Times New Roman" w:hAnsi="Times New Roman"/>
          <w:sz w:val="12"/>
          <w:szCs w:val="12"/>
          <w:color w:val="auto"/>
        </w:rPr>
        <w:t>Adjusted EBITDA was $79.9 million, an increase of 32.1%, or $19.4 million, compared to $60.5 million in the prior year period. Adjusted EBITDA in the prior year period included an adjustment for the portion of BellRing Brands, LLC’s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4" w:name="page5"/>
    <w:bookmarkEnd w:id="4"/>
    <w:p>
      <w:pPr>
        <w:ind w:right="100"/>
        <w:spacing w:after="0" w:line="279" w:lineRule="auto"/>
        <w:rPr>
          <w:sz w:val="20"/>
          <w:szCs w:val="20"/>
          <w:color w:val="auto"/>
        </w:rPr>
      </w:pPr>
      <w:r>
        <w:rPr>
          <w:rFonts w:ascii="Times New Roman" w:cs="Times New Roman" w:eastAsia="Times New Roman" w:hAnsi="Times New Roman"/>
          <w:sz w:val="12"/>
          <w:szCs w:val="12"/>
          <w:color w:val="auto"/>
        </w:rPr>
        <w:t>(“BellRing LLC”) consolidated net earnings which was allocated to NCI in the periods prior to Post’s distribution to its shareholders of 80.1% of Post’s interest in BellRing (the “Distribution” and, together with the transactions related thereto, the “Spin-off”), resulting in the calculation of Adjusted EBITDA including 100% of BellRing.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Fiscal Year 2022 Operating Results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Net sales were $1,371.5 million, an increase of 10.0%, or $124.4 million, compared to the prior year.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increased 7.3%, with volumes down 7.6%.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net sales increased 34.6%, with volumes down 4.7%.</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Gross profit was $421.8 million, or 30.8% of net sales, an increase of 9.2%, or $35.6 million, compared to $386.2 million, or 31.0% of net sales, in the prior year.</w:t>
      </w:r>
    </w:p>
    <w:p>
      <w:pPr>
        <w:spacing w:after="0" w:line="11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SG&amp;A expenses were $189.7 million, or 13.8% of net sales, an increase of $22.6 million compared to $167.1 million, or 13.4% of net sales, in the prior year. SG&amp;A expenses for fiscal year 2022 included $14.5 million of costs incurred in connection with BellRing’s separation from Post and an $8.0 million provision for legal matters. SG&amp;A expenses for fiscal year 2021 included $5.2 million of restructuring and facility closure costs. Separation costs, provision for legal matters and restructuring and facility closure costs were treated as adjustments for non-GAAP measures.</w:t>
      </w:r>
    </w:p>
    <w:p>
      <w:pPr>
        <w:spacing w:after="0" w:line="8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Operating profit was $212.4 million, an increase of 26.4%, or $44.4 million, compared to $168.0 million in the prior year. Operating profit in fiscal year 2021 was negatively impacted by $29.9 million of accelerated amortization, which was incurred in connection with the discontinuance of a brand and was treated as an adjustment for non-GAAP measures.</w:t>
      </w:r>
    </w:p>
    <w:p>
      <w:pPr>
        <w:spacing w:after="0" w:line="7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2"/>
          <w:szCs w:val="12"/>
          <w:color w:val="auto"/>
        </w:rPr>
        <w:t>Net earnings available to common stockholders were $82.3 million, an increase of 198.2%, or $54.7 million, compared to $27.6 million in the prior year. Net earnings included loss on extinguishment and refinancing of debt, net of $17.6 million and $1.6 million in fiscal years 2022 and 2021, respectively, which is discussed later in this release and was treated as an adjustment for non-GAAP measures. Net earnings available to common stockholders excluded $33.7 million of net earnings attributable to the Company’s redeemable NCI, compared to $86.8 million excluded in the prior year. Net earnings per diluted share of common stock were $0.88, compared to $0.70 in the prior year. Adjusted net earnings available to common stockholders were $108.9 million, or $1.16 per diluted share of common stock, compared to $35.8 million, or $0.90 per diluted share of common stock, in the prior year.</w:t>
      </w:r>
    </w:p>
    <w:p>
      <w:pPr>
        <w:spacing w:after="0" w:line="8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Adjusted EBITDA was $271.4 million, an increase of 16.0%, or $37.5 million, compared to $233.9 million in the prior year. Adjusted EBITDA in both periods included an adjustment for the portion of BellRing LLC’s consolidated net earnings which was allocated to NCI in the periods prior to the Spin-off, resulting in the calculation of Adjusted EBITDA including 100% of BellRing.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Loss on Extinguishment and Refinancing of Debt and Income Tax</w:t>
      </w:r>
    </w:p>
    <w:p>
      <w:pPr>
        <w:spacing w:after="0" w:line="118"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Interest expense, net was $16.4 million in the fourth quarter of 2022, compared to $9.6 million in the fourth quarter of 2021 and was $49.2 million in fiscal year 2022, compared to $43.2 million in fiscal year 2021. The increase in both periods was driven by an increase in the aggregate principal amount of debt outstanding resulting from the Spin-off transactions.</w:t>
      </w:r>
    </w:p>
    <w:p>
      <w:pPr>
        <w:spacing w:after="0" w:line="75"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Loss on extinguishment of debt, net of $17.6 million was recorded in fiscal year 2022 in connection with BellRing LLC’s repayment of the entire principal balance of its term loan and termination of its prior credit agreement in the second quarter of 2022. Loss on refinancing of debt, net of $1.6 million was recorded in fiscal year 2021 in connection with an opportunistic repricing of BellRing LLC’s term loan in the second quarter of 2021.</w:t>
      </w:r>
    </w:p>
    <w:p>
      <w:pPr>
        <w:spacing w:after="0" w:line="7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Income tax expense was $11.0 million in the fourth quarter of 2022, an effective income tax rate of 24.6%, compared to $3.0 million in the fourth quarter of 2021, an effective income tax rate of 6.9%. Income tax expense was $29.6 million in fiscal 2022, an effective income tax rate of 20.3%, compared to $8.8 million in fiscal year 2021, an effective income tax rate of 7.1% in the prior year. In the three and twelve months ended September 30, 2022, the increase in the effective income tax rate was driven primarily by inclusion of 100% of the items of income, gain, loss and deduction of BellRing LLC in the periods subsequent to the Spin-off, and in fiscal year 2022 by certain separation-related expenses incurred in connection with the Spin-off that were treated as non-deductible. In the three and twelve months ended September 30, 2021, the effective income tax rate differed significantly from the statutory rate as a result of taking into account for U.S. federal, state and local income tax purposes its distributive share of the items of income, gain, loss and deduction of BellRing LLC in the periods prior to the Spin-off.</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42"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11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During the fourth quarter of 2022, BellRing repurchased 1.0 million shares for $22.4 million at an average price of $23.20 per share, 0.8 million of which were repurchased in August in connection with a secondary equity offering of shares previously held by Post. During fiscal year 2022, BellRing repurchased 1.9 million shares for $42.8 million at an average price of $23.24 per share, 0.8 million of which were repurchased prior to the Spin-off and have since been cancelled. As of September 30, 2022, BellRing had $25.3 million remaining under its share repurchase authorization.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118"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On March 10, 2022, Post’s distribution to its shareholders of 80.1% of its interest in BellRing was completed. From October 21, 2019 through March 10, 2022, BellRing allocated a portion of the consolidated net earnings of BellRing LLC to its redeemable NCI, reflecting the entitlement of Post to a portion of the consolidated net earnings. Subsequent to the Spin-off, there was no NCI in the consolidated net earnings of BellRing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18"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For fiscal year 2023, BellRing management expects net sales to range between $1.56-$1.64 billion and Adjusted EBITDA to range between $300-$325 million (resulting in net sales and Adjusted EBITDA growth of 14%-20% and 11%-20%, respectively, over fiscal year 2022). BellRing management expects fiscal year 2023 capital expenditures of approximately $4 million.</w:t>
      </w:r>
    </w:p>
    <w:p>
      <w:pPr>
        <w:spacing w:after="0" w:line="7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separation costs, provision for legal matters, restructuring and facility closures costs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to Discuss Earnings Results and Outlook</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Friday, November 18, 2022 at 10:30 a.m. EST to discuss financial results for the fourth quarter and fiscal year 2022 and fiscal year 2023 outlook and to respond to questions. Darcy H. Davenport, President and Chief Executive Officer, and Paul A. Rode, Chief Financial Officer, will participate in the call.</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Interested parties may join the conference call by dialing (800) 245-3047 in the United States and (203) 518-9765 from outside of the United States. The conference identification number is BRBRQ422.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60"/>
          </w:cols>
          <w:pgMar w:left="300" w:top="746" w:right="339" w:bottom="1440" w:gutter="0" w:footer="0" w:header="0"/>
        </w:sectPr>
      </w:pPr>
    </w:p>
    <w:bookmarkStart w:id="6" w:name="page7"/>
    <w:bookmarkEnd w:id="6"/>
    <w:p>
      <w:pPr>
        <w:ind w:right="100"/>
        <w:spacing w:after="0" w:line="279" w:lineRule="auto"/>
        <w:rPr>
          <w:sz w:val="20"/>
          <w:szCs w:val="20"/>
          <w:color w:val="auto"/>
        </w:rPr>
      </w:pPr>
      <w:r>
        <w:rPr>
          <w:rFonts w:ascii="Times New Roman" w:cs="Times New Roman" w:eastAsia="Times New Roman" w:hAnsi="Times New Roman"/>
          <w:sz w:val="12"/>
          <w:szCs w:val="12"/>
          <w:color w:val="auto"/>
        </w:rPr>
        <w:t>A replay of the conference call will be available through Friday, November 25, 2022 by dialing (800) 839-2461 in the United States and (402) 220-7219 from outside of the United States. A webcast replay also will be available for a limited period on BellRing’s website in the Investor Relations section.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and Adjusted EBITDA and capital expenditures outlook for fiscal year 2023.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continue to compete in its product categories and its ability to retain its market position and favorable perceptions of its brands;</w:t>
      </w:r>
    </w:p>
    <w:p>
      <w:pPr>
        <w:spacing w:after="0" w:line="6" w:lineRule="exact"/>
        <w:rPr>
          <w:rFonts w:ascii="Times New Roman" w:cs="Times New Roman" w:eastAsia="Times New Roman" w:hAnsi="Times New Roman"/>
          <w:sz w:val="12"/>
          <w:szCs w:val="12"/>
          <w:color w:val="auto"/>
        </w:rPr>
      </w:pPr>
    </w:p>
    <w:p>
      <w:pPr>
        <w:jc w:val="both"/>
        <w:ind w:left="42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BellRing’s supply chain, including as a result of BellRing’s reliance on third party suppliers or manufacturers for the manufacturing of many of its products, pandemics (including the COVID-19 pandemic)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a limited number of third party contract manufacturers for the manufacturing of most of its products, including one manufacturer for the majority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BellRing’s third party contract manufacturers to produce an amount of BellRing’s products that enables BellRing to meet customer and consumer demand for the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 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 or availability of inputs to BellRing’s business (including freight, raw materials, packaging, energy, labor and other supplies);</w:t>
      </w:r>
    </w:p>
    <w:p>
      <w:pPr>
        <w:spacing w:after="0" w:line="6" w:lineRule="exact"/>
        <w:rPr>
          <w:rFonts w:ascii="Times New Roman" w:cs="Times New Roman" w:eastAsia="Times New Roman" w:hAnsi="Times New Roman"/>
          <w:sz w:val="12"/>
          <w:szCs w:val="12"/>
          <w:color w:val="auto"/>
        </w:rPr>
      </w:pPr>
    </w:p>
    <w:p>
      <w:pPr>
        <w:ind w:left="420" w:right="4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the COVID-19 pandemic, including negative impacts on the global economy and capital markets, the health of BellRing’s employees, BellRing’s ability and the ability of its third party contract manufacturers to manufacture and deliver its products, operating costs, demand for its on-the-go products and its operations generally;</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behaviors and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6" w:lineRule="exact"/>
        <w:rPr>
          <w:rFonts w:ascii="Times New Roman" w:cs="Times New Roman" w:eastAsia="Times New Roman" w:hAnsi="Times New Roman"/>
          <w:sz w:val="12"/>
          <w:szCs w:val="12"/>
          <w:color w:val="auto"/>
        </w:rPr>
      </w:pPr>
    </w:p>
    <w:p>
      <w:pPr>
        <w:ind w:left="420" w:right="10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the net selling prices of its products and manage promotional activities with respect to its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high leverage, its ability to obtain additional financing (including both secured and unsecured debt) and its ability to service its outstanding debt (including covenants that restrict the operation of its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estimates in critical accounting judgments;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 or unfavorable economic conditions that limit customer and consumer demand for BellRing’s products or increase its costs;</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20"/>
          </w:cols>
          <w:pgMar w:left="300" w:top="642" w:right="379" w:bottom="1440" w:gutter="0" w:footer="0" w:header="0"/>
        </w:sectPr>
      </w:pPr>
    </w:p>
    <w:bookmarkStart w:id="7" w:name="page8"/>
    <w:bookmarkEnd w:id="7"/>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following BellRing’s separation from Post and the Spin-off, including BellRing’s obligations under various agreements with Post;</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conflicting interests or the appearance of conflicting interests resulting from certain of BellRing’s directors also serving as officers or directors of Post;</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previously completed Spin-off, including BellRing’s inability to take certain actions because such actions could jeopardize the tax-free status of the Distribution and BellRing’s possible responsibility for U.S. federal tax liabilities related to the Distribution;</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 and to continue to use third party intellectual property subject to intellectual property licenses;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information technology failures, cybersecurity incidents and/or information security breaches;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any guidance BellRing may give regarding its performance;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hire and retain talented personnel, employee absenteeism, labor strikes, work stoppages or unionization efforts;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Securities and Exchange Commission.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14"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2"/>
          <w:szCs w:val="12"/>
          <w:color w:val="auto"/>
        </w:rPr>
        <w:t xml:space="preserve">BellRing Brands, Inc. is a rapidly growing leader in the global convenient nutrition category offering ready-to-drink shake and powder protein products. Its primary brands,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(314) 644-7665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Media Relations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Lisa Hanly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lisa.hanly@bellringbrands.com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(314) 665-3180</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80"/>
          </w:cols>
          <w:pgMar w:left="300" w:top="642"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700" w:type="dxa"/>
            <w:vAlign w:val="bottom"/>
          </w:tcPr>
          <w:p>
            <w:pPr>
              <w:spacing w:after="0"/>
              <w:rPr>
                <w:sz w:val="10"/>
                <w:szCs w:val="10"/>
                <w:color w:val="auto"/>
              </w:rPr>
            </w:pPr>
          </w:p>
        </w:tc>
      </w:tr>
      <w:tr>
        <w:trPr>
          <w:trHeight w:val="143"/>
        </w:trPr>
        <w:tc>
          <w:tcPr>
            <w:tcW w:w="6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00" w:type="dxa"/>
            <w:vAlign w:val="bottom"/>
            <w:tcBorders>
              <w:bottom w:val="single" w:sz="8" w:color="auto"/>
            </w:tcBorders>
          </w:tcPr>
          <w:p>
            <w:pPr>
              <w:spacing w:after="0"/>
              <w:rPr>
                <w:sz w:val="12"/>
                <w:szCs w:val="12"/>
                <w:color w:val="auto"/>
              </w:rPr>
            </w:pPr>
          </w:p>
        </w:tc>
      </w:tr>
      <w:tr>
        <w:trPr>
          <w:trHeight w:val="133"/>
        </w:trPr>
        <w:tc>
          <w:tcPr>
            <w:tcW w:w="64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379.2</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340.0</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1,371.5</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1,247.1</w:t>
            </w:r>
          </w:p>
        </w:tc>
      </w:tr>
      <w:tr>
        <w:trPr>
          <w:trHeight w:val="153"/>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256.9</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244.0</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949.7</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860.9</w:t>
            </w:r>
          </w:p>
        </w:tc>
      </w:tr>
      <w:tr>
        <w:trPr>
          <w:trHeight w:val="142"/>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122.3</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421.8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386.2</w:t>
            </w: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189.7</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167.1</w:t>
            </w: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19.7</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w:t>
            </w: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Other operating income, net</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2"/>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61.1</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212.4</w:t>
            </w: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168.0</w:t>
            </w: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49.2</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w:t>
            </w: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extinguishment and refinancing of debt, net</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17.6</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2"/>
        </w:trPr>
        <w:tc>
          <w:tcPr>
            <w:tcW w:w="6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145.6</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123.2</w:t>
            </w: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2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29.6</w:t>
            </w:r>
          </w:p>
        </w:tc>
        <w:tc>
          <w:tcPr>
            <w:tcW w:w="2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142"/>
        </w:trPr>
        <w:tc>
          <w:tcPr>
            <w:tcW w:w="6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Earnings Including Redeemable Noncontrolling Interest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116.0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114.4</w:t>
            </w: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earnings attributable to redeemable noncontrolling interest</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33.7</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w:t>
            </w:r>
          </w:p>
        </w:tc>
      </w:tr>
      <w:tr>
        <w:trPr>
          <w:trHeight w:val="158"/>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w:t>
            </w: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24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3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82.3</w:t>
            </w:r>
          </w:p>
        </w:tc>
        <w:tc>
          <w:tcPr>
            <w:tcW w:w="2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w:t>
            </w:r>
          </w:p>
        </w:tc>
      </w:tr>
      <w:tr>
        <w:trPr>
          <w:trHeight w:val="153"/>
        </w:trPr>
        <w:tc>
          <w:tcPr>
            <w:tcW w:w="6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per share of Common Stock:</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0.25</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0.88</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0.70</w:t>
            </w: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0.25</w:t>
            </w:r>
          </w:p>
        </w:tc>
        <w:tc>
          <w:tcPr>
            <w:tcW w:w="24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0.25</w:t>
            </w:r>
          </w:p>
        </w:tc>
        <w:tc>
          <w:tcPr>
            <w:tcW w:w="34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0.88</w:t>
            </w:r>
          </w:p>
        </w:tc>
        <w:tc>
          <w:tcPr>
            <w:tcW w:w="22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0.70</w:t>
            </w:r>
          </w:p>
        </w:tc>
      </w:tr>
      <w:tr>
        <w:trPr>
          <w:trHeight w:val="171"/>
        </w:trPr>
        <w:tc>
          <w:tcPr>
            <w:tcW w:w="6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shares of Common Stock Outstanding:</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135.7</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93.5</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r>
      <w:tr>
        <w:trPr>
          <w:trHeight w:val="155"/>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136.1</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93.8</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20"/>
          </w:cols>
          <w:pgMar w:left="340" w:top="638"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2022</w:t>
            </w: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September 30, 2021</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5360" w:type="dxa"/>
            <w:vAlign w:val="bottom"/>
            <w:gridSpan w:val="2"/>
            <w:shd w:val="clear" w:color="auto" w:fill="CCEEFF"/>
          </w:tcPr>
          <w:p>
            <w:pPr>
              <w:jc w:val="center"/>
              <w:ind w:right="502"/>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360" w:type="dxa"/>
            <w:vAlign w:val="bottom"/>
            <w:gridSpan w:val="2"/>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152.6</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Receivables, net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173.3</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199.8</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117.9</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421.3</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388.1</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203.3</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223.1</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94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707.2</w:t>
            </w:r>
          </w:p>
        </w:tc>
        <w:tc>
          <w:tcPr>
            <w:tcW w:w="3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696.5</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rPr>
                <w:sz w:val="15"/>
                <w:szCs w:val="15"/>
                <w:color w:val="auto"/>
              </w:rPr>
            </w:pPr>
          </w:p>
        </w:tc>
        <w:tc>
          <w:tcPr>
            <w:tcW w:w="5360" w:type="dxa"/>
            <w:vAlign w:val="bottom"/>
            <w:gridSpan w:val="2"/>
            <w:shd w:val="clear" w:color="auto" w:fill="CCEEFF"/>
          </w:tcPr>
          <w:p>
            <w:pPr>
              <w:jc w:val="center"/>
              <w:ind w:right="502"/>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DEFICIT</w:t>
            </w: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5360" w:type="dxa"/>
            <w:vAlign w:val="bottom"/>
            <w:gridSpan w:val="2"/>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116.3</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3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0" w:type="dxa"/>
            <w:vAlign w:val="bottom"/>
          </w:tcPr>
          <w:p>
            <w:pPr>
              <w:spacing w:after="0"/>
              <w:rPr>
                <w:sz w:val="1"/>
                <w:szCs w:val="1"/>
                <w:color w:val="auto"/>
              </w:rPr>
            </w:pPr>
          </w:p>
        </w:tc>
      </w:tr>
      <w:tr>
        <w:trPr>
          <w:trHeight w:val="142"/>
        </w:trPr>
        <w:tc>
          <w:tcPr>
            <w:tcW w:w="320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251.3</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929.5</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481.2</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1,083.4</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762.0</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Redeemable noncontrolling interest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2,997.3</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Preferred stock</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(355.6)</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(3,059.7)</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Treasury stock, at cost</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3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9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(376.2)</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(3,062.8)</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394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707.2</w:t>
            </w:r>
          </w:p>
        </w:tc>
        <w:tc>
          <w:tcPr>
            <w:tcW w:w="3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696.5</w:t>
            </w:r>
          </w:p>
        </w:tc>
        <w:tc>
          <w:tcPr>
            <w:tcW w:w="0" w:type="dxa"/>
            <w:vAlign w:val="bottom"/>
          </w:tcPr>
          <w:p>
            <w:pPr>
              <w:spacing w:after="0"/>
              <w:rPr>
                <w:sz w:val="1"/>
                <w:szCs w:val="1"/>
                <w:color w:val="auto"/>
              </w:rPr>
            </w:pPr>
          </w:p>
        </w:tc>
      </w:tr>
      <w:tr>
        <w:trPr>
          <w:trHeight w:val="340"/>
        </w:trPr>
        <w:tc>
          <w:tcPr>
            <w:tcW w:w="3200" w:type="dxa"/>
            <w:vAlign w:val="bottom"/>
          </w:tcPr>
          <w:p>
            <w:pPr>
              <w:spacing w:after="0"/>
              <w:rPr>
                <w:sz w:val="24"/>
                <w:szCs w:val="24"/>
                <w:color w:val="auto"/>
              </w:rPr>
            </w:pPr>
          </w:p>
        </w:tc>
        <w:tc>
          <w:tcPr>
            <w:tcW w:w="5360" w:type="dxa"/>
            <w:vAlign w:val="bottom"/>
            <w:gridSpan w:val="2"/>
          </w:tcPr>
          <w:p>
            <w:pPr>
              <w:jc w:val="center"/>
              <w:ind w:right="502"/>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5360" w:type="dxa"/>
            <w:vAlign w:val="bottom"/>
            <w:gridSpan w:val="2"/>
          </w:tcPr>
          <w:p>
            <w:pPr>
              <w:jc w:val="center"/>
              <w:ind w:right="502"/>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00" w:type="dxa"/>
            <w:vAlign w:val="bottom"/>
            <w:gridSpan w:val="3"/>
          </w:tcPr>
          <w:p>
            <w:pPr>
              <w:jc w:val="right"/>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34"/>
        </w:trPr>
        <w:tc>
          <w:tcPr>
            <w:tcW w:w="32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5360" w:type="dxa"/>
            <w:vAlign w:val="bottom"/>
            <w:gridSpan w:val="2"/>
          </w:tcPr>
          <w:p>
            <w:pPr>
              <w:jc w:val="right"/>
              <w:ind w:right="1282"/>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34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226.1</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(135.0)</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3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(decrease) increase in cash and cash equivalents</w:t>
            </w:r>
          </w:p>
        </w:tc>
        <w:tc>
          <w:tcPr>
            <w:tcW w:w="39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(116.8)</w:t>
            </w:r>
          </w:p>
        </w:tc>
        <w:tc>
          <w:tcPr>
            <w:tcW w:w="34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40" w:type="dxa"/>
            <w:vAlign w:val="bottom"/>
            <w:vMerge w:val="restart"/>
          </w:tcPr>
          <w:p>
            <w:pPr>
              <w:jc w:val="center"/>
              <w:ind w:left="823"/>
              <w:spacing w:after="0"/>
              <w:rPr>
                <w:sz w:val="20"/>
                <w:szCs w:val="20"/>
                <w:color w:val="auto"/>
              </w:rPr>
            </w:pPr>
            <w:r>
              <w:rPr>
                <w:rFonts w:ascii="Times New Roman" w:cs="Times New Roman" w:eastAsia="Times New Roman" w:hAnsi="Times New Roman"/>
                <w:sz w:val="12"/>
                <w:szCs w:val="12"/>
                <w:color w:val="auto"/>
                <w:w w:val="99"/>
              </w:rPr>
              <w:t>7</w:t>
            </w: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2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38"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available to common stockholders and Adjusted diluted earnings per share of common stock</w:t>
      </w:r>
    </w:p>
    <w:p>
      <w:pPr>
        <w:spacing w:after="0" w:line="1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available to common stockholders and Adjusted diluted earnings per share of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available to common stockholders and Adjusted diluted earnings per share of common stock are adjusted for the following items:</w:t>
      </w:r>
    </w:p>
    <w:p>
      <w:pPr>
        <w:spacing w:after="0" w:line="17" w:lineRule="exact"/>
        <w:rPr>
          <w:sz w:val="20"/>
          <w:szCs w:val="20"/>
          <w:color w:val="auto"/>
        </w:rPr>
      </w:pPr>
    </w:p>
    <w:p>
      <w:pPr>
        <w:jc w:val="both"/>
        <w:ind w:left="420" w:right="16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Accelerated amortization</w:t>
      </w:r>
      <w:r>
        <w:rPr>
          <w:rFonts w:ascii="Times New Roman" w:cs="Times New Roman" w:eastAsia="Times New Roman" w:hAnsi="Times New Roman"/>
          <w:sz w:val="12"/>
          <w:szCs w:val="12"/>
          <w:color w:val="auto"/>
        </w:rPr>
        <w:t>: BellRing has excluded non-cash accelerated amortization charges recorded in connection with the discontinuation of certain brands as the amount and frequency of such charges are not consistent.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Loss on extinguishment and refinancing of debt, net</w:t>
      </w:r>
      <w:r>
        <w:rPr>
          <w:rFonts w:ascii="Times New Roman" w:cs="Times New Roman" w:eastAsia="Times New Roman" w:hAnsi="Times New Roman"/>
          <w:sz w:val="12"/>
          <w:szCs w:val="12"/>
          <w:color w:val="auto"/>
        </w:rPr>
        <w:t>: BellRing has excluded losses recorded on extinguishment and refinancing of debt, inclusive of the write-off of debt issuance costs and deferred financing fees and the write-off of net unamortized debt discounts, as such losses are inconsistent in amount and frequency. Additionally, BellRing believes that these losses do not reflect expected ongoing future operating expenses and do not contribute to a meaningful evaluation of BellRing’s current operating performance or comparisons of BellRing’s operating performance to other periods.</w:t>
      </w:r>
    </w:p>
    <w:p>
      <w:pPr>
        <w:ind w:left="420" w:right="10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Separation costs</w:t>
      </w:r>
      <w:r>
        <w:rPr>
          <w:rFonts w:ascii="Times New Roman" w:cs="Times New Roman" w:eastAsia="Times New Roman" w:hAnsi="Times New Roman"/>
          <w:sz w:val="12"/>
          <w:szCs w:val="12"/>
          <w:color w:val="auto"/>
        </w:rPr>
        <w:t>: BellRing has excluded certain expenses incurred (i) to effect its separation from Post, (ii) in connection with Post’s distribution of 80.1% of its interest in BellRing and (iii) to support its transition into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separate stand-alone, publicly-traded entity,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24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Provision for legal matters</w:t>
      </w:r>
      <w:r>
        <w:rPr>
          <w:rFonts w:ascii="Times New Roman" w:cs="Times New Roman" w:eastAsia="Times New Roman" w:hAnsi="Times New Roman"/>
          <w:sz w:val="12"/>
          <w:szCs w:val="12"/>
          <w:color w:val="auto"/>
        </w:rPr>
        <w:t>: BellRing has excluded gains and losses recorded to recognize the anticipated or actual resolution of certain litigation as BellRing believes such gains and losses do not reflect expected ongoing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future operating income and expenses and do not contribute to a meaningful evaluation of BellRing’s current operating performance or comparisons of BellRing’s operating performance to other periods.</w:t>
      </w:r>
    </w:p>
    <w:p>
      <w:pPr>
        <w:ind w:left="420" w:right="32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Restructuring and facility closure costs, including accelerated depreciation</w:t>
      </w:r>
      <w:r>
        <w:rPr>
          <w:rFonts w:ascii="Times New Roman" w:cs="Times New Roman" w:eastAsia="Times New Roman" w:hAnsi="Times New Roman"/>
          <w:sz w:val="12"/>
          <w:szCs w:val="12"/>
          <w:color w:val="auto"/>
        </w:rPr>
        <w:t>: BellRing has excluded certain costs associated with facility closures as the amount and frequency of such adjustments are not consistent.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180" w:hanging="212"/>
        <w:spacing w:after="0" w:line="250" w:lineRule="auto"/>
        <w:tabs>
          <w:tab w:leader="none" w:pos="41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Resolution of dispute with former contract manufacturer</w:t>
      </w:r>
      <w:r>
        <w:rPr>
          <w:rFonts w:ascii="Times New Roman" w:cs="Times New Roman" w:eastAsia="Times New Roman" w:hAnsi="Times New Roman"/>
          <w:sz w:val="12"/>
          <w:szCs w:val="12"/>
          <w:color w:val="auto"/>
        </w:rPr>
        <w:t>: BellRing has excluded certain non-cash write-offs recorded in connection with the resolution of a dispute with a former contract manufacturer as the amount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frequency of such losses are not consistent. Additionally, BellRing believes that these losses do not reflect expected ongoing future operating expenses and do not contribute to a meaningful evaluation of BellRing’s current operating performance or comparisons of BellRing’s operating performance to other periods.</w:t>
      </w:r>
    </w:p>
    <w:p>
      <w:pPr>
        <w:ind w:left="420" w:right="44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2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Mark-to-market adjustments on commodity hedges</w:t>
      </w:r>
      <w:r>
        <w:rPr>
          <w:rFonts w:ascii="Times New Roman" w:cs="Times New Roman" w:eastAsia="Times New Roman" w:hAnsi="Times New Roman"/>
          <w:sz w:val="12"/>
          <w:szCs w:val="12"/>
          <w:color w:val="auto"/>
        </w:rPr>
        <w:t>: BellRing has excluded the impact of mark-to-market adjustments on commodity hedges due to the inherent uncertainty and volatility associated with such amounts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assumptions with respect to fair value estimates. Additionally, these adjustments are primarily non-cash items and the amount and frequency of such adjustments are not consistent.</w:t>
      </w: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Adjustment to tax receivable agreement (“TRA”) liability</w:t>
      </w:r>
      <w:r>
        <w:rPr>
          <w:rFonts w:ascii="Times New Roman" w:cs="Times New Roman" w:eastAsia="Times New Roman" w:hAnsi="Times New Roman"/>
          <w:sz w:val="12"/>
          <w:szCs w:val="12"/>
          <w:color w:val="auto"/>
        </w:rPr>
        <w:t>: BellRing has excluded adjustments to its TRA liability as the amount and frequency of such adjustments are not consistent. Additionally, BellRing believes that these</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40"/>
          </w:cols>
          <w:pgMar w:left="300" w:top="641" w:right="359" w:bottom="1440" w:gutter="0" w:footer="0" w:header="0"/>
        </w:sectPr>
      </w:pPr>
    </w:p>
    <w:bookmarkStart w:id="11" w:name="page12"/>
    <w:bookmarkEnd w:id="11"/>
    <w:p>
      <w:pPr>
        <w:ind w:left="420"/>
        <w:spacing w:after="0"/>
        <w:rPr>
          <w:sz w:val="20"/>
          <w:szCs w:val="20"/>
          <w:color w:val="auto"/>
        </w:rPr>
      </w:pPr>
      <w:r>
        <w:rPr>
          <w:rFonts w:ascii="Times New Roman" w:cs="Times New Roman" w:eastAsia="Times New Roman" w:hAnsi="Times New Roman"/>
          <w:sz w:val="12"/>
          <w:szCs w:val="12"/>
          <w:color w:val="auto"/>
        </w:rPr>
        <w:t>adjustments do not contribute to a meaningful evaluation of BellRing’s current operating performance or comparisons of BellRing’s operating performance to other periods.</w:t>
      </w:r>
    </w:p>
    <w:p>
      <w:pPr>
        <w:spacing w:after="0" w:line="17" w:lineRule="exact"/>
        <w:rPr>
          <w:sz w:val="20"/>
          <w:szCs w:val="20"/>
          <w:color w:val="auto"/>
        </w:rPr>
      </w:pPr>
    </w:p>
    <w:p>
      <w:pPr>
        <w:ind w:left="420" w:right="140" w:hanging="212"/>
        <w:spacing w:after="0" w:line="250" w:lineRule="auto"/>
        <w:tabs>
          <w:tab w:leader="none" w:pos="411"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NCI adjustment</w:t>
      </w:r>
      <w:r>
        <w:rPr>
          <w:rFonts w:ascii="Times New Roman" w:cs="Times New Roman" w:eastAsia="Times New Roman" w:hAnsi="Times New Roman"/>
          <w:sz w:val="12"/>
          <w:szCs w:val="12"/>
          <w:color w:val="auto"/>
        </w:rPr>
        <w:t>: BellRing has included an adjustment to reflect the removal of non-GAAP adjustments which are attributable to redeemable NCI in the periods prior to the Spin-off in the calculation of Adjusted net earnings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available to common stockholders and Adjusted diluted earnings per share of common stock.</w:t>
      </w:r>
    </w:p>
    <w:p>
      <w:pPr>
        <w:ind w:left="420" w:right="160" w:hanging="212"/>
        <w:spacing w:after="0" w:line="260"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 effect on adjustments</w:t>
      </w:r>
      <w:r>
        <w:rPr>
          <w:rFonts w:ascii="Times New Roman" w:cs="Times New Roman" w:eastAsia="Times New Roman" w:hAnsi="Times New Roman"/>
          <w:sz w:val="12"/>
          <w:szCs w:val="12"/>
          <w:color w:val="auto"/>
        </w:rPr>
        <w:t>: BellRing has included the income tax impact of the non-GAAP adjustments using a rate described in the applicable footnote of the reconciliation tables, as BellRing believes that its GAAP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 income tax rate as reported is not representative of the income tax expense impact of the adjustments.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w:t>
      </w:r>
    </w:p>
    <w:p>
      <w:pPr>
        <w:spacing w:after="0" w:line="91" w:lineRule="exact"/>
        <w:rPr>
          <w:sz w:val="20"/>
          <w:szCs w:val="20"/>
          <w:color w:val="auto"/>
        </w:rPr>
      </w:pPr>
    </w:p>
    <w:p>
      <w:pPr>
        <w:jc w:val="both"/>
        <w:ind w:right="300"/>
        <w:spacing w:after="0" w:line="256" w:lineRule="auto"/>
        <w:rPr>
          <w:sz w:val="20"/>
          <w:szCs w:val="20"/>
          <w:color w:val="auto"/>
        </w:rPr>
      </w:pPr>
      <w:r>
        <w:rPr>
          <w:rFonts w:ascii="Times New Roman" w:cs="Times New Roman" w:eastAsia="Times New Roman" w:hAnsi="Times New Roman"/>
          <w:sz w:val="12"/>
          <w:szCs w:val="12"/>
          <w:color w:val="auto"/>
        </w:rPr>
        <w:t>Adjusted EBITDA reflects adjustments for income tax expense, interest expense, net and depreciation and amortization including accelerated depreciation and amortization, and the following adjustments discussed above: loss on extinguishment and refinancing of debt, net, separation costs, provision for legal matters, restructuring and facility closure costs excluding accelerated depreciation, resolution of dispute with former contract manufacturer, foreign currency gain/loss on intercompany loans, mark-to-market adjustments on commodity hedges and adjustment to TRA liability. Additionally, Adjusted EBITDA reflects adjustments for the following items:</w:t>
      </w:r>
    </w:p>
    <w:p>
      <w:pPr>
        <w:spacing w:after="0" w:line="1" w:lineRule="exact"/>
        <w:rPr>
          <w:sz w:val="20"/>
          <w:szCs w:val="20"/>
          <w:color w:val="auto"/>
        </w:rPr>
      </w:pPr>
    </w:p>
    <w:p>
      <w:pPr>
        <w:ind w:left="420" w:hanging="212"/>
        <w:spacing w:after="0" w:line="250" w:lineRule="auto"/>
        <w:tabs>
          <w:tab w:leader="none" w:pos="411"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after the initial public offering (the “IPO”) includes the use of BellRing stock-based compensation to attract and retain executives and employees by aligning their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long-term compensation interests with 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BellRing’s compensation strategy prior to the IPO included the use of Post stock-based compensation to attract and retain executives and employees by aligning their long-term compensation interests with Post’s shareholders’ investment interests; after the IPO, BellRing was charged for Post stock-based compensation through the master services agreement with Post through the vesting date.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1" w:lineRule="exact"/>
        <w:rPr>
          <w:rFonts w:ascii="Times New Roman" w:cs="Times New Roman" w:eastAsia="Times New Roman" w:hAnsi="Times New Roman"/>
          <w:sz w:val="12"/>
          <w:szCs w:val="12"/>
          <w:color w:val="auto"/>
        </w:rPr>
      </w:pPr>
    </w:p>
    <w:p>
      <w:pPr>
        <w:ind w:left="420" w:right="120" w:hanging="212"/>
        <w:spacing w:after="0" w:line="260"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Net earnings attributable to redeemable noncontrolling interest</w:t>
      </w:r>
      <w:r>
        <w:rPr>
          <w:rFonts w:ascii="Times New Roman" w:cs="Times New Roman" w:eastAsia="Times New Roman" w:hAnsi="Times New Roman"/>
          <w:sz w:val="12"/>
          <w:szCs w:val="12"/>
          <w:color w:val="auto"/>
        </w:rPr>
        <w:t>: BellRing has included adjustments for the portion of its consolidated net earnings which was allocated to redeemable NCI for the periods prior to the Spin-off,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allowing for the calculation of Adjusted EBITDA to include 100% of BellRing as BellRing’s management evaluates BellRing’s operating performance on a basis that includes 100% of BellRing.</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60"/>
          </w:cols>
          <w:pgMar w:left="300" w:top="64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26"/>
        </w:trPr>
        <w:tc>
          <w:tcPr>
            <w:tcW w:w="8060" w:type="dxa"/>
            <w:vAlign w:val="bottom"/>
            <w:gridSpan w:val="6"/>
          </w:tcPr>
          <w:p>
            <w:pPr>
              <w:jc w:val="center"/>
              <w:ind w:left="3101"/>
              <w:spacing w:after="0"/>
              <w:rPr>
                <w:sz w:val="20"/>
                <w:szCs w:val="20"/>
                <w:color w:val="auto"/>
              </w:rPr>
            </w:pPr>
            <w:r>
              <w:rPr>
                <w:rFonts w:ascii="Times New Roman" w:cs="Times New Roman" w:eastAsia="Times New Roman" w:hAnsi="Times New Roman"/>
                <w:sz w:val="11"/>
                <w:szCs w:val="11"/>
                <w:b w:val="1"/>
                <w:bCs w:val="1"/>
                <w:color w:val="auto"/>
                <w:w w:val="97"/>
              </w:rPr>
              <w:t>RECONCILIATION OF NET EARNINGS AVAILABLE TO COMMON STOCKHOLDERS</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8060" w:type="dxa"/>
            <w:vAlign w:val="bottom"/>
            <w:gridSpan w:val="6"/>
          </w:tcPr>
          <w:p>
            <w:pPr>
              <w:jc w:val="center"/>
              <w:ind w:left="3081"/>
              <w:spacing w:after="0"/>
              <w:rPr>
                <w:sz w:val="20"/>
                <w:szCs w:val="20"/>
                <w:color w:val="auto"/>
              </w:rPr>
            </w:pPr>
            <w:r>
              <w:rPr>
                <w:rFonts w:ascii="Times New Roman" w:cs="Times New Roman" w:eastAsia="Times New Roman" w:hAnsi="Times New Roman"/>
                <w:sz w:val="11"/>
                <w:szCs w:val="11"/>
                <w:b w:val="1"/>
                <w:bCs w:val="1"/>
                <w:color w:val="auto"/>
                <w:w w:val="97"/>
              </w:rPr>
              <w:t>TO ADJUSTED NET EARNINGS AVAILABLE TO COMMON STOCKHOLDERS (Unaudited)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2"/>
        </w:trPr>
        <w:tc>
          <w:tcPr>
            <w:tcW w:w="4740" w:type="dxa"/>
            <w:vAlign w:val="bottom"/>
          </w:tcPr>
          <w:p>
            <w:pPr>
              <w:spacing w:after="0"/>
              <w:rPr>
                <w:sz w:val="12"/>
                <w:szCs w:val="12"/>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21"/>
        </w:trPr>
        <w:tc>
          <w:tcPr>
            <w:tcW w:w="47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3"/>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3"/>
          </w:tcPr>
          <w:p>
            <w:pPr>
              <w:jc w:val="right"/>
              <w:ind w:right="100"/>
              <w:spacing w:after="0" w:line="12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700" w:type="dxa"/>
            <w:vAlign w:val="bottom"/>
          </w:tcPr>
          <w:p>
            <w:pPr>
              <w:spacing w:after="0"/>
              <w:rPr>
                <w:sz w:val="10"/>
                <w:szCs w:val="10"/>
                <w:color w:val="auto"/>
              </w:rPr>
            </w:pPr>
          </w:p>
        </w:tc>
      </w:tr>
      <w:tr>
        <w:trPr>
          <w:trHeight w:val="143"/>
        </w:trPr>
        <w:tc>
          <w:tcPr>
            <w:tcW w:w="4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00" w:type="dxa"/>
            <w:vAlign w:val="bottom"/>
            <w:tcBorders>
              <w:bottom w:val="single" w:sz="8" w:color="auto"/>
            </w:tcBorders>
          </w:tcPr>
          <w:p>
            <w:pPr>
              <w:spacing w:after="0"/>
              <w:rPr>
                <w:sz w:val="12"/>
                <w:szCs w:val="12"/>
                <w:color w:val="auto"/>
              </w:rPr>
            </w:pPr>
          </w:p>
        </w:tc>
      </w:tr>
      <w:tr>
        <w:trPr>
          <w:trHeight w:val="133"/>
        </w:trPr>
        <w:tc>
          <w:tcPr>
            <w:tcW w:w="474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w:t>
            </w:r>
          </w:p>
        </w:tc>
        <w:tc>
          <w:tcPr>
            <w:tcW w:w="17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82.3</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w:t>
            </w: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Dilutive impact of net earnings attributable to NCI</w:t>
            </w: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42"/>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 for Diluted Earnings per Share</w:t>
            </w:r>
          </w:p>
        </w:tc>
        <w:tc>
          <w:tcPr>
            <w:tcW w:w="17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82.3</w:t>
            </w: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w:t>
            </w:r>
          </w:p>
        </w:tc>
      </w:tr>
      <w:tr>
        <w:trPr>
          <w:trHeight w:val="171"/>
        </w:trPr>
        <w:tc>
          <w:tcPr>
            <w:tcW w:w="4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3"/>
        </w:trPr>
        <w:tc>
          <w:tcPr>
            <w:tcW w:w="4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w:t>
            </w:r>
          </w:p>
        </w:tc>
      </w:tr>
      <w:tr>
        <w:trPr>
          <w:trHeight w:val="153"/>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Loss on extinguishment and refinancing of debt, net</w:t>
            </w:r>
          </w:p>
        </w:tc>
        <w:tc>
          <w:tcPr>
            <w:tcW w:w="1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17.6</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53"/>
        </w:trPr>
        <w:tc>
          <w:tcPr>
            <w:tcW w:w="4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14.5</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53"/>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1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8.0</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Restructuring and facility closure costs, including accelerated depreciation</w:t>
            </w: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0.3</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53"/>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Resolution of dispute with former contract manufacturer</w:t>
            </w:r>
          </w:p>
        </w:tc>
        <w:tc>
          <w:tcPr>
            <w:tcW w:w="1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loss on intercompany loans</w:t>
            </w: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53"/>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0.5</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53"/>
        </w:trPr>
        <w:tc>
          <w:tcPr>
            <w:tcW w:w="4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Adjustment to TRA liability</w:t>
            </w: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NCI adjustment</w:t>
            </w:r>
          </w:p>
        </w:tc>
        <w:tc>
          <w:tcPr>
            <w:tcW w:w="1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w:t>
            </w:r>
          </w:p>
        </w:tc>
      </w:tr>
      <w:tr>
        <w:trPr>
          <w:trHeight w:val="142"/>
        </w:trPr>
        <w:tc>
          <w:tcPr>
            <w:tcW w:w="47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17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31.9</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w:t>
            </w:r>
          </w:p>
        </w:tc>
      </w:tr>
      <w:tr>
        <w:trPr>
          <w:trHeight w:val="153"/>
        </w:trPr>
        <w:tc>
          <w:tcPr>
            <w:tcW w:w="47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1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42"/>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Net Earnings Available to Common Stockholders</w:t>
            </w:r>
          </w:p>
        </w:tc>
        <w:tc>
          <w:tcPr>
            <w:tcW w:w="17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2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3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108.9</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35.8</w:t>
            </w:r>
          </w:p>
        </w:tc>
      </w:tr>
      <w:tr>
        <w:trPr>
          <w:trHeight w:val="20"/>
        </w:trPr>
        <w:tc>
          <w:tcPr>
            <w:tcW w:w="4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right="60" w:firstLine="9"/>
        <w:spacing w:after="0" w:line="256" w:lineRule="auto"/>
        <w:tabs>
          <w:tab w:leader="none" w:pos="121"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For the periods subsequent to the Spin-off (March 11, 2022 through September 30, 2022), income tax effect on adjustments was calculated on all items, except for separation costs, using a rate of 24.0%. For the periods prior to the Spin-off (October 1, 2021 through March 10, 2022 and for the three months and year ended September 30, 2021), income tax effect on adjustments was calculated on all items, except for separation costs, adjustment to TRA liability and NCI adjustment, using a rate of 7.0%, which represents the effective income tax rate on BellRing’s distributive share from BellRing LLC. For the periods prior to the Spin-off, income tax effect for NCI adjustment was calculated using a rate of 0.0%, and income tax effect for adjustment to TRA liability was calculated using a rate of 24.0%. For all periods, income tax effect for separation costs was calculated using a rate of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20"/>
          </w:cols>
          <w:pgMar w:left="340" w:top="641"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DILUTED EARNINGS PER SHARE OF COMMON STOCK</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TO ADJUSTED DILUTED EARNINGS PER SHARE OF COMMON STOCK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700" w:type="dxa"/>
            <w:vAlign w:val="bottom"/>
          </w:tcPr>
          <w:p>
            <w:pPr>
              <w:spacing w:after="0"/>
              <w:rPr>
                <w:sz w:val="11"/>
                <w:szCs w:val="11"/>
                <w:color w:val="auto"/>
              </w:rPr>
            </w:pPr>
          </w:p>
        </w:tc>
      </w:tr>
      <w:tr>
        <w:trPr>
          <w:trHeight w:val="143"/>
        </w:trPr>
        <w:tc>
          <w:tcPr>
            <w:tcW w:w="6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00" w:type="dxa"/>
            <w:vAlign w:val="bottom"/>
            <w:tcBorders>
              <w:bottom w:val="single" w:sz="8" w:color="auto"/>
            </w:tcBorders>
          </w:tcPr>
          <w:p>
            <w:pPr>
              <w:spacing w:after="0"/>
              <w:rPr>
                <w:sz w:val="12"/>
                <w:szCs w:val="12"/>
                <w:color w:val="auto"/>
              </w:rPr>
            </w:pPr>
          </w:p>
        </w:tc>
      </w:tr>
      <w:tr>
        <w:trPr>
          <w:trHeight w:val="133"/>
        </w:trPr>
        <w:tc>
          <w:tcPr>
            <w:tcW w:w="64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Diluted Earnings per share of Common Stock</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0.25</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0.25</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0.88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0.70</w:t>
            </w:r>
          </w:p>
        </w:tc>
      </w:tr>
      <w:tr>
        <w:trPr>
          <w:trHeight w:val="180"/>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3"/>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0.75</w:t>
            </w:r>
          </w:p>
        </w:tc>
      </w:tr>
      <w:tr>
        <w:trPr>
          <w:trHeight w:val="153"/>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Loss on extinguishment and refinancing of debt, net</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0.19</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0.04</w:t>
            </w:r>
          </w:p>
        </w:tc>
      </w:tr>
      <w:tr>
        <w:trPr>
          <w:trHeight w:val="153"/>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0.15</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0.08</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Restructuring and facility closure costs, including accelerated depreciation</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0.14</w:t>
            </w:r>
          </w:p>
        </w:tc>
      </w:tr>
      <w:tr>
        <w:trPr>
          <w:trHeight w:val="153"/>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Resolution of dispute with former contract manufacturer</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0.03</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loss on intercompany loans</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Adjustment to TRA liability</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NCI adjustment</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(0.66)</w:t>
            </w:r>
          </w:p>
        </w:tc>
      </w:tr>
      <w:tr>
        <w:trPr>
          <w:trHeight w:val="142"/>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0.34</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0.26</w:t>
            </w:r>
          </w:p>
        </w:tc>
      </w:tr>
      <w:tr>
        <w:trPr>
          <w:trHeight w:val="153"/>
        </w:trPr>
        <w:tc>
          <w:tcPr>
            <w:tcW w:w="64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r>
      <w:tr>
        <w:trPr>
          <w:trHeight w:val="124"/>
        </w:trPr>
        <w:tc>
          <w:tcPr>
            <w:tcW w:w="646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Adjusted Diluted Earnings per share of Common Stock</w:t>
            </w:r>
          </w:p>
        </w:tc>
        <w:tc>
          <w:tcPr>
            <w:tcW w:w="220" w:type="dxa"/>
            <w:vAlign w:val="bottom"/>
            <w:tcBorders>
              <w:top w:val="single" w:sz="8" w:color="auto"/>
              <w:bottom w:val="single" w:sz="8" w:color="auto"/>
            </w:tcBorders>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0.31</w:t>
            </w:r>
          </w:p>
        </w:tc>
        <w:tc>
          <w:tcPr>
            <w:tcW w:w="24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2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0.25</w:t>
            </w:r>
          </w:p>
        </w:tc>
        <w:tc>
          <w:tcPr>
            <w:tcW w:w="34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1.16</w:t>
            </w:r>
          </w:p>
        </w:tc>
        <w:tc>
          <w:tcPr>
            <w:tcW w:w="22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0.90</w:t>
            </w: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right="80" w:firstLine="9"/>
        <w:spacing w:after="0" w:line="256" w:lineRule="auto"/>
        <w:tabs>
          <w:tab w:leader="none" w:pos="121"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For the periods subsequent to the Spin-off (March 11, 2022 through September 30, 2022), income tax effect on adjustments was calculated on all items, except for separation costs, using a rate of 24.0%. For the periods prior to the Spin-off (October 1, 2021 through March 10, 2022 and for the three months year ended September 30, 2021), income tax effect on adjustments was calculated on all items, except for separation costs, adjustment to TRA liability and NCI adjustment, using a rate of 7.0%, which represents the effective income tax rate on BellRing’s distributive share from BellRing LLC. For the periods prior to the Spin-off, income tax effect for NCI adjustment was calculated using a rate of 0.0%, and income tax effect for adjustment to TRA liability was calculated using a rate of 24.0%. For all periods, income tax effect for separation costs was calculated using a rate of 8.0%.</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220"/>
          </w:cols>
          <w:pgMar w:left="340" w:top="64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26"/>
        </w:trPr>
        <w:tc>
          <w:tcPr>
            <w:tcW w:w="7860" w:type="dxa"/>
            <w:vAlign w:val="bottom"/>
            <w:gridSpan w:val="6"/>
          </w:tcPr>
          <w:p>
            <w:pPr>
              <w:jc w:val="center"/>
              <w:ind w:left="3300"/>
              <w:spacing w:after="0"/>
              <w:rPr>
                <w:sz w:val="20"/>
                <w:szCs w:val="20"/>
                <w:color w:val="auto"/>
              </w:rPr>
            </w:pPr>
            <w:r>
              <w:rPr>
                <w:rFonts w:ascii="Times New Roman" w:cs="Times New Roman" w:eastAsia="Times New Roman" w:hAnsi="Times New Roman"/>
                <w:sz w:val="11"/>
                <w:szCs w:val="11"/>
                <w:b w:val="1"/>
                <w:bCs w:val="1"/>
                <w:color w:val="auto"/>
                <w:w w:val="97"/>
              </w:rPr>
              <w:t>RECONCILIATION OF NET EARNINGS AVAILABLE TO COMMON STOCKHOLDERS</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4360" w:type="dxa"/>
            <w:vAlign w:val="bottom"/>
          </w:tcPr>
          <w:p>
            <w:pPr>
              <w:spacing w:after="0"/>
              <w:rPr>
                <w:sz w:val="11"/>
                <w:szCs w:val="11"/>
                <w:color w:val="auto"/>
              </w:rPr>
            </w:pPr>
          </w:p>
        </w:tc>
        <w:tc>
          <w:tcPr>
            <w:tcW w:w="2180" w:type="dxa"/>
            <w:vAlign w:val="bottom"/>
            <w:gridSpan w:val="2"/>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8"/>
              </w:rPr>
              <w:t>TO ADJUSTED EBITDA (Unaudited)</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2"/>
        </w:trPr>
        <w:tc>
          <w:tcPr>
            <w:tcW w:w="4360" w:type="dxa"/>
            <w:vAlign w:val="bottom"/>
          </w:tcPr>
          <w:p>
            <w:pPr>
              <w:spacing w:after="0"/>
              <w:rPr>
                <w:sz w:val="12"/>
                <w:szCs w:val="12"/>
                <w:color w:val="auto"/>
              </w:rPr>
            </w:pPr>
          </w:p>
        </w:tc>
        <w:tc>
          <w:tcPr>
            <w:tcW w:w="218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21"/>
        </w:trPr>
        <w:tc>
          <w:tcPr>
            <w:tcW w:w="43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gridSpan w:val="3"/>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3"/>
          </w:tcPr>
          <w:p>
            <w:pPr>
              <w:jc w:val="right"/>
              <w:ind w:right="100"/>
              <w:spacing w:after="0" w:line="12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760" w:type="dxa"/>
            <w:vAlign w:val="bottom"/>
          </w:tcPr>
          <w:p>
            <w:pPr>
              <w:spacing w:after="0"/>
              <w:rPr>
                <w:sz w:val="10"/>
                <w:szCs w:val="10"/>
                <w:color w:val="auto"/>
              </w:rPr>
            </w:pPr>
          </w:p>
        </w:tc>
      </w:tr>
      <w:tr>
        <w:trPr>
          <w:trHeight w:val="143"/>
        </w:trPr>
        <w:tc>
          <w:tcPr>
            <w:tcW w:w="4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60" w:type="dxa"/>
            <w:vAlign w:val="bottom"/>
            <w:tcBorders>
              <w:bottom w:val="single" w:sz="8" w:color="auto"/>
            </w:tcBorders>
          </w:tcPr>
          <w:p>
            <w:pPr>
              <w:spacing w:after="0"/>
              <w:rPr>
                <w:sz w:val="12"/>
                <w:szCs w:val="12"/>
                <w:color w:val="auto"/>
              </w:rPr>
            </w:pPr>
          </w:p>
        </w:tc>
      </w:tr>
      <w:tr>
        <w:trPr>
          <w:trHeight w:val="133"/>
        </w:trPr>
        <w:tc>
          <w:tcPr>
            <w:tcW w:w="4360" w:type="dxa"/>
            <w:vAlign w:val="bottom"/>
            <w:tcBorders>
              <w:bottom w:val="single" w:sz="8" w:color="CCEEFF"/>
            </w:tcBorders>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w:t>
            </w:r>
          </w:p>
        </w:tc>
        <w:tc>
          <w:tcPr>
            <w:tcW w:w="18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33.7</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9.7</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82.3</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27.6</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11.0</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3.0</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29.6</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8.8</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16.4</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9.6</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49.2</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43.2</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 including accelerated depreciation and amortization</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5.4</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5.4</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21.3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53.7</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extinguishment and refinancing of debt, net</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17.6</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Separation costs</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14.5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0.2</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3.1</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11.0</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7.3</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8.0</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8.0</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Restructuring and facility closure costs, excluding accelerated depreciation</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0.3</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0.3</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5.2</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Resolution of dispute with former contract manufacturer</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0.1</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2.4</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loss on intercompany loans</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0.3</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0.1</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0.3</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0.5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(0.2)</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 to TRA liability</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Net earnings attributable to redeemable noncontrolling interest</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30.8</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33.7</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86.8</w:t>
            </w:r>
          </w:p>
        </w:tc>
      </w:tr>
      <w:tr>
        <w:trPr>
          <w:trHeight w:val="158"/>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82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79.9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60.5</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271.4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233.9</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 as a percentage of Net Sales</w:t>
            </w:r>
          </w:p>
        </w:tc>
        <w:tc>
          <w:tcPr>
            <w:tcW w:w="18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21.1 %</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17.8 %</w:t>
            </w:r>
          </w:p>
        </w:tc>
        <w:tc>
          <w:tcPr>
            <w:tcW w:w="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19.8 %</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18.8 %</w:t>
            </w:r>
          </w:p>
        </w:tc>
      </w:tr>
      <w:tr>
        <w:trPr>
          <w:trHeight w:val="20"/>
        </w:trPr>
        <w:tc>
          <w:tcPr>
            <w:tcW w:w="4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220"/>
          </w:cols>
          <w:pgMar w:left="340" w:top="749" w:right="33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0"/>
    </w:lvl>
  </w:abstractNum>
  <w:abstractNum w:abstractNumId="6">
    <w:nsid w:val="7545E146"/>
    <w:multiLevelType w:val="hybridMultilevel"/>
    <w:lvl w:ilvl="0">
      <w:lvlJc w:val="left"/>
      <w:lvlText w:val="%1."/>
      <w:numFmt w:val="lowerLetter"/>
      <w:start w:val="1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2022-11-17T16:05:13Z</dcterms:created>
  <dcterms:modified xsi:type="dcterms:W3CDTF">2022-11-17T16:05:13Z</dcterms:modified>
</cp:coreProperties>
</file>