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302260</wp:posOffset>
            </wp:positionV>
            <wp:extent cx="2151380"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1380" cy="1045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524"/>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4" w:space="720"/>
            <w:col w:w="2080" w:space="720"/>
            <w:col w:w="2200" w:space="720"/>
            <w:col w:w="1540"/>
          </w:cols>
          <w:pgMar w:left="436" w:top="368" w:right="439" w:bottom="1440" w:gutter="0" w:footer="0" w:header="0"/>
          <w:type w:val="continuous"/>
        </w:sectPr>
      </w:pPr>
    </w:p>
    <w:p>
      <w:pPr>
        <w:ind w:left="29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8644" w:space="720"/>
            <w:col w:w="166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jc w:val="both"/>
        <w:ind w:left="4" w:right="4120" w:hanging="4"/>
        <w:spacing w:after="0" w:line="273" w:lineRule="exact"/>
        <w:tabs>
          <w:tab w:leader="none" w:pos="43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15" w:lineRule="exact"/>
        <w:rPr>
          <w:rFonts w:ascii="MS PGothic" w:cs="MS PGothic" w:eastAsia="MS PGothic" w:hAnsi="MS PGothic"/>
          <w:sz w:val="16"/>
          <w:szCs w:val="16"/>
          <w:color w:val="auto"/>
        </w:rPr>
      </w:pPr>
    </w:p>
    <w:p>
      <w:pPr>
        <w:jc w:val="both"/>
        <w:ind w:left="4" w:right="2520"/>
        <w:spacing w:after="0" w:line="308" w:lineRule="exact"/>
        <w:rPr>
          <w:rFonts w:ascii="MS PGothic" w:cs="MS PGothic" w:eastAsia="MS PGothic" w:hAnsi="MS PGothic"/>
          <w:sz w:val="16"/>
          <w:szCs w:val="16"/>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Arial" w:cs="Arial" w:eastAsia="Arial" w:hAnsi="Arial"/>
          <w:sz w:val="18"/>
          <w:szCs w:val="18"/>
          <w:color w:val="auto"/>
        </w:rPr>
        <w:t xml:space="preserve"> Pre-commencement communications pursuant to Rule 13e-4(c) under the Exchange Act (17 CFR 240.13e-4(c)) Securities registered pursuant to Section 12(b) of the Act:</w:t>
      </w:r>
    </w:p>
    <w:p>
      <w:pPr>
        <w:spacing w:after="0" w:line="11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BellRing Distribution, LLC Senior Notes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March 1, 2022, BellRing Distribution, LLC (“New BellRing”), currently a wholly-owned subsidiary of Post Holdings, Inc. (“Post”), announced the pricing of the previously announced offering (the “Offering”) of senior notes by the Selling Noteholders (as defined below) thereof. New BellRing priced $840.0 million in aggregate principal amount of 7.00% senior notes due 2030 (the “Notes”) at par.</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Offering is being undertaken in connection with the previously disclosed distribution (the “Distribution”) of 80.1% of Post’s ownership interest in New BellRing to Post’s shareholders. As provided in the Transaction Agreement and Plan of Merger (the “Transaction Agreement”), dated October 26, 2021, as amended on February 28, 2022, among Post, New BellRing, BellRing Brands, Inc. (“BellRing”) and BellRing Merger Sub Corporation, a wholly-owned subsidiary of New BellRing (“Merger Sub”), the Notes will initially be issued by New BellRing to Post, together with all of New BellRing’s outstanding limited liability company interests, in exchange for the contribution by Post of (i) all of its nonvoting common units of BellRing Brands, LLC (“BellRing LLC”) and the sole outstanding share of BellRing’s Class B common stock, par value $0.01 per share, and (ii) $550.4 million in cash. Post will then exchange (the “Debt Exchange”) the Notes for certain debt obligations of Post with the holders thereof (or their respective affiliates) (the “Selling Noteholders”). The Selling Noteholders offered the Notes for sale to persons reasonably believed to be qualified institutional buyers pursuant to Rule 144A under the Securities Act of 1933, as amended (the “Securities Act”) and to non-U.S. persons outside of the United States in compliance with Regulation S under the Securities Act. Following the closing of the Offering and prior to the Distribution and the merger described below, New BellRing will convert into a Delaware corporation and change its name to BellRing Brands, Inc., and, at the same time, the current BellRing Brands, Inc. will change its name to BellRing Intermediate Holdings, Inc. Following completion of the Distribution, Merger Sub will merge with and into BellRing (the “Merger”) and New BellRing will become a new public holding company and the successor registrant to BellRing. New BellRing will use the cash received from Post, along with cash on hand and a draw on the new revolving credit facility (the “New BellRing Credit Facility”) that it will enter into as part of the transactions, to refinance BellRing LLC’s existing indebtedness and to pay fees and expenses related to the transaction, as well as to distribute cash to existing BellRing Brands, Inc. stockholders in connection with the Merger. New BellRing will not receive any proceeds from the Offering of the Notes by the Selling Noteholders.</w:t>
      </w:r>
    </w:p>
    <w:p>
      <w:pPr>
        <w:spacing w:after="0" w:line="19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Upon the completion of the Offering, the Notes will be unsecured unsubordinated obligations of New BellRing, and, on the fourteenth day after the closing date of the Offering, will be guaranteed by New BellRing’s existing and subsequently acquired or organized domestic subsidiaries (other than immaterial subsidiaries, certain excluded subsidiaries and subsidiaries designated as unrestricted subsidiaries). The Notes will not be an obligation of Post or any of Post’s wholly-owned subsidiaries.</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Offering is expected to close on March 10, 2022, subject to market and certain other conditions, including consummation of the Debt Exchange, New BellRing’s entry into the New BellRing Credit Facility and the consummation of the Distribution and the Merger, in each case, substantially concurrently with the consummation of the Offering, consistent in all material respects with the descriptions thereof set forth in the offering memorandum related to the Notes and the Offering.</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 copy of the press release issued in connection with the pricing of the Offering is attached hereto as Exhibit 99.1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Date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Post has announced that the anticipated distribution date for its previously announced spin-off of 80.1% interest in BellRing is expected to be March 10, 2022, subject to the satisfaction of certain customary conditions.</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Exhibit</w:t>
      </w:r>
    </w:p>
    <w:p>
      <w:pPr>
        <w:ind w:left="280"/>
        <w:spacing w:after="0"/>
        <w:tabs>
          <w:tab w:leader="none" w:pos="9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-3175</wp:posOffset>
            </wp:positionV>
            <wp:extent cx="274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1"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 2022</w:t>
      </w:r>
    </w:p>
    <w:p>
      <w:pPr>
        <w:spacing w:after="0" w:line="117"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iXBRL tags are embedded within the Inline XBRL document)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Statement on Forward-Looking Language</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Offering, including the expected timing of the closing of the Offering, and Post’s proposed Distribution of a significant portion of its interest in New BellRing to Post shareholders, including the amount of New BellRing equity Post intends to distribute, the form of the Distribution, the amount of cash Post intends to contribute to New BellRing and New BellRing’s intended use of the cash it receives from Post. There is no assurance that the proposed Offering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Offering or the proposed Distribution, the ongoing conflict in Ukraine, the rapidly changing situation related to the COVID-19 pandemic and other financial, operational and legal risks and uncertainties described in BellRing’s filings with the Securities and Exchange Commission (the “SEC”). These forward-looking statements represent BellRing’s judgment as of the date of this filing. BellRing disclaims, however, any intent or obligation to update these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t>
      </w:r>
      <w:r>
        <w:rPr>
          <w:rFonts w:ascii="Arial" w:cs="Arial" w:eastAsia="Arial" w:hAnsi="Arial"/>
          <w:sz w:val="16"/>
          <w:szCs w:val="16"/>
          <w:u w:val="single" w:color="auto"/>
          <w:color w:val="auto"/>
        </w:rPr>
        <w:t>www.bellring.com</w:t>
      </w:r>
      <w:r>
        <w:rPr>
          <w:rFonts w:ascii="Arial" w:cs="Arial" w:eastAsia="Arial" w:hAnsi="Arial"/>
          <w:sz w:val="16"/>
          <w:szCs w:val="16"/>
          <w:color w:val="auto"/>
        </w:rPr>
        <w:t>, or Post’s website, www.postholdings.com.</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Date: March 1, 2022</w:t>
            </w:r>
          </w:p>
        </w:tc>
        <w:tc>
          <w:tcPr>
            <w:tcW w:w="7520" w:type="dxa"/>
            <w:vAlign w:val="bottom"/>
            <w:gridSpan w:val="2"/>
          </w:tcPr>
          <w:p>
            <w:pPr>
              <w:ind w:left="202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(Registrant)</w:t>
            </w:r>
          </w:p>
        </w:tc>
      </w:tr>
      <w:tr>
        <w:trPr>
          <w:trHeight w:val="432"/>
        </w:trPr>
        <w:tc>
          <w:tcPr>
            <w:tcW w:w="350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L. Rosenthal</w:t>
            </w:r>
          </w:p>
        </w:tc>
      </w:tr>
      <w:tr>
        <w:trPr>
          <w:trHeight w:val="209"/>
        </w:trPr>
        <w:tc>
          <w:tcPr>
            <w:tcW w:w="3500" w:type="dxa"/>
            <w:vAlign w:val="bottom"/>
          </w:tcPr>
          <w:p>
            <w:pPr>
              <w:spacing w:after="0"/>
              <w:rPr>
                <w:sz w:val="18"/>
                <w:szCs w:val="18"/>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L. Rosenthal</w:t>
            </w:r>
          </w:p>
        </w:tc>
      </w:tr>
      <w:tr>
        <w:trPr>
          <w:trHeight w:val="230"/>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General Counsel, Secretary</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Distribution, LLC Announces Pricing of Senior Notes Offering</w:t>
      </w:r>
    </w:p>
    <w:p>
      <w:pPr>
        <w:spacing w:after="0" w:line="22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ST. LOUIS, March 1, 2022 </w:t>
      </w:r>
      <w:r>
        <w:rPr>
          <w:rFonts w:ascii="Arial" w:cs="Arial" w:eastAsia="Arial" w:hAnsi="Arial"/>
          <w:sz w:val="18"/>
          <w:szCs w:val="18"/>
          <w:color w:val="auto"/>
        </w:rPr>
        <w:t>– BellRing Distribution, LLC (“New BellRing”) today announced the pricing of its previously announced senior notes</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New BellRing priced $840.0 million in aggregate principal amount of 7.00% senior notes due 2030 (the “Notes”). The Notes were offered in connection with Post Holdings, Inc.’s (“Post”) anticipated spin-off of 80.1% of its interest in New BellRing to Post shareholders. The Notes offering is expected to close on March 10, 2022, and is conditioned upon the substantially concurrent completion of the spin-off and the related merger of a subsidiary of New BellRing into BellRing Brands, Inc. (“BellRing”).</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Notes will be issued to Post as partial consideration for the transfer by Post to New BellRing of certain assets, including all of the equity interests held by Post in BellRing and BellRing Brands, LLC (“BellRing LLC”) and cash. Post will then transfer the Notes to certain of its lenders or their respective affiliates (the “Selling Noteholders”) to satisfy outstanding Post debt owed to the lenders. New BellRing will use the cash received from Post, along with cash on hand and a draw on the new revolving credit facility that it will enter into as part of the transactions, to refinance BellRing LLC’s existing indebtedness and to pay fees and expenses related to the transaction, as well as to distribute cash to existing BellRing stockholders in connection with the above-described merger. The Selling Noteholders are offering the Notes for resale in a transaction exempt from registration. The Selling Noteholders (or their respective affiliates) will receive all of the proceeds from such offering.</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Upon the closing of the offering, the Notes will be unsecured unsubordinated obligations of New BellRing and, fourteen days after the closing of the offering, will be guaranteed by New BellRing’s existing and subsequently acquired or organized domestic subsidiaries (other than immaterial subsidiaries, certain excluded subsidiaries and subsidiaries designated as unrestricted subsidiaries). The Notes will not be an obligation of Post or any of Post’s wholly-owned subsidiaries.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Notes and the related subsidiary guarantees were offered by the Selling Noteholders to persons reasonably believed to be qualified institutional buyers in an offering exempt from registration pursuant to Rule 144A under the Securities Act of 1933, as amended (the “Securities Act”), and to non-U.S. persons outside of the United States in compliance with Regulation S under the Securities Act. The Notes and the related subsidiary guarantees have not been registered under the Securities Act, or any state securities laws, and unless so registered, may not be offered or sold in the United States except pursuant to an exemption from, or in a transaction not subject to, the registration requirements of the Securities Act and applicable state securities laws.</w:t>
      </w:r>
    </w:p>
    <w:p>
      <w:pPr>
        <w:spacing w:after="0" w:line="19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This press release is not an offer to sell or a solicitation of an offer to buy any security, nor shall there be any sales of securities in any jurisdiction in which such offer, solicitation or sale would be unlawful prior to registration or qualification under the securities laws of any jurisdiction. This press release is being issued pursuant to and in accordance with Rule 135c under the Securities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the offering of the Notes, including the expected timing of the closing of the offering, and Post’s proposed distribution of a significant portion of its interest in New BellRing to Post shareholders, including the amount of New BellRing equity Post intends to distribute, the form of the distribution and New BellRing’s intended use of the cash it receives from Post. There is no assurance that the proposed offering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offering or the proposed distribution, the ongoing conflict in Ukraine, the rapidly changing situation related to</w:t>
      </w:r>
    </w:p>
    <w:p>
      <w:pPr>
        <w:spacing w:after="0" w:line="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COVID-19 pandemic and other financial, operational and legal risks and uncertainties described in Post’s and BellRing’s filings with the Securities and Exchange Commission (the “SEC”). These forward-looking statements represent Post’s and BellRing’s judgment as of the date of this release. Post and BellRing disclaim, however, any intent or obligation to update these forward-looking statements.</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release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Post’s website, www.postholdings.com, or BellRing’s website, www.bellring.com.</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and distribution of this release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Post is available in its definitive proxy statement, which was filed with the SEC on December 6, 2021.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Free copies of these documents may be obtained as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Post Holdings, Inc.</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Post Holdings, Inc., headquartered in St. Louis, Missouri, is a consumer packaged goods holding company operating in the center-of-the-store, refrigerated, foodservice, food ingredient and convenient nutrition food categories.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BellRing Brands, Inc. is a holding company operating in the global convenient nutrition category offering ready-to-drink shake and powder protein products. Its primary brands,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appeal to a broad range of consumers and are distributed across a diverse network of channels including club, food, drug, mass, eCommerce, specialty and convenience.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2022-03-01T16:23:47Z</dcterms:created>
  <dcterms:modified xsi:type="dcterms:W3CDTF">2022-03-01T16:23:47Z</dcterms:modified>
</cp:coreProperties>
</file>