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608965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626110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18"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August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3138170</wp:posOffset>
            </wp:positionH>
            <wp:positionV relativeFrom="paragraph">
              <wp:posOffset>79375</wp:posOffset>
            </wp:positionV>
            <wp:extent cx="891540" cy="434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1540" cy="434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0"/>
          </w:cols>
          <w:pgMar w:left="300" w:top="1042" w:right="399" w:bottom="1440" w:gutter="0" w:footer="0" w:header="0"/>
        </w:sectPr>
      </w:pPr>
    </w:p>
    <w:p>
      <w:pPr>
        <w:spacing w:after="0" w:line="36"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3"/>
          <w:szCs w:val="13"/>
          <w:b w:val="1"/>
          <w:bCs w:val="1"/>
          <w:color w:val="auto"/>
        </w:rPr>
        <w:t>001-39093</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ind w:right="2600"/>
        <w:spacing w:after="0"/>
        <w:rPr>
          <w:sz w:val="20"/>
          <w:szCs w:val="20"/>
          <w:color w:val="auto"/>
        </w:rPr>
      </w:pPr>
      <w:r>
        <w:rPr>
          <w:rFonts w:ascii="Times New Roman" w:cs="Times New Roman" w:eastAsia="Times New Roman" w:hAnsi="Times New Roman"/>
          <w:sz w:val="13"/>
          <w:szCs w:val="13"/>
          <w:b w:val="1"/>
          <w:bCs w:val="1"/>
          <w:color w:val="auto"/>
        </w:rPr>
        <w:t>83-4096323</w:t>
      </w:r>
    </w:p>
    <w:p>
      <w:pPr>
        <w:spacing w:after="0" w:line="45" w:lineRule="exact"/>
        <w:rPr>
          <w:sz w:val="24"/>
          <w:szCs w:val="24"/>
          <w:color w:val="auto"/>
        </w:rPr>
      </w:pPr>
    </w:p>
    <w:p>
      <w:pPr>
        <w:sectPr>
          <w:pgSz w:w="11900" w:h="16838" w:orient="portrait"/>
          <w:cols w:equalWidth="0" w:num="3">
            <w:col w:w="3960" w:space="720"/>
            <w:col w:w="2560" w:space="720"/>
            <w:col w:w="3240"/>
          </w:cols>
          <w:pgMar w:left="300" w:top="1042" w:right="39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11" w:lineRule="exact"/>
        <w:rPr>
          <w:sz w:val="24"/>
          <w:szCs w:val="24"/>
          <w:color w:val="auto"/>
        </w:rPr>
      </w:pPr>
    </w:p>
    <w:p>
      <w:pPr>
        <w:sectPr>
          <w:pgSz w:w="11900" w:h="16838" w:orient="portrait"/>
          <w:cols w:equalWidth="0" w:num="3">
            <w:col w:w="3600" w:space="720"/>
            <w:col w:w="2420" w:space="720"/>
            <w:col w:w="3740"/>
          </w:cols>
          <w:pgMar w:left="300" w:top="1042" w:right="399" w:bottom="1440" w:gutter="0" w:footer="0" w:header="0"/>
          <w:type w:val="continuous"/>
        </w:sectPr>
      </w:pPr>
    </w:p>
    <w:p>
      <w:pPr>
        <w:spacing w:after="0" w:line="7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2503 S. Hanley Road</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 Louis</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Missouri</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63144</w:t>
      </w:r>
    </w:p>
    <w:p>
      <w:pPr>
        <w:spacing w:after="0" w:line="56" w:lineRule="exact"/>
        <w:rPr>
          <w:sz w:val="24"/>
          <w:szCs w:val="24"/>
          <w:color w:val="auto"/>
        </w:rPr>
      </w:pPr>
    </w:p>
    <w:p>
      <w:pPr>
        <w:sectPr>
          <w:pgSz w:w="11900" w:h="16838" w:orient="portrait"/>
          <w:cols w:equalWidth="0" w:num="4">
            <w:col w:w="3260" w:space="720"/>
            <w:col w:w="920" w:space="720"/>
            <w:col w:w="1780" w:space="720"/>
            <w:col w:w="3080"/>
          </w:cols>
          <w:pgMar w:left="300" w:top="1042" w:right="399" w:bottom="1440" w:gutter="0" w:footer="0" w:header="0"/>
          <w:type w:val="continuous"/>
        </w:sectPr>
      </w:pPr>
    </w:p>
    <w:p>
      <w:pPr>
        <w:ind w:left="234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(Zip Code)</w:t>
      </w:r>
    </w:p>
    <w:p>
      <w:pPr>
        <w:spacing w:after="0" w:line="111" w:lineRule="exact"/>
        <w:rPr>
          <w:sz w:val="24"/>
          <w:szCs w:val="24"/>
          <w:color w:val="auto"/>
        </w:rPr>
      </w:pPr>
    </w:p>
    <w:p>
      <w:pPr>
        <w:sectPr>
          <w:pgSz w:w="11900" w:h="16838" w:orient="portrait"/>
          <w:cols w:equalWidth="0" w:num="2">
            <w:col w:w="7300" w:space="720"/>
            <w:col w:w="3180"/>
          </w:cols>
          <w:pgMar w:left="300" w:top="1042" w:right="399" w:bottom="1440" w:gutter="0" w:footer="0" w:header="0"/>
          <w:type w:val="continuous"/>
        </w:sect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340" w:hanging="132"/>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340" w:hanging="132"/>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340" w:hanging="132"/>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340" w:hanging="132"/>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9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53"/>
        </w:trPr>
        <w:tc>
          <w:tcPr>
            <w:tcW w:w="14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18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1580" w:type="dxa"/>
            <w:vAlign w:val="bottom"/>
          </w:tcPr>
          <w:p>
            <w:pPr>
              <w:spacing w:after="0"/>
              <w:rPr>
                <w:sz w:val="13"/>
                <w:szCs w:val="13"/>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87"/>
        </w:trPr>
        <w:tc>
          <w:tcPr>
            <w:tcW w:w="4480" w:type="dxa"/>
            <w:vAlign w:val="bottom"/>
            <w:gridSpan w:val="3"/>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9"/>
              </w:rPr>
              <w:t>Class A Common Stock, $0.01 par value per share</w:t>
            </w:r>
          </w:p>
        </w:tc>
        <w:tc>
          <w:tcPr>
            <w:tcW w:w="2500" w:type="dxa"/>
            <w:vAlign w:val="bottom"/>
            <w:gridSpan w:val="2"/>
          </w:tcPr>
          <w:p>
            <w:pPr>
              <w:jc w:val="center"/>
              <w:ind w:right="1580"/>
              <w:spacing w:after="0"/>
              <w:rPr>
                <w:sz w:val="20"/>
                <w:szCs w:val="20"/>
                <w:color w:val="auto"/>
              </w:rPr>
            </w:pPr>
            <w:r>
              <w:rPr>
                <w:rFonts w:ascii="Times New Roman" w:cs="Times New Roman" w:eastAsia="Times New Roman" w:hAnsi="Times New Roman"/>
                <w:sz w:val="12"/>
                <w:szCs w:val="12"/>
                <w:b w:val="1"/>
                <w:bCs w:val="1"/>
                <w:color w:val="auto"/>
                <w:w w:val="95"/>
              </w:rPr>
              <w:t>BRBR</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79"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8" w:lineRule="exact"/>
        <w:rPr>
          <w:sz w:val="24"/>
          <w:szCs w:val="24"/>
          <w:color w:val="auto"/>
        </w:rPr>
      </w:pPr>
    </w:p>
    <w:p>
      <w:pPr>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923925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158115</wp:posOffset>
            </wp:positionV>
            <wp:extent cx="60579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7900" cy="5715"/>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175260</wp:posOffset>
            </wp:positionV>
            <wp:extent cx="60579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57900" cy="5715"/>
                    </a:xfrm>
                    <a:prstGeom prst="rect">
                      <a:avLst/>
                    </a:prstGeom>
                    <a:noFill/>
                  </pic:spPr>
                </pic:pic>
              </a:graphicData>
            </a:graphic>
          </wp:anchor>
        </w:drawing>
      </w:r>
    </w:p>
    <w:p>
      <w:pPr>
        <w:sectPr>
          <w:pgSz w:w="11900" w:h="16838" w:orient="portrait"/>
          <w:cols w:equalWidth="0" w:num="1">
            <w:col w:w="11200"/>
          </w:cols>
          <w:pgMar w:left="300" w:top="1042"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 and Financial Condition.</w:t>
      </w:r>
    </w:p>
    <w:p>
      <w:pPr>
        <w:spacing w:after="0" w:line="17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On August 6, 2020, BellRing Brands, Inc. issued a press release announcing results for its third fiscal quarter ended June 30, 2020 and providing a financial outlook for fiscal year 2020. A copy of the press release is attached hereto as Exhibit 99.1 and incorporated herein by reference. In addition, on August 6, 2020, BellRing Brands, Inc. published to the "Investor Relations" section of its website, www.bellringbrands.com, a supplemental presentation related to results for its third fiscal quarter ended June 30, 2020. A copy of the presentation is attached hereto as Exhibit 99.2 and incorporated herein by reference.</w:t>
      </w:r>
    </w:p>
    <w:p>
      <w:pPr>
        <w:spacing w:after="0" w:line="13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gridSpan w:val="2"/>
          </w:tcPr>
          <w:p>
            <w:pPr>
              <w:spacing w:after="0"/>
              <w:rPr>
                <w:sz w:val="20"/>
                <w:szCs w:val="20"/>
                <w:color w:val="auto"/>
              </w:rPr>
            </w:pPr>
            <w:r>
              <w:rPr>
                <w:rFonts w:ascii="Arial" w:cs="Arial" w:eastAsia="Arial" w:hAnsi="Arial"/>
                <w:sz w:val="12"/>
                <w:szCs w:val="12"/>
                <w:color w:val="auto"/>
              </w:rPr>
              <w:t>Exhibit No.</w:t>
            </w:r>
          </w:p>
        </w:tc>
        <w:tc>
          <w:tcPr>
            <w:tcW w:w="9040" w:type="dxa"/>
            <w:vAlign w:val="bottom"/>
            <w:gridSpan w:val="2"/>
          </w:tcPr>
          <w:p>
            <w:pPr>
              <w:spacing w:after="0"/>
              <w:rPr>
                <w:sz w:val="20"/>
                <w:szCs w:val="20"/>
                <w:color w:val="auto"/>
              </w:rPr>
            </w:pPr>
            <w:r>
              <w:rPr>
                <w:rFonts w:ascii="Arial" w:cs="Arial" w:eastAsia="Arial" w:hAnsi="Arial"/>
                <w:sz w:val="12"/>
                <w:szCs w:val="12"/>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369"/>
        </w:trPr>
        <w:tc>
          <w:tcPr>
            <w:tcW w:w="580" w:type="dxa"/>
            <w:vAlign w:val="bottom"/>
          </w:tcPr>
          <w:p>
            <w:pPr>
              <w:spacing w:after="0"/>
              <w:rPr>
                <w:sz w:val="20"/>
                <w:szCs w:val="20"/>
                <w:color w:val="auto"/>
              </w:rPr>
            </w:pPr>
            <w:r>
              <w:rPr>
                <w:rFonts w:ascii="Arial" w:cs="Arial" w:eastAsia="Arial" w:hAnsi="Arial"/>
                <w:sz w:val="12"/>
                <w:szCs w:val="12"/>
                <w:color w:val="auto"/>
              </w:rPr>
              <w:t>99.1</w:t>
            </w:r>
          </w:p>
        </w:tc>
        <w:tc>
          <w:tcPr>
            <w:tcW w:w="1680" w:type="dxa"/>
            <w:vAlign w:val="bottom"/>
          </w:tcPr>
          <w:p>
            <w:pPr>
              <w:spacing w:after="0"/>
              <w:rPr>
                <w:sz w:val="24"/>
                <w:szCs w:val="24"/>
                <w:color w:val="auto"/>
              </w:rPr>
            </w:pPr>
          </w:p>
        </w:tc>
        <w:tc>
          <w:tcPr>
            <w:tcW w:w="9040" w:type="dxa"/>
            <w:vAlign w:val="bottom"/>
            <w:gridSpan w:val="2"/>
          </w:tcPr>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Press Release dated August 6, 2020</w:t>
              </w:r>
            </w:hyperlink>
          </w:p>
        </w:tc>
      </w:tr>
      <w:tr>
        <w:trPr>
          <w:trHeight w:val="171"/>
        </w:trPr>
        <w:tc>
          <w:tcPr>
            <w:tcW w:w="580" w:type="dxa"/>
            <w:vAlign w:val="bottom"/>
          </w:tcPr>
          <w:p>
            <w:pPr>
              <w:spacing w:after="0"/>
              <w:rPr>
                <w:sz w:val="20"/>
                <w:szCs w:val="20"/>
                <w:color w:val="auto"/>
              </w:rPr>
            </w:pPr>
            <w:r>
              <w:rPr>
                <w:rFonts w:ascii="Arial" w:cs="Arial" w:eastAsia="Arial" w:hAnsi="Arial"/>
                <w:sz w:val="12"/>
                <w:szCs w:val="12"/>
                <w:color w:val="auto"/>
              </w:rPr>
              <w:t>99.2</w:t>
            </w:r>
          </w:p>
        </w:tc>
        <w:tc>
          <w:tcPr>
            <w:tcW w:w="1680" w:type="dxa"/>
            <w:vAlign w:val="bottom"/>
          </w:tcPr>
          <w:p>
            <w:pPr>
              <w:spacing w:after="0"/>
              <w:rPr>
                <w:sz w:val="14"/>
                <w:szCs w:val="14"/>
                <w:color w:val="auto"/>
              </w:rPr>
            </w:pPr>
          </w:p>
        </w:tc>
        <w:tc>
          <w:tcPr>
            <w:tcW w:w="9040" w:type="dxa"/>
            <w:vAlign w:val="bottom"/>
            <w:gridSpan w:val="2"/>
          </w:tcPr>
          <w:p>
            <w:pPr>
              <w:spacing w:after="0"/>
              <w:rPr>
                <w:rFonts w:ascii="Arial" w:cs="Arial" w:eastAsia="Arial" w:hAnsi="Arial"/>
                <w:sz w:val="12"/>
                <w:szCs w:val="12"/>
                <w:u w:val="single" w:color="auto"/>
                <w:color w:val="0000FF"/>
              </w:rPr>
            </w:pPr>
            <w:hyperlink w:anchor="page14">
              <w:r>
                <w:rPr>
                  <w:rFonts w:ascii="Arial" w:cs="Arial" w:eastAsia="Arial" w:hAnsi="Arial"/>
                  <w:sz w:val="12"/>
                  <w:szCs w:val="12"/>
                  <w:u w:val="single" w:color="auto"/>
                  <w:color w:val="0000FF"/>
                </w:rPr>
                <w:t>Third Quarter Fiscal Year 2020 Supplemental Presentation</w:t>
              </w:r>
            </w:hyperlink>
          </w:p>
        </w:tc>
      </w:tr>
      <w:tr>
        <w:trPr>
          <w:trHeight w:val="162"/>
        </w:trPr>
        <w:tc>
          <w:tcPr>
            <w:tcW w:w="580" w:type="dxa"/>
            <w:vAlign w:val="bottom"/>
          </w:tcPr>
          <w:p>
            <w:pPr>
              <w:spacing w:after="0"/>
              <w:rPr>
                <w:sz w:val="20"/>
                <w:szCs w:val="20"/>
                <w:color w:val="auto"/>
              </w:rPr>
            </w:pPr>
            <w:r>
              <w:rPr>
                <w:rFonts w:ascii="Arial" w:cs="Arial" w:eastAsia="Arial" w:hAnsi="Arial"/>
                <w:sz w:val="12"/>
                <w:szCs w:val="12"/>
                <w:color w:val="auto"/>
              </w:rPr>
              <w:t>104</w:t>
            </w:r>
          </w:p>
        </w:tc>
        <w:tc>
          <w:tcPr>
            <w:tcW w:w="168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2"/>
                <w:szCs w:val="12"/>
                <w:color w:val="auto"/>
              </w:rPr>
              <w:t>Cover Page Interactive Data File (the cover page iXBRL tags are embedded within the Inline XBRL document)</w:t>
            </w:r>
          </w:p>
        </w:tc>
      </w:tr>
      <w:tr>
        <w:trPr>
          <w:trHeight w:val="2185"/>
        </w:trPr>
        <w:tc>
          <w:tcPr>
            <w:tcW w:w="5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August 6, 2020</w:t>
            </w:r>
          </w:p>
        </w:tc>
        <w:tc>
          <w:tcPr>
            <w:tcW w:w="7780" w:type="dxa"/>
            <w:vAlign w:val="bottom"/>
            <w:gridSpan w:val="2"/>
          </w:tcPr>
          <w:p>
            <w:pPr>
              <w:ind w:left="226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43"/>
        </w:trPr>
        <w:tc>
          <w:tcPr>
            <w:tcW w:w="3300" w:type="dxa"/>
            <w:vAlign w:val="bottom"/>
          </w:tcPr>
          <w:p>
            <w:pPr>
              <w:spacing w:after="0"/>
              <w:rPr>
                <w:sz w:val="21"/>
                <w:szCs w:val="21"/>
                <w:color w:val="auto"/>
              </w:rPr>
            </w:pPr>
          </w:p>
        </w:tc>
        <w:tc>
          <w:tcPr>
            <w:tcW w:w="316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21"/>
                <w:szCs w:val="21"/>
                <w:color w:val="auto"/>
              </w:rPr>
            </w:pPr>
          </w:p>
        </w:tc>
      </w:tr>
      <w:tr>
        <w:trPr>
          <w:trHeight w:val="495"/>
        </w:trPr>
        <w:tc>
          <w:tcPr>
            <w:tcW w:w="3300" w:type="dxa"/>
            <w:vAlign w:val="bottom"/>
          </w:tcPr>
          <w:p>
            <w:pPr>
              <w:spacing w:after="0"/>
              <w:rPr>
                <w:sz w:val="24"/>
                <w:szCs w:val="24"/>
                <w:color w:val="auto"/>
              </w:rPr>
            </w:pPr>
          </w:p>
        </w:tc>
        <w:tc>
          <w:tcPr>
            <w:tcW w:w="316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Paul A. Rode</w:t>
            </w:r>
          </w:p>
        </w:tc>
      </w:tr>
      <w:tr>
        <w:trPr>
          <w:trHeight w:val="214"/>
        </w:trPr>
        <w:tc>
          <w:tcPr>
            <w:tcW w:w="3300" w:type="dxa"/>
            <w:vAlign w:val="bottom"/>
          </w:tcPr>
          <w:p>
            <w:pPr>
              <w:spacing w:after="0"/>
              <w:rPr>
                <w:sz w:val="18"/>
                <w:szCs w:val="18"/>
                <w:color w:val="auto"/>
              </w:rPr>
            </w:pPr>
          </w:p>
        </w:tc>
        <w:tc>
          <w:tcPr>
            <w:tcW w:w="316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Paul A. Rode</w:t>
            </w:r>
          </w:p>
        </w:tc>
      </w:tr>
      <w:tr>
        <w:trPr>
          <w:trHeight w:val="180"/>
        </w:trPr>
        <w:tc>
          <w:tcPr>
            <w:tcW w:w="3300" w:type="dxa"/>
            <w:vAlign w:val="bottom"/>
          </w:tcPr>
          <w:p>
            <w:pPr>
              <w:spacing w:after="0"/>
              <w:rPr>
                <w:sz w:val="15"/>
                <w:szCs w:val="15"/>
                <w:color w:val="auto"/>
              </w:rPr>
            </w:pPr>
          </w:p>
        </w:tc>
        <w:tc>
          <w:tcPr>
            <w:tcW w:w="316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100012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Third Quarter of Fiscal Year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 Louis - August 6, 2020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third fiscal quarter ended June 30, 2020.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Net sales of $204.2 million</w:t>
      </w:r>
    </w:p>
    <w:p>
      <w:pPr>
        <w:spacing w:after="0" w:line="2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profit of $30.6 million; net earnings available to Class A common stockholders of $3.3 million and Adjusted EBITDA of $38.5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Reaffirmed fiscal year 2020 Adjusted EBITDA (non-GAAP) guidance range of $192-$202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Operating Results</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2"/>
          <w:szCs w:val="12"/>
          <w:color w:val="auto"/>
        </w:rPr>
        <w:t xml:space="preserve">Net sales were $204.2 million, a decrease of 14.1%, or $33.4 million, compared to the prior year period.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declined 11.9%, with volumes down 9.5%. Sales were negatively impacted by reductions in higher than normal customer trade inventory levels of ready-to-drink (“RTD”) shakes at the beginning of the quarter and reduced on-the-go consumption across the category in reaction to the COVID-19 pandemic. Additionally, in the prior year period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experienced a significant increase in customer trade inventory levels to support fourth quarter promotions. These headwinds were partially offset by strong RTD shake growth driven by distribution gains across all channels, new product introductions and significant eCommerce growth. Consumption remains strong as 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RTD shakes increased 11% in the 13-week period ended June 28, 2020 as compared to the same period in 2019 (inclusive of Nielsen Total US xAOC including Convenience and management estimates of untracked channels).</w:t>
      </w:r>
    </w:p>
    <w:p>
      <w:pPr>
        <w:spacing w:after="0" w:line="8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Dymatize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i w:val="1"/>
          <w:iCs w:val="1"/>
          <w:color w:val="auto"/>
        </w:rPr>
        <w:t xml:space="preserve"> PowerBar </w:t>
      </w:r>
      <w:r>
        <w:rPr>
          <w:rFonts w:ascii="Times New Roman" w:cs="Times New Roman" w:eastAsia="Times New Roman" w:hAnsi="Times New Roman"/>
          <w:sz w:val="12"/>
          <w:szCs w:val="12"/>
          <w:color w:val="auto"/>
        </w:rPr>
        <w:t>net sales were negatively impacted by global specialty retail store and gym closures in reaction to the COVID-19 pandemic</w:t>
      </w:r>
      <w:r>
        <w:rPr>
          <w:rFonts w:ascii="Times New Roman" w:cs="Times New Roman" w:eastAsia="Times New Roman" w:hAnsi="Times New Roman"/>
          <w:sz w:val="12"/>
          <w:szCs w:val="12"/>
          <w:i w:val="1"/>
          <w:iCs w:val="1"/>
          <w:color w:val="auto"/>
        </w:rPr>
        <w:t xml:space="preserve">. Dymatize </w:t>
      </w:r>
      <w:r>
        <w:rPr>
          <w:rFonts w:ascii="Times New Roman" w:cs="Times New Roman" w:eastAsia="Times New Roman" w:hAnsi="Times New Roman"/>
          <w:sz w:val="12"/>
          <w:szCs w:val="12"/>
          <w:color w:val="auto"/>
        </w:rPr>
        <w:t>net sales declined 16.6%, with volumes declining 22.4%, as strong growth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in club and eCommerce sales were offset by declines in global specialty sales. </w:t>
      </w:r>
      <w:r>
        <w:rPr>
          <w:rFonts w:ascii="Times New Roman" w:cs="Times New Roman" w:eastAsia="Times New Roman" w:hAnsi="Times New Roman"/>
          <w:sz w:val="12"/>
          <w:szCs w:val="12"/>
          <w:i w:val="1"/>
          <w:iCs w:val="1"/>
          <w:color w:val="auto"/>
        </w:rPr>
        <w:t>PowerBar</w:t>
      </w:r>
      <w:r>
        <w:rPr>
          <w:rFonts w:ascii="Times New Roman" w:cs="Times New Roman" w:eastAsia="Times New Roman" w:hAnsi="Times New Roman"/>
          <w:sz w:val="12"/>
          <w:szCs w:val="12"/>
          <w:color w:val="auto"/>
        </w:rPr>
        <w:t xml:space="preserve"> net sales declined 44.2%, with volumes declining 45.1%, driven by declines in international and planned product discontinuations of certain low-margin products in North America.</w:t>
      </w:r>
    </w:p>
    <w:p>
      <w:pPr>
        <w:spacing w:after="0" w:line="8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Gross profit was $68.7 million, or 33.6% of net sales, a decrease of 24.1%, or $21.8 million, compared to the prior year period gross profit of $90.5 million, or 38.1% of net sales. The lower gross profit margin was driven by anticipated higher input costs (predominantly milk-based proteins for RTD shakes) and incremental promotional activity.</w:t>
      </w:r>
    </w:p>
    <w:p>
      <w:pPr>
        <w:spacing w:after="0" w:line="75"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(“SG&amp;A”) expenses were $32.6 million, or 16.0% of net sales, an increase of $0.4 million compared to the prior year period SG&amp;A expenses of $32.2 million, or 13.6% of net sales. SG&amp;A expenses included $2.0 million of higher marketing and consumer advertising expenses and $2.1 million of incremental public company costs, which were partially offset by $2.9 million of lower employee-related expenses and $1.0 million of lower costs related to BellRing’s separation from Post Holdings, Inc. (“Post”). Separation costs were treated as adjustments for non-GAAP measures.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profit was $30.6 million, a decrease of 42.0%, or $22.2 million, compared to the prior year period operating profit of $52.8 million.</w:t>
      </w:r>
    </w:p>
    <w:p>
      <w:pPr>
        <w:spacing w:after="0" w:line="11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Interest expense, net was $15.3 million in the third quarter of 2020 and related to debt borrowed in connection with the creation of BellRing’s capital structure in the first quarter of 2020. No interest expense was recorded in the third quarter of 2019.</w:t>
      </w:r>
    </w:p>
    <w:p>
      <w:pPr>
        <w:spacing w:after="0" w:line="75"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2"/>
          <w:szCs w:val="12"/>
          <w:color w:val="auto"/>
        </w:rPr>
        <w:t>Income tax expense was $1.1 million in the third quarter of 2020, an effective income tax rate of 7.2%, compared to $12.5 million in the third quarter of 2019, an effective income tax rate of 23.7%. In the third quarter of 2020, the effective income tax rate differed significantly from the statutory rate primarily as a result of taking into account for U.S. federal, state and local income tax purposes a 28.8% distributive share of the items of income, gain, loss and deduction of BellRing Brands, LLC (“BellRing LLC”).</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ind w:right="180"/>
        <w:spacing w:after="0" w:line="265" w:lineRule="auto"/>
        <w:rPr>
          <w:sz w:val="20"/>
          <w:szCs w:val="20"/>
          <w:color w:val="auto"/>
        </w:rPr>
      </w:pPr>
      <w:r>
        <w:rPr>
          <w:rFonts w:ascii="Times New Roman" w:cs="Times New Roman" w:eastAsia="Times New Roman" w:hAnsi="Times New Roman"/>
          <w:sz w:val="12"/>
          <w:szCs w:val="12"/>
          <w:color w:val="auto"/>
        </w:rPr>
        <w:t>Net earnings available to Class A common stockholders were $3.3 million in the third quarter of 2020 compared to zero in the prior year period. Net earnings available to Class A common stockholders in the third quarter of 2020 excluded $10.9 million of net earnings attributable to the Company’s redeemable noncontrolling interest (“NCI”) compared to $40.3 million excluded in the prior year period. Net earnings per diluted share of Class A common stock were $0.08. Adjusted net earnings available to Class A common stockholders were $3.2 million, or $0.08 per diluted share of Class A common stock.</w:t>
      </w:r>
    </w:p>
    <w:p>
      <w:pPr>
        <w:spacing w:after="0" w:line="8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Adjusted EBITDA was $38.5 million, a decrease of 37.1%, or $22.7 million, compared to the prior year period Adjusted EBITDA of $61.2 million. Adjusted EBITDA in the third quarter of 2020 included an adjustment for the portion of BellRing LLC’s consolidated net earnings which was allocated to NCI, resulting in the calculation of Adjusted EBITDA including 100% of BellRing.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Nine Month Operating Results</w:t>
      </w:r>
    </w:p>
    <w:p>
      <w:pPr>
        <w:spacing w:after="0" w:line="116"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2"/>
          <w:szCs w:val="12"/>
          <w:color w:val="auto"/>
        </w:rPr>
        <w:t xml:space="preserve">Net sales were $705.7 million, an increase of 10.3%, or $65.8 million, compared to the prior year period.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16.6%, with volumes increasing 16.5%.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declined 9.5%, with volumes declining 8.0%. </w:t>
      </w:r>
      <w:r>
        <w:rPr>
          <w:rFonts w:ascii="Times New Roman" w:cs="Times New Roman" w:eastAsia="Times New Roman" w:hAnsi="Times New Roman"/>
          <w:sz w:val="12"/>
          <w:szCs w:val="12"/>
          <w:i w:val="1"/>
          <w:iCs w:val="1"/>
          <w:color w:val="auto"/>
        </w:rPr>
        <w:t>PowerBar</w:t>
      </w:r>
      <w:r>
        <w:rPr>
          <w:rFonts w:ascii="Times New Roman" w:cs="Times New Roman" w:eastAsia="Times New Roman" w:hAnsi="Times New Roman"/>
          <w:sz w:val="12"/>
          <w:szCs w:val="12"/>
          <w:color w:val="auto"/>
        </w:rPr>
        <w:t xml:space="preserve"> net sales declined 26.3%, with volumes declining 33.3%.</w:t>
      </w:r>
    </w:p>
    <w:p>
      <w:pPr>
        <w:spacing w:after="0" w:line="73"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12"/>
          <w:szCs w:val="12"/>
          <w:color w:val="auto"/>
        </w:rPr>
        <w:t>Gross profit was $248.2 million, or 35.2% of net sales, an increase of 5.6%, or $13.1 million, compared to the prior year period gross profit of $235.1 million, or 36.7% of net sales. The lower gross profit margin was driven by anticipated higher input costs (predominantly milk-based proteins for RTD shakes) and incremental promotional activity.</w:t>
      </w:r>
    </w:p>
    <w:p>
      <w:pPr>
        <w:spacing w:after="0" w:line="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SG&amp;A expenses were $116.6 million, or 16.5% of net sales, an increase of $24.6 million compared to the prior year period SG&amp;A expenses of $92.0 million, or 14.4% of net sales, with the increase primarily driven by $13.5 million of higher marketing and consumer advertising expenses and $6.9 million of incremental public company costs. SG&amp;A expenses for the nine months ended June 30, 2020 and June 30, 2019 included $1.9 million and $4.0 million, respectively, of costs related to BellRing’s separation from Post, which were treated as adjustments for non-GAAP measures.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profit was $115.0 million, a decrease of 9.1%, or $11.5 million, compared to the prior year period operating profit of $126.5 million.</w:t>
      </w:r>
    </w:p>
    <w:p>
      <w:pPr>
        <w:spacing w:after="0" w:line="11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Interest expense, net was $41.2 million in the nine months ended June 30, 2020 and related to debt borrowed in connection with the creation of BellRing’s capital structure in the first quarter of 2020. No interest expense was recorded in the nine months ended June 30, 2019.</w:t>
      </w:r>
    </w:p>
    <w:p>
      <w:pPr>
        <w:spacing w:after="0" w:line="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Income tax expense was $9.2 million in the nine months ended June 30, 2020, an effective income tax rate of 12.5%, compared to $30.1 million in the nine months ended June 30, 2019, an effective income tax rate of 23.8%. For the nine months ended June 30, 2020, the effective income tax rate differed significantly from the statutory rate primarily as a result of taking into account for U.S. federal, state and local income tax purposes a 28.8% distributive share of the items of income, gain, loss and deduction of BellRing LLC in the period subsequent to BellRing’s initial public offering (the “IPO”).</w:t>
      </w:r>
    </w:p>
    <w:p>
      <w:pPr>
        <w:spacing w:after="0" w:line="8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Net earnings available to Class A common stockholders were $13.5 million for the nine months ended June 30, 2020 compared to zero in the prior year period. Net earnings available to Class A common stockholders for the nine months ended June 30, 2020 excluded $51.1 million of net earnings attributable to the Company’s NCI compared to $96.4 million excluded in the prior year period. Net earnings per diluted share of Class A common stock were $0.34. Adjusted net earnings available to Class A common stockholders were $14.1 million, or $0.36 per diluted share of Class A common stock.</w:t>
      </w:r>
    </w:p>
    <w:p>
      <w:pPr>
        <w:spacing w:after="0" w:line="83"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Adjusted EBITDA was $140.5 million, a decrease of 7.4%, or $11.3 million, compared to the prior year period Adjusted EBITDA of $151.8 million. Adjusted EBITDA for the nine months ended June 30, 2020 included an adjustment for the portion of BellRing LLC’s consolidated net earnings which was allocated to NCI, resulting in the calculation of Adjusted EBITDA including 100% of BellRing.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11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On October 21, 2019, BellRing closed its IPO of 39.4 million shares of Class A common stock. Upon completion of the IPO and certain transactions completed in connection with the IPO, BellRing became the holding company for BellRing LLC (which became the holding company for Post’s historical active nutrition business (“Active Nutrition”)). Effective October 21, 2019, BellRing allocates a portion of the consolidated net earnings of BellRing LLC to NCI reflecting the entitlement of Post to a portion of the consolidated net earnings. As of June 30, 2020, Post holds 71.2% of the economic interest of BellRing LLC. Prior to October 21, 2019, Post held 100% of the economic interest of BellRing LLC, which was allocated to NCI.</w:t>
      </w:r>
    </w:p>
    <w:p>
      <w:pPr>
        <w:spacing w:after="0" w:line="86"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2"/>
          <w:szCs w:val="12"/>
          <w:color w:val="auto"/>
        </w:rPr>
        <w:t>For the period prior to the IPO, BellRing’s financial statements present the combined results of Active Nutrition which have been prepared on a stand-alone basis and are derived from the consolidated financial statements and accounting records of Post.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80"/>
          </w:cols>
          <w:pgMar w:left="300" w:top="642" w:right="319" w:bottom="1440" w:gutter="0" w:footer="0" w:header="0"/>
        </w:sectPr>
      </w:pPr>
    </w:p>
    <w:bookmarkStart w:id="5" w:name="page6"/>
    <w:bookmarkEnd w:id="5"/>
    <w:p>
      <w:pPr>
        <w:ind w:right="20"/>
        <w:spacing w:after="0" w:line="265" w:lineRule="auto"/>
        <w:rPr>
          <w:sz w:val="20"/>
          <w:szCs w:val="20"/>
          <w:color w:val="auto"/>
        </w:rPr>
      </w:pPr>
      <w:r>
        <w:rPr>
          <w:rFonts w:ascii="Times New Roman" w:cs="Times New Roman" w:eastAsia="Times New Roman" w:hAnsi="Times New Roman"/>
          <w:sz w:val="12"/>
          <w:szCs w:val="12"/>
          <w:color w:val="auto"/>
        </w:rPr>
        <w:t>The combined financial statements reflect the historical results of operations, financial position and cash flows of Active Nutrition and the allocation of certain Post corporate expenses relating to Active Nutrition based on the historical financial statements and accounting records of Post. In the opinion of management, the assumptions underlying the Active Nutrition historical combined financial statements, including the basis on which the expenses have been allocated from Post, were reasonable. However, the allocations may not reflect the expenses that BellRing may have incurred as a separate company for the period presented.</w:t>
      </w:r>
    </w:p>
    <w:p>
      <w:pPr>
        <w:spacing w:after="0" w:line="83" w:lineRule="exact"/>
        <w:rPr>
          <w:sz w:val="20"/>
          <w:szCs w:val="20"/>
          <w:color w:val="auto"/>
        </w:rPr>
      </w:pPr>
    </w:p>
    <w:p>
      <w:pPr>
        <w:ind w:right="60"/>
        <w:spacing w:after="0" w:line="327" w:lineRule="auto"/>
        <w:rPr>
          <w:sz w:val="20"/>
          <w:szCs w:val="20"/>
          <w:color w:val="auto"/>
        </w:rPr>
      </w:pPr>
      <w:r>
        <w:rPr>
          <w:rFonts w:ascii="Times New Roman" w:cs="Times New Roman" w:eastAsia="Times New Roman" w:hAnsi="Times New Roman"/>
          <w:sz w:val="11"/>
          <w:szCs w:val="11"/>
          <w:color w:val="auto"/>
        </w:rPr>
        <w:t>The historical financial results in this release for the three and nine months ended June 30, 2019 differ from the results of the BellRing Brands segment for the same period reported by Post. Reconciliations between the operating profit and Adjusted EBITDA as reported by BellRing in this release to the BellRing Brands segment profit and segment Adjusted EBITDA as reported by Post in Post’s third quarter 2020 earnings release are included later in this release.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COVID-19 Commentary</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BellRing continues to monitor the impact of the COVID-19 pandemic on its business and remains focused on ensuring its ability to safeguard the health of its employees, maintaining the continuity of its supply chain to serve customers and managing its financial performance and liquidity.</w:t>
      </w:r>
    </w:p>
    <w:p>
      <w:pPr>
        <w:spacing w:after="0" w:line="75"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 xml:space="preserve">In the third quarter of fiscal year 2020, BellRing’s products experienced category-wide slowing growth rates resulting from changes in consumer behavior, including lower on-the-go consumption and decreased relevance of sports nutrition consumption. Net sales for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PowerBar</w:t>
      </w:r>
      <w:r>
        <w:rPr>
          <w:rFonts w:ascii="Times New Roman" w:cs="Times New Roman" w:eastAsia="Times New Roman" w:hAnsi="Times New Roman"/>
          <w:sz w:val="12"/>
          <w:szCs w:val="12"/>
          <w:color w:val="auto"/>
        </w:rPr>
        <w:t xml:space="preserve"> products sold in global specialty channels are also negatively impacted by specialty retail store and gym closures.</w:t>
      </w:r>
    </w:p>
    <w:p>
      <w:pPr>
        <w:spacing w:after="0" w:line="7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 March 2020, BellRing LLC borrowed $65.0 million under its $200.0 million revolving credit facility. During the third quarter of fiscal year 2020, BellRing LLC repaid $65.0 million of the outstanding principal value. As of June 30, 2020, the available borrowing capacity under the revolving credit facility was $145.0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BellRing management has reaffirmed its fiscal year 2020 Adjusted EBITDA range of between $192-$202 million. As a result of the impacts of the COVID-19 pandemic as described above, BellRing now expects net sales to range between $960-$980 million. Capital expenditures are expected to be approximately $3 million.</w:t>
      </w:r>
    </w:p>
    <w:p>
      <w:pPr>
        <w:spacing w:after="0" w:line="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NCI, separation costs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as key metrics in the evaluation of underlying company performance, in making financial, operating and planning decisions and, in part, in the determination of cash bonuses for its executive officers and employees. Additionally, BellRing LLC is required to comply with certain covenants and limitations that are based on variations of EBITDA in BellRing LLC’s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60"/>
          </w:cols>
          <w:pgMar w:left="300" w:top="75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BellRing Conference Call to Discuss Earnings Results and Outlook</w:t>
      </w:r>
    </w:p>
    <w:p>
      <w:pPr>
        <w:spacing w:after="0" w:line="118"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Friday, August 7, 2020 at 10:30 a.m. EDT to discuss financial results for the third quarter of fiscal year 2020 and fiscal year 2020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dialing (833) 954-1568 in the United States and (409) 216-6583 from outside of the United States. The conference identification number is 9248828.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83"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A replay of the conference call will be available through Friday, August 21, 2020 by dialing (800) 585-8367 in the United States and (404) 537-3406 from outside of the United States and using the conference identification number 9248828. A webcast replay also will be available for a limited period on BellRing’s website in the Investor Relations section.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Adjusted EBITDA and capital expenditures outlook for fiscal year 2020 and statements regarding the effect of the COVID-19 pandemic on BellRing’s business and BellRing’s continuing response to the COVID-19 pandemic.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1" w:lineRule="exact"/>
        <w:rPr>
          <w:sz w:val="20"/>
          <w:szCs w:val="20"/>
          <w:color w:val="auto"/>
        </w:rPr>
      </w:pPr>
    </w:p>
    <w:p>
      <w:pPr>
        <w:ind w:left="420" w:right="30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COVID-19 pandemic, including negative impacts on the global economy and capital markets, BellRing’s ability and the ability of its third party manufacturers to manufacture and deliver its products, its supply chain and its operations generally;</w:t>
      </w:r>
    </w:p>
    <w:p>
      <w:pPr>
        <w:ind w:left="420" w:right="14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the supply chain, including as a result of BellRing’s reliance on third party suppliers or manufacturers for the manufacturing of many of its products, pandemics,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costs or availability of certain commodities (including raw materials and packaging used to manufacture BellRing’s products), higher freight costs or higher energy costs;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economic conditions, disruptions in the United States and global capital and credit markets, changes in interest rates and fluctuations in foreign currency exchange rates;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attract key employees, loss of key employees, employee absenteeism, labor strikes, work stoppages or unionization efforts;</w:t>
      </w:r>
    </w:p>
    <w:p>
      <w:pPr>
        <w:spacing w:after="0" w:line="6" w:lineRule="exact"/>
        <w:rPr>
          <w:rFonts w:ascii="Times New Roman" w:cs="Times New Roman" w:eastAsia="Times New Roman" w:hAnsi="Times New Roman"/>
          <w:sz w:val="12"/>
          <w:szCs w:val="12"/>
          <w:color w:val="auto"/>
        </w:rPr>
      </w:pPr>
    </w:p>
    <w:p>
      <w:pPr>
        <w:ind w:left="420" w:right="44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high leverage, its ability to obtain additional financing (including both secured and unsecured debt) and its ability to service its outstanding debt (including covenants that restrict the operation of BellRing’s business);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a limited number of third party contract manufacturers and suppliers for the manufacturing of most of its products, including one manufacturer for the substantial majority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operation in a category with strong competition;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 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trends and to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favorable perceptions of its brands;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60"/>
          </w:cols>
          <w:pgMar w:left="300" w:top="638" w:right="339" w:bottom="1440" w:gutter="0" w:footer="0" w:header="0"/>
        </w:sectPr>
      </w:pPr>
    </w:p>
    <w:bookmarkStart w:id="7" w:name="page8"/>
    <w:bookmarkEnd w:id="7"/>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allegations that BellRing’s products cause injury or illness, product recalls and withdrawals and product liability claims and other litigation;</w:t>
      </w:r>
    </w:p>
    <w:p>
      <w:pPr>
        <w:spacing w:after="0" w:line="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and changes to and new laws and regulations affecting BellRing’s business, including current and future laws and regulations regarding food safety and advertising;</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manage its growth and to identify, complete and integrate any acquisitions or other strategic transactions;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right="24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including Post’s control over BellRing and ability to control the direction of BellRing’s business, conflicts of interest or disputes that may arise between Post and BellRing and BellRing’s obligations under various agreements with Post, including under the tax receivable agreement;</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downturns that limit customer and consumer demand for BellRing’s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information technology failures, cybersecurity incidents and/or information security breaches;</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public company status, including BellRing’s ability to operate as a separate public company and the additional expenses BellRing will incur to create the corporate infrastructure to operate as a public company;</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estimates in critical accounting judgments;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1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BellRing Brands, Inc. is a rapidly growing leader in the global convenient nutrition category. Its primary brands, Premier Protein®, Dymatize® and PowerBar®,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(314) 644-7665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 Relations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 Hanly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(314) 665-3180</w:t>
      </w:r>
    </w:p>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00"/>
          </w:cols>
          <w:pgMar w:left="300" w:top="642" w:right="3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4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jc w:val="center"/>
              <w:ind w:left="301"/>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4"/>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620" w:type="dxa"/>
            <w:vAlign w:val="bottom"/>
          </w:tcPr>
          <w:p>
            <w:pPr>
              <w:spacing w:after="0"/>
              <w:rPr>
                <w:sz w:val="11"/>
                <w:szCs w:val="11"/>
                <w:color w:val="auto"/>
              </w:rPr>
            </w:pPr>
          </w:p>
        </w:tc>
      </w:tr>
      <w:tr>
        <w:trPr>
          <w:trHeight w:val="142"/>
        </w:trPr>
        <w:tc>
          <w:tcPr>
            <w:tcW w:w="34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left="301"/>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20" w:type="dxa"/>
            <w:vAlign w:val="bottom"/>
          </w:tcPr>
          <w:p>
            <w:pPr>
              <w:spacing w:after="0"/>
              <w:rPr>
                <w:sz w:val="12"/>
                <w:szCs w:val="12"/>
                <w:color w:val="auto"/>
              </w:rPr>
            </w:pPr>
          </w:p>
        </w:tc>
      </w:tr>
      <w:tr>
        <w:trPr>
          <w:trHeight w:val="22"/>
        </w:trPr>
        <w:tc>
          <w:tcPr>
            <w:tcW w:w="3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8"/>
        </w:trPr>
        <w:tc>
          <w:tcPr>
            <w:tcW w:w="34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rPr>
              <w:t>2020</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0"/>
              </w:rPr>
              <w:t>2019</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2020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0"/>
              </w:rPr>
              <w:t>2019</w:t>
            </w:r>
          </w:p>
        </w:tc>
      </w:tr>
      <w:tr>
        <w:trPr>
          <w:trHeight w:val="22"/>
        </w:trPr>
        <w:tc>
          <w:tcPr>
            <w:tcW w:w="348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324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204.2</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237.6</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705.7</w:t>
            </w: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639.9</w:t>
            </w:r>
          </w:p>
        </w:tc>
      </w:tr>
      <w:tr>
        <w:trPr>
          <w:trHeight w:val="171"/>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30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135.5</w:t>
            </w: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147.1</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457.5</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404.8</w:t>
            </w:r>
          </w:p>
        </w:tc>
      </w:tr>
      <w:tr>
        <w:trPr>
          <w:trHeight w:val="17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3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68.7</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90.5</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235.1</w:t>
            </w:r>
          </w:p>
        </w:tc>
      </w:tr>
      <w:tr>
        <w:trPr>
          <w:trHeight w:val="171"/>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32.6</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32.2</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92.0</w:t>
            </w:r>
          </w:p>
        </w:tc>
      </w:tr>
      <w:tr>
        <w:trPr>
          <w:trHeight w:val="18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30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5.5</w:t>
            </w:r>
          </w:p>
        </w:tc>
        <w:tc>
          <w:tcPr>
            <w:tcW w:w="2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w:t>
            </w:r>
          </w:p>
        </w:tc>
        <w:tc>
          <w:tcPr>
            <w:tcW w:w="3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16.6</w:t>
            </w:r>
          </w:p>
        </w:tc>
      </w:tr>
      <w:tr>
        <w:trPr>
          <w:trHeight w:val="160"/>
        </w:trPr>
        <w:tc>
          <w:tcPr>
            <w:tcW w:w="3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30.6</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52.8</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126.5</w:t>
            </w:r>
          </w:p>
        </w:tc>
      </w:tr>
      <w:tr>
        <w:trPr>
          <w:trHeight w:val="18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3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15.3</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60"/>
        </w:trPr>
        <w:tc>
          <w:tcPr>
            <w:tcW w:w="3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30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15.3</w:t>
            </w:r>
          </w:p>
        </w:tc>
        <w:tc>
          <w:tcPr>
            <w:tcW w:w="2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52.8</w:t>
            </w:r>
          </w:p>
        </w:tc>
        <w:tc>
          <w:tcPr>
            <w:tcW w:w="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126.5</w:t>
            </w:r>
          </w:p>
        </w:tc>
      </w:tr>
      <w:tr>
        <w:trPr>
          <w:trHeight w:val="18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0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1.1</w:t>
            </w:r>
          </w:p>
        </w:tc>
        <w:tc>
          <w:tcPr>
            <w:tcW w:w="2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12.5</w:t>
            </w:r>
          </w:p>
        </w:tc>
        <w:tc>
          <w:tcPr>
            <w:tcW w:w="3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30.1</w:t>
            </w:r>
          </w:p>
        </w:tc>
      </w:tr>
      <w:tr>
        <w:trPr>
          <w:trHeight w:val="160"/>
        </w:trPr>
        <w:tc>
          <w:tcPr>
            <w:tcW w:w="3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Earnings Including Redeemable Noncontrolling Interest</w:t>
            </w:r>
          </w:p>
        </w:tc>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14.2</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40.3</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96.4</w:t>
            </w:r>
          </w:p>
        </w:tc>
      </w:tr>
      <w:tr>
        <w:trPr>
          <w:trHeight w:val="18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earnings attributable to redeemable noncontrolling interest</w:t>
            </w:r>
          </w:p>
        </w:tc>
        <w:tc>
          <w:tcPr>
            <w:tcW w:w="30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10.9</w:t>
            </w:r>
          </w:p>
        </w:tc>
        <w:tc>
          <w:tcPr>
            <w:tcW w:w="2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40.3</w:t>
            </w:r>
          </w:p>
        </w:tc>
        <w:tc>
          <w:tcPr>
            <w:tcW w:w="3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1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96.4</w:t>
            </w:r>
          </w:p>
        </w:tc>
      </w:tr>
      <w:tr>
        <w:trPr>
          <w:trHeight w:val="194"/>
        </w:trPr>
        <w:tc>
          <w:tcPr>
            <w:tcW w:w="3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Class A Common Stockholders</w:t>
            </w:r>
          </w:p>
        </w:tc>
        <w:tc>
          <w:tcPr>
            <w:tcW w:w="3240" w:type="dxa"/>
            <w:vAlign w:val="bottom"/>
            <w:gridSpan w:val="3"/>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3.3</w:t>
            </w:r>
          </w:p>
        </w:tc>
        <w:tc>
          <w:tcPr>
            <w:tcW w:w="240" w:type="dxa"/>
            <w:vAlign w:val="bottom"/>
          </w:tcPr>
          <w:p>
            <w:pPr>
              <w:spacing w:after="0"/>
              <w:rPr>
                <w:sz w:val="16"/>
                <w:szCs w:val="16"/>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480" w:type="dxa"/>
            <w:vAlign w:val="bottom"/>
            <w:tcBorders>
              <w:top w:val="single" w:sz="8" w:color="CCEEFF"/>
            </w:tcBorders>
            <w:shd w:val="clear" w:color="auto" w:fill="CCEEFF"/>
          </w:tcPr>
          <w:p>
            <w:pPr>
              <w:spacing w:after="0"/>
              <w:rPr>
                <w:sz w:val="13"/>
                <w:szCs w:val="13"/>
                <w:color w:val="auto"/>
              </w:rPr>
            </w:pPr>
          </w:p>
        </w:tc>
        <w:tc>
          <w:tcPr>
            <w:tcW w:w="30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r>
      <w:tr>
        <w:trPr>
          <w:trHeight w:val="171"/>
        </w:trPr>
        <w:tc>
          <w:tcPr>
            <w:tcW w:w="3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per share of Class A Common Stock:</w:t>
            </w:r>
          </w:p>
        </w:tc>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324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0.08</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3240" w:type="dxa"/>
            <w:vAlign w:val="bottom"/>
            <w:gridSpan w:val="3"/>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0.08</w:t>
            </w:r>
          </w:p>
        </w:tc>
        <w:tc>
          <w:tcPr>
            <w:tcW w:w="24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34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1"/>
        </w:trPr>
        <w:tc>
          <w:tcPr>
            <w:tcW w:w="3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Shares of Class A Common Stock Outstanding:</w:t>
            </w:r>
          </w:p>
        </w:tc>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3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39.4</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39.5</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475"/>
        </w:trPr>
        <w:tc>
          <w:tcPr>
            <w:tcW w:w="3480" w:type="dxa"/>
            <w:vAlign w:val="bottom"/>
          </w:tcPr>
          <w:p>
            <w:pPr>
              <w:spacing w:after="0"/>
              <w:rPr>
                <w:sz w:val="24"/>
                <w:szCs w:val="24"/>
                <w:color w:val="auto"/>
              </w:rPr>
            </w:pPr>
          </w:p>
        </w:tc>
        <w:tc>
          <w:tcPr>
            <w:tcW w:w="422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RECONCILIATION OF OPERATING PROFIT, AS REPORTED BY BELLRING,</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26"/>
        </w:trPr>
        <w:tc>
          <w:tcPr>
            <w:tcW w:w="3480" w:type="dxa"/>
            <w:vAlign w:val="bottom"/>
          </w:tcPr>
          <w:p>
            <w:pPr>
              <w:spacing w:after="0"/>
              <w:rPr>
                <w:sz w:val="10"/>
                <w:szCs w:val="10"/>
                <w:color w:val="auto"/>
              </w:rPr>
            </w:pPr>
          </w:p>
        </w:tc>
        <w:tc>
          <w:tcPr>
            <w:tcW w:w="422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TO BELLRING BRANDS SEGMENT PROFIT, AS REPORTED BY POST (Unaudited)</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2"/>
        </w:trPr>
        <w:tc>
          <w:tcPr>
            <w:tcW w:w="3480" w:type="dxa"/>
            <w:vAlign w:val="bottom"/>
          </w:tcPr>
          <w:p>
            <w:pPr>
              <w:spacing w:after="0"/>
              <w:rPr>
                <w:sz w:val="12"/>
                <w:szCs w:val="12"/>
                <w:color w:val="auto"/>
              </w:rPr>
            </w:pPr>
          </w:p>
        </w:tc>
        <w:tc>
          <w:tcPr>
            <w:tcW w:w="3240" w:type="dxa"/>
            <w:vAlign w:val="bottom"/>
            <w:gridSpan w:val="3"/>
          </w:tcPr>
          <w:p>
            <w:pPr>
              <w:jc w:val="center"/>
              <w:ind w:left="942"/>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5"/>
        </w:trPr>
        <w:tc>
          <w:tcPr>
            <w:tcW w:w="34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5"/>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220" w:type="dxa"/>
            <w:vAlign w:val="bottom"/>
          </w:tcPr>
          <w:p>
            <w:pPr>
              <w:spacing w:after="0"/>
              <w:rPr>
                <w:sz w:val="13"/>
                <w:szCs w:val="13"/>
                <w:color w:val="auto"/>
              </w:rPr>
            </w:pPr>
          </w:p>
        </w:tc>
        <w:tc>
          <w:tcPr>
            <w:tcW w:w="1360" w:type="dxa"/>
            <w:vAlign w:val="bottom"/>
            <w:gridSpan w:val="4"/>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620" w:type="dxa"/>
            <w:vAlign w:val="bottom"/>
          </w:tcPr>
          <w:p>
            <w:pPr>
              <w:spacing w:after="0"/>
              <w:rPr>
                <w:sz w:val="13"/>
                <w:szCs w:val="13"/>
                <w:color w:val="auto"/>
              </w:rPr>
            </w:pPr>
          </w:p>
        </w:tc>
      </w:tr>
      <w:tr>
        <w:trPr>
          <w:trHeight w:val="142"/>
        </w:trPr>
        <w:tc>
          <w:tcPr>
            <w:tcW w:w="34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left="321"/>
              <w:spacing w:after="0"/>
              <w:rPr>
                <w:sz w:val="20"/>
                <w:szCs w:val="20"/>
                <w:color w:val="auto"/>
              </w:rPr>
            </w:pPr>
            <w:r>
              <w:rPr>
                <w:rFonts w:ascii="Times New Roman" w:cs="Times New Roman" w:eastAsia="Times New Roman" w:hAnsi="Times New Roman"/>
                <w:sz w:val="11"/>
                <w:szCs w:val="11"/>
                <w:b w:val="1"/>
                <w:bCs w:val="1"/>
                <w:color w:val="auto"/>
                <w:w w:val="96"/>
              </w:rPr>
              <w:t>June 30, 2019</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4"/>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620" w:type="dxa"/>
            <w:vAlign w:val="bottom"/>
          </w:tcPr>
          <w:p>
            <w:pPr>
              <w:spacing w:after="0"/>
              <w:rPr>
                <w:sz w:val="12"/>
                <w:szCs w:val="12"/>
                <w:color w:val="auto"/>
              </w:rPr>
            </w:pPr>
          </w:p>
        </w:tc>
      </w:tr>
      <w:tr>
        <w:trPr>
          <w:trHeight w:val="22"/>
        </w:trPr>
        <w:tc>
          <w:tcPr>
            <w:tcW w:w="348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profit, as reported by BellRing</w:t>
            </w:r>
          </w:p>
        </w:tc>
        <w:tc>
          <w:tcPr>
            <w:tcW w:w="324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52.8</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126.5</w:t>
            </w:r>
          </w:p>
        </w:tc>
      </w:tr>
      <w:tr>
        <w:trPr>
          <w:trHeight w:val="180"/>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 xml:space="preserve">Allocated costs </w:t>
            </w:r>
            <w:r>
              <w:rPr>
                <w:rFonts w:ascii="Times New Roman" w:cs="Times New Roman" w:eastAsia="Times New Roman" w:hAnsi="Times New Roman"/>
                <w:sz w:val="15"/>
                <w:szCs w:val="15"/>
                <w:color w:val="auto"/>
                <w:vertAlign w:val="superscript"/>
              </w:rPr>
              <w:t>(1)</w:t>
            </w:r>
          </w:p>
        </w:tc>
        <w:tc>
          <w:tcPr>
            <w:tcW w:w="3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2.8</w:t>
            </w:r>
          </w:p>
        </w:tc>
        <w:tc>
          <w:tcPr>
            <w:tcW w:w="3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8.3</w:t>
            </w:r>
          </w:p>
        </w:tc>
      </w:tr>
      <w:tr>
        <w:trPr>
          <w:trHeight w:val="185"/>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BellRing Brands segment profit, as reported by Post</w:t>
            </w:r>
          </w:p>
        </w:tc>
        <w:tc>
          <w:tcPr>
            <w:tcW w:w="302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55.6</w:t>
            </w: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134.8</w:t>
            </w:r>
          </w:p>
        </w:tc>
      </w:tr>
    </w:tbl>
    <w:p>
      <w:pPr>
        <w:spacing w:after="0" w:line="151" w:lineRule="exact"/>
        <w:rPr>
          <w:sz w:val="20"/>
          <w:szCs w:val="20"/>
          <w:color w:val="auto"/>
        </w:rPr>
      </w:pPr>
    </w:p>
    <w:p>
      <w:pPr>
        <w:ind w:right="580" w:firstLine="9"/>
        <w:spacing w:after="0" w:line="226" w:lineRule="auto"/>
        <w:tabs>
          <w:tab w:leader="none" w:pos="121"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Allocated costs are general and administrative costs that are attributable to BellRing and have been allocated by Post to BellRing. BellRing includes these costs in its SG&amp;A expenses and Operating Profit measures in its Condensed Consolidated Statement of Operations. Post classifies these costs as unallocated corporate expenses, which are reported by Post in general corporate expenses and other.</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20"/>
          </w:cols>
          <w:pgMar w:left="340" w:top="638"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September 30, 2019</w:t>
            </w:r>
          </w:p>
        </w:tc>
        <w:tc>
          <w:tcPr>
            <w:tcW w:w="0" w:type="dxa"/>
            <w:vAlign w:val="bottom"/>
          </w:tcPr>
          <w:p>
            <w:pPr>
              <w:spacing w:after="0"/>
              <w:rPr>
                <w:sz w:val="1"/>
                <w:szCs w:val="1"/>
                <w:color w:val="auto"/>
              </w:rPr>
            </w:pPr>
          </w:p>
        </w:tc>
      </w:tr>
      <w:tr>
        <w:trPr>
          <w:trHeight w:val="22"/>
        </w:trPr>
        <w:tc>
          <w:tcPr>
            <w:tcW w:w="320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3200" w:type="dxa"/>
            <w:vAlign w:val="bottom"/>
            <w:tcBorders>
              <w:bottom w:val="single" w:sz="8" w:color="CCEEFF"/>
            </w:tcBorders>
            <w:shd w:val="clear" w:color="auto" w:fill="CCEEFF"/>
          </w:tcPr>
          <w:p>
            <w:pPr>
              <w:spacing w:after="0"/>
              <w:rPr>
                <w:sz w:val="14"/>
                <w:szCs w:val="14"/>
                <w:color w:val="auto"/>
              </w:rPr>
            </w:pPr>
          </w:p>
        </w:tc>
        <w:tc>
          <w:tcPr>
            <w:tcW w:w="5240" w:type="dxa"/>
            <w:vAlign w:val="bottom"/>
            <w:tcBorders>
              <w:bottom w:val="single" w:sz="8" w:color="CCEEFF"/>
            </w:tcBorders>
            <w:gridSpan w:val="2"/>
            <w:shd w:val="clear" w:color="auto" w:fill="CCEEFF"/>
          </w:tcPr>
          <w:p>
            <w:pPr>
              <w:jc w:val="right"/>
              <w:ind w:right="2526"/>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5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240" w:type="dxa"/>
            <w:vAlign w:val="bottom"/>
            <w:gridSpan w:val="2"/>
            <w:shd w:val="clear" w:color="auto" w:fill="CCEEFF"/>
          </w:tcPr>
          <w:p>
            <w:pPr>
              <w:jc w:val="right"/>
              <w:ind w:right="1146"/>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22.5</w:t>
            </w:r>
          </w:p>
        </w:tc>
        <w:tc>
          <w:tcPr>
            <w:tcW w:w="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Receivables, net</w:t>
            </w: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74.9</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Inventories</w:t>
            </w:r>
          </w:p>
        </w:tc>
        <w:tc>
          <w:tcPr>
            <w:tcW w:w="39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184.6</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138.2</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8.6</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7.4</w:t>
            </w:r>
          </w:p>
        </w:tc>
        <w:tc>
          <w:tcPr>
            <w:tcW w:w="0" w:type="dxa"/>
            <w:vAlign w:val="bottom"/>
          </w:tcPr>
          <w:p>
            <w:pPr>
              <w:spacing w:after="0"/>
              <w:rPr>
                <w:sz w:val="1"/>
                <w:szCs w:val="1"/>
                <w:color w:val="auto"/>
              </w:rPr>
            </w:pPr>
          </w:p>
        </w:tc>
      </w:tr>
      <w:tr>
        <w:trPr>
          <w:trHeight w:val="178"/>
        </w:trPr>
        <w:tc>
          <w:tcPr>
            <w:tcW w:w="3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290.6</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219.5</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11.7</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65.9</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65.9</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intangible assets, net</w:t>
            </w:r>
          </w:p>
        </w:tc>
        <w:tc>
          <w:tcPr>
            <w:tcW w:w="39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279.9</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296.5</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13.6</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0.9</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5240" w:type="dxa"/>
            <w:vAlign w:val="bottom"/>
            <w:gridSpan w:val="2"/>
            <w:shd w:val="clear" w:color="auto" w:fill="CCEEFF"/>
          </w:tcPr>
          <w:p>
            <w:pPr>
              <w:jc w:val="right"/>
              <w:ind w:right="1146"/>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659.9</w:t>
            </w:r>
          </w:p>
        </w:tc>
        <w:tc>
          <w:tcPr>
            <w:tcW w:w="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594.5</w:t>
            </w:r>
          </w:p>
        </w:tc>
        <w:tc>
          <w:tcPr>
            <w:tcW w:w="0" w:type="dxa"/>
            <w:vAlign w:val="bottom"/>
          </w:tcPr>
          <w:p>
            <w:pPr>
              <w:spacing w:after="0"/>
              <w:rPr>
                <w:sz w:val="1"/>
                <w:szCs w:val="1"/>
                <w:color w:val="auto"/>
              </w:rPr>
            </w:pPr>
          </w:p>
        </w:tc>
      </w:tr>
      <w:tr>
        <w:trPr>
          <w:trHeight w:val="153"/>
        </w:trPr>
        <w:tc>
          <w:tcPr>
            <w:tcW w:w="3200" w:type="dxa"/>
            <w:vAlign w:val="bottom"/>
            <w:tcBorders>
              <w:top w:val="single" w:sz="8" w:color="CCEEFF"/>
            </w:tcBorders>
          </w:tcPr>
          <w:p>
            <w:pPr>
              <w:spacing w:after="0"/>
              <w:rPr>
                <w:sz w:val="13"/>
                <w:szCs w:val="13"/>
                <w:color w:val="auto"/>
              </w:rPr>
            </w:pPr>
          </w:p>
        </w:tc>
        <w:tc>
          <w:tcPr>
            <w:tcW w:w="3960" w:type="dxa"/>
            <w:vAlign w:val="bottom"/>
            <w:tcBorders>
              <w:top w:val="single" w:sz="8" w:color="CCEEFF"/>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200" w:type="dxa"/>
            <w:vAlign w:val="bottom"/>
            <w:tcBorders>
              <w:bottom w:val="single" w:sz="8" w:color="CCEEFF"/>
            </w:tcBorders>
            <w:shd w:val="clear" w:color="auto" w:fill="CCEEFF"/>
          </w:tcPr>
          <w:p>
            <w:pPr>
              <w:spacing w:after="0"/>
              <w:rPr>
                <w:sz w:val="16"/>
                <w:szCs w:val="16"/>
                <w:color w:val="auto"/>
              </w:rPr>
            </w:pPr>
          </w:p>
        </w:tc>
        <w:tc>
          <w:tcPr>
            <w:tcW w:w="5240" w:type="dxa"/>
            <w:vAlign w:val="bottom"/>
            <w:tcBorders>
              <w:bottom w:val="single" w:sz="8" w:color="CCEEFF"/>
            </w:tcBorders>
            <w:gridSpan w:val="2"/>
            <w:shd w:val="clear" w:color="auto" w:fill="CCEEFF"/>
          </w:tcPr>
          <w:p>
            <w:pPr>
              <w:jc w:val="right"/>
              <w:ind w:right="1566"/>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5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5240" w:type="dxa"/>
            <w:vAlign w:val="bottom"/>
            <w:gridSpan w:val="2"/>
            <w:shd w:val="clear" w:color="auto" w:fill="CCEEFF"/>
          </w:tcPr>
          <w:p>
            <w:pPr>
              <w:jc w:val="right"/>
              <w:ind w:right="1146"/>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35.0</w:t>
            </w:r>
          </w:p>
        </w:tc>
        <w:tc>
          <w:tcPr>
            <w:tcW w:w="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payable</w:t>
            </w: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63.7</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61.7</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6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28.4</w:t>
            </w:r>
          </w:p>
        </w:tc>
        <w:tc>
          <w:tcPr>
            <w:tcW w:w="60" w:type="dxa"/>
            <w:vAlign w:val="bottom"/>
            <w:tcBorders>
              <w:bottom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31.0</w:t>
            </w:r>
          </w:p>
        </w:tc>
        <w:tc>
          <w:tcPr>
            <w:tcW w:w="0" w:type="dxa"/>
            <w:vAlign w:val="bottom"/>
          </w:tcPr>
          <w:p>
            <w:pPr>
              <w:spacing w:after="0"/>
              <w:rPr>
                <w:sz w:val="1"/>
                <w:szCs w:val="1"/>
                <w:color w:val="auto"/>
              </w:rPr>
            </w:pPr>
          </w:p>
        </w:tc>
      </w:tr>
      <w:tr>
        <w:trPr>
          <w:trHeight w:val="160"/>
        </w:trPr>
        <w:tc>
          <w:tcPr>
            <w:tcW w:w="32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127.1</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92.7</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683.9</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12.7</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29.3</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78"/>
        </w:trPr>
        <w:tc>
          <w:tcPr>
            <w:tcW w:w="3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853.0</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108.1</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Redeemable noncontrolling interest</w:t>
            </w:r>
          </w:p>
        </w:tc>
        <w:tc>
          <w:tcPr>
            <w:tcW w:w="39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1,943.6</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39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Preferred stock</w:t>
            </w: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Common stock</w:t>
            </w:r>
          </w:p>
        </w:tc>
        <w:tc>
          <w:tcPr>
            <w:tcW w:w="39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Accumulated deficit</w:t>
            </w: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(2,132.8)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investment of Post Holdings, Inc.</w:t>
            </w:r>
          </w:p>
        </w:tc>
        <w:tc>
          <w:tcPr>
            <w:tcW w:w="39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489.0</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69"/>
        </w:trPr>
        <w:tc>
          <w:tcPr>
            <w:tcW w:w="3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b w:val="1"/>
                <w:bCs w:val="1"/>
                <w:color w:val="auto"/>
              </w:rPr>
              <w:t>Total Stockholders’ Equity</w:t>
            </w:r>
          </w:p>
        </w:tc>
        <w:tc>
          <w:tcPr>
            <w:tcW w:w="396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(2,136.7)</w:t>
            </w:r>
          </w:p>
        </w:tc>
        <w:tc>
          <w:tcPr>
            <w:tcW w:w="60" w:type="dxa"/>
            <w:vAlign w:val="bottom"/>
            <w:tcBorders>
              <w:bottom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486.4</w:t>
            </w:r>
          </w:p>
        </w:tc>
        <w:tc>
          <w:tcPr>
            <w:tcW w:w="0" w:type="dxa"/>
            <w:vAlign w:val="bottom"/>
          </w:tcPr>
          <w:p>
            <w:pPr>
              <w:spacing w:after="0"/>
              <w:rPr>
                <w:sz w:val="1"/>
                <w:szCs w:val="1"/>
                <w:color w:val="auto"/>
              </w:rPr>
            </w:pPr>
          </w:p>
        </w:tc>
      </w:tr>
      <w:tr>
        <w:trPr>
          <w:trHeight w:val="178"/>
        </w:trPr>
        <w:tc>
          <w:tcPr>
            <w:tcW w:w="32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5240" w:type="dxa"/>
            <w:vAlign w:val="bottom"/>
            <w:gridSpan w:val="2"/>
          </w:tcPr>
          <w:p>
            <w:pPr>
              <w:jc w:val="right"/>
              <w:ind w:right="1146"/>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659.9</w:t>
            </w: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594.5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200" w:type="dxa"/>
            <w:vAlign w:val="bottom"/>
          </w:tcPr>
          <w:p>
            <w:pPr>
              <w:spacing w:after="0"/>
              <w:rPr>
                <w:sz w:val="24"/>
                <w:szCs w:val="24"/>
                <w:color w:val="auto"/>
              </w:rPr>
            </w:pPr>
          </w:p>
        </w:tc>
        <w:tc>
          <w:tcPr>
            <w:tcW w:w="5240" w:type="dxa"/>
            <w:vAlign w:val="bottom"/>
            <w:gridSpan w:val="2"/>
          </w:tcPr>
          <w:p>
            <w:pPr>
              <w:jc w:val="center"/>
              <w:ind w:right="386"/>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5240" w:type="dxa"/>
            <w:vAlign w:val="bottom"/>
            <w:gridSpan w:val="2"/>
          </w:tcPr>
          <w:p>
            <w:pPr>
              <w:jc w:val="center"/>
              <w:ind w:right="386"/>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2"/>
                <w:szCs w:val="12"/>
                <w:color w:val="auto"/>
              </w:rPr>
            </w:pPr>
          </w:p>
        </w:tc>
        <w:tc>
          <w:tcPr>
            <w:tcW w:w="52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rPr>
              <w:t>2019</w:t>
            </w:r>
          </w:p>
        </w:tc>
        <w:tc>
          <w:tcPr>
            <w:tcW w:w="0" w:type="dxa"/>
            <w:vAlign w:val="bottom"/>
          </w:tcPr>
          <w:p>
            <w:pPr>
              <w:spacing w:after="0"/>
              <w:rPr>
                <w:sz w:val="1"/>
                <w:szCs w:val="1"/>
                <w:color w:val="auto"/>
              </w:rPr>
            </w:pPr>
          </w:p>
        </w:tc>
      </w:tr>
      <w:tr>
        <w:trPr>
          <w:trHeight w:val="22"/>
        </w:trPr>
        <w:tc>
          <w:tcPr>
            <w:tcW w:w="320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9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240" w:type="dxa"/>
            <w:vAlign w:val="bottom"/>
            <w:gridSpan w:val="2"/>
          </w:tcPr>
          <w:p>
            <w:pPr>
              <w:jc w:val="right"/>
              <w:ind w:right="1146"/>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27.2</w:t>
            </w: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59.4</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(65.0)</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396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c>
          <w:tcPr>
            <w:tcW w:w="60" w:type="dxa"/>
            <w:vAlign w:val="bottom"/>
            <w:tcBorders>
              <w:bottom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58"/>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Increase (decrease) in cash and cash equivalents</w:t>
            </w:r>
          </w:p>
        </w:tc>
        <w:tc>
          <w:tcPr>
            <w:tcW w:w="5240" w:type="dxa"/>
            <w:vAlign w:val="bottom"/>
            <w:gridSpan w:val="2"/>
          </w:tcPr>
          <w:p>
            <w:pPr>
              <w:jc w:val="right"/>
              <w:ind w:right="1146"/>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17.0</w:t>
            </w: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60" w:type="dxa"/>
            <w:vAlign w:val="bottom"/>
            <w:vMerge w:val="restart"/>
          </w:tcPr>
          <w:p>
            <w:pPr>
              <w:jc w:val="center"/>
              <w:ind w:left="803"/>
              <w:spacing w:after="0"/>
              <w:rPr>
                <w:sz w:val="20"/>
                <w:szCs w:val="20"/>
                <w:color w:val="auto"/>
              </w:rPr>
            </w:pPr>
            <w:r>
              <w:rPr>
                <w:rFonts w:ascii="Times New Roman" w:cs="Times New Roman" w:eastAsia="Times New Roman" w:hAnsi="Times New Roman"/>
                <w:sz w:val="12"/>
                <w:szCs w:val="12"/>
                <w:color w:val="auto"/>
                <w:w w:val="99"/>
              </w:rPr>
              <w:t>7</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32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38"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available to Class A common stockholders and Adjusted diluted earnings per share of Class A common stock</w:t>
      </w:r>
    </w:p>
    <w:p>
      <w:pPr>
        <w:spacing w:after="0" w:line="1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available to Class A common stockholders and Adjusted diluted earnings per share of Class A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available to Class A common stockholders and Adjusted diluted earnings per share of Class A common stock are adjusted for the following items:</w:t>
      </w:r>
    </w:p>
    <w:p>
      <w:pPr>
        <w:spacing w:after="0" w:line="17" w:lineRule="exact"/>
        <w:rPr>
          <w:sz w:val="20"/>
          <w:szCs w:val="20"/>
          <w:color w:val="auto"/>
        </w:rPr>
      </w:pPr>
    </w:p>
    <w:p>
      <w:pPr>
        <w:ind w:left="420" w:right="380" w:hanging="212"/>
        <w:spacing w:after="0" w:line="250" w:lineRule="auto"/>
        <w:tabs>
          <w:tab w:leader="none" w:pos="41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Separation costs</w:t>
      </w:r>
      <w:r>
        <w:rPr>
          <w:rFonts w:ascii="Times New Roman" w:cs="Times New Roman" w:eastAsia="Times New Roman" w:hAnsi="Times New Roman"/>
          <w:sz w:val="12"/>
          <w:szCs w:val="12"/>
          <w:color w:val="auto"/>
        </w:rPr>
        <w:t>: BellRing has excluded certain expenses incurred to effect its separation from Post and to support its transition into a separate stand-alone, publicly-traded entity as the amount and frequency of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adjustments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480" w:hanging="212"/>
        <w:spacing w:after="0" w:line="250"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40" w:hanging="212"/>
        <w:spacing w:after="0" w:line="260" w:lineRule="auto"/>
        <w:tabs>
          <w:tab w:leader="none" w:pos="41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w:t>
      </w:r>
      <w:r>
        <w:rPr>
          <w:rFonts w:ascii="Times New Roman" w:cs="Times New Roman" w:eastAsia="Times New Roman" w:hAnsi="Times New Roman"/>
          <w:sz w:val="12"/>
          <w:szCs w:val="12"/>
          <w:color w:val="auto"/>
        </w:rPr>
        <w:t>: BellRing has included the income tax impact of the non-GAAP adjustments using a rate described in the footnote of the reconciliation table, as BellRing believes that its GAAP effective income tax rate as reported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 not representative of the income tax expense impact of the adjustments.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LLC is required to comply with certain covenants and limitations that are based on variations of EBITDA in BellRing LLC’s financing documents. Management uses Adjusted EBITDA to provide forward-looking guidance to forecast future results.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Adjusted EBITDA reflects adjustments for income tax expense, interest expense, net and depreciation and amortization and the adjustments for separation costs and foreign currency gain/loss on intercompany loans, as discussed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Additionally, Adjusted EBITDA reflects adjustments for the following items:</w:t>
      </w:r>
    </w:p>
    <w:p>
      <w:pPr>
        <w:spacing w:after="0" w:line="6" w:lineRule="exact"/>
        <w:rPr>
          <w:sz w:val="20"/>
          <w:szCs w:val="20"/>
          <w:color w:val="auto"/>
        </w:rPr>
      </w:pPr>
    </w:p>
    <w:p>
      <w:pPr>
        <w:ind w:left="420" w:right="80" w:hanging="212"/>
        <w:spacing w:after="0" w:line="250" w:lineRule="auto"/>
        <w:tabs>
          <w:tab w:leader="none" w:pos="35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NCI adjustment</w:t>
      </w:r>
      <w:r>
        <w:rPr>
          <w:rFonts w:ascii="Times New Roman" w:cs="Times New Roman" w:eastAsia="Times New Roman" w:hAnsi="Times New Roman"/>
          <w:sz w:val="12"/>
          <w:szCs w:val="12"/>
          <w:color w:val="auto"/>
        </w:rPr>
        <w:t>: BellRing has included adjustments for the portion of its consolidated net earnings/loss which was allocated to NCI, allowing for the calculation of Adjusted EBITDA to include 100% of BellRing as BellRing’s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management evaluates BellRing’s operating performance on a basis that includes 100% of BellRing.</w:t>
      </w:r>
    </w:p>
    <w:p>
      <w:pPr>
        <w:ind w:left="420" w:hanging="212"/>
        <w:spacing w:after="0" w:line="252" w:lineRule="auto"/>
        <w:tabs>
          <w:tab w:leader="none" w:pos="34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after the IPO includes the use of BellRing stock-based compensation to attract and retain executives and employees by aligning their long-term compensation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interests with BellRing’s stockholders’ investment interests. BellRing’s director compensation strategy includes an election by any director who earns retainers in which the director may elect to defer compensation granted as a director to BellRing Class A common stock, earning a match on the deferral, both of which are stock-settled upon the director’s retirement from the BellRing board of directors. BellRing’s compensation strategy prior to the IPO included the use of Post 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 not contribute to meaningful comparisons of BellRing’s operating performance to other periods.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80"/>
          </w:cols>
          <w:pgMar w:left="300" w:top="641"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1"/>
          <w:szCs w:val="11"/>
          <w:b w:val="1"/>
          <w:bCs w:val="1"/>
          <w:color w:val="auto"/>
        </w:rPr>
        <w:t>RECONCILIATION OF NET EARNINGS AVAILABLE TO CLASS A COMMON STOCKHOLDERS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TO ADJUSTED NET EARNINGS AVAILABLE TO CLASS A COMMON STOCKHOLDERS (Unaudited)</w:t>
      </w:r>
    </w:p>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6500" w:type="dxa"/>
            <w:vAlign w:val="bottom"/>
          </w:tcPr>
          <w:p>
            <w:pPr>
              <w:spacing w:after="0"/>
              <w:rPr>
                <w:sz w:val="11"/>
                <w:szCs w:val="11"/>
                <w:color w:val="auto"/>
              </w:rPr>
            </w:pPr>
          </w:p>
        </w:tc>
        <w:tc>
          <w:tcPr>
            <w:tcW w:w="17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142"/>
        </w:trPr>
        <w:tc>
          <w:tcPr>
            <w:tcW w:w="6500" w:type="dxa"/>
            <w:vAlign w:val="bottom"/>
          </w:tcPr>
          <w:p>
            <w:pPr>
              <w:spacing w:after="0"/>
              <w:rPr>
                <w:sz w:val="12"/>
                <w:szCs w:val="12"/>
                <w:color w:val="auto"/>
              </w:rPr>
            </w:pPr>
          </w:p>
        </w:tc>
        <w:tc>
          <w:tcPr>
            <w:tcW w:w="172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October 21, 2019 to June 30, 2020</w:t>
            </w: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16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Class A Common Stockholders</w:t>
            </w:r>
          </w:p>
        </w:tc>
        <w:tc>
          <w:tcPr>
            <w:tcW w:w="1720" w:type="dxa"/>
            <w:vAlign w:val="bottom"/>
            <w:shd w:val="clear" w:color="auto" w:fill="CCEEFF"/>
          </w:tcPr>
          <w:p>
            <w:pPr>
              <w:jc w:val="right"/>
              <w:ind w:right="160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13.5</w:t>
            </w:r>
          </w:p>
        </w:tc>
      </w:tr>
      <w:tr>
        <w:trPr>
          <w:trHeight w:val="171"/>
        </w:trPr>
        <w:tc>
          <w:tcPr>
            <w:tcW w:w="6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8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71"/>
        </w:trPr>
        <w:tc>
          <w:tcPr>
            <w:tcW w:w="65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Separation costs after the IPO</w:t>
            </w:r>
          </w:p>
        </w:tc>
        <w:tc>
          <w:tcPr>
            <w:tcW w:w="172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0.8</w:t>
            </w:r>
          </w:p>
        </w:tc>
      </w:tr>
      <w:tr>
        <w:trPr>
          <w:trHeight w:val="189"/>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Foreign currency gain on intercompany loans</w:t>
            </w:r>
          </w:p>
        </w:tc>
        <w:tc>
          <w:tcPr>
            <w:tcW w:w="17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(0.2)</w:t>
            </w:r>
          </w:p>
        </w:tc>
      </w:tr>
      <w:tr>
        <w:trPr>
          <w:trHeight w:val="160"/>
        </w:trPr>
        <w:tc>
          <w:tcPr>
            <w:tcW w:w="650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1720" w:type="dxa"/>
            <w:vAlign w:val="bottom"/>
          </w:tcPr>
          <w:p>
            <w:pPr>
              <w:spacing w:after="0"/>
              <w:rPr>
                <w:sz w:val="13"/>
                <w:szCs w:val="13"/>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0.6</w:t>
            </w:r>
          </w:p>
        </w:tc>
      </w:tr>
      <w:tr>
        <w:trPr>
          <w:trHeight w:val="18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17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6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Net Earnings Available to Class A Common Stockholders</w:t>
            </w:r>
          </w:p>
        </w:tc>
        <w:tc>
          <w:tcPr>
            <w:tcW w:w="1720" w:type="dxa"/>
            <w:vAlign w:val="bottom"/>
            <w:tcBorders>
              <w:top w:val="single" w:sz="8" w:color="auto"/>
              <w:bottom w:val="single" w:sz="8" w:color="auto"/>
            </w:tcBorders>
          </w:tcPr>
          <w:p>
            <w:pPr>
              <w:jc w:val="right"/>
              <w:ind w:right="160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3.2</w:t>
            </w:r>
          </w:p>
        </w:tc>
        <w:tc>
          <w:tcPr>
            <w:tcW w:w="3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14.1</w:t>
            </w:r>
          </w:p>
        </w:tc>
      </w:tr>
      <w:tr>
        <w:trPr>
          <w:trHeight w:val="20"/>
        </w:trPr>
        <w:tc>
          <w:tcPr>
            <w:tcW w:w="65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0" w:right="340" w:firstLine="9"/>
        <w:spacing w:after="0" w:line="244" w:lineRule="auto"/>
        <w:tabs>
          <w:tab w:leader="none" w:pos="141"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both periods, the income tax effect for separation costs was calculated using a rate of 0.0% as the amounts are primarily non-deductible separation costs for income tax purposes. For both periods, the income tax effect on foreign currency gain on intercompany loans was calculated using a rate of 7.0% which represents the effective income tax rate on BellRing’s 28.8% distributive share.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RECONCILIATION OF DILUTED EARNINGS PER SHARE OF CLASS A COMMON STOCK</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TO ADJUSTED DILUTED EARNINGS PER SHARE OF CLASS A COMMON STOCK (Unaudited)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540" w:type="dxa"/>
            <w:vAlign w:val="bottom"/>
          </w:tcPr>
          <w:p>
            <w:pPr>
              <w:spacing w:after="0"/>
              <w:rPr>
                <w:sz w:val="11"/>
                <w:szCs w:val="11"/>
                <w:color w:val="auto"/>
              </w:rPr>
            </w:pPr>
          </w:p>
        </w:tc>
        <w:tc>
          <w:tcPr>
            <w:tcW w:w="17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42"/>
        </w:trPr>
        <w:tc>
          <w:tcPr>
            <w:tcW w:w="6540" w:type="dxa"/>
            <w:vAlign w:val="bottom"/>
          </w:tcPr>
          <w:p>
            <w:pPr>
              <w:spacing w:after="0"/>
              <w:rPr>
                <w:sz w:val="12"/>
                <w:szCs w:val="12"/>
                <w:color w:val="auto"/>
              </w:rPr>
            </w:pPr>
          </w:p>
        </w:tc>
        <w:tc>
          <w:tcPr>
            <w:tcW w:w="170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rPr>
              <w:t>October 21, 2019 to June 30, 2020</w:t>
            </w: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6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Diluted Earnings per share of Class A Common Stock</w:t>
            </w:r>
          </w:p>
        </w:tc>
        <w:tc>
          <w:tcPr>
            <w:tcW w:w="1700" w:type="dxa"/>
            <w:vAlign w:val="bottom"/>
            <w:shd w:val="clear" w:color="auto" w:fill="CCEEFF"/>
          </w:tcPr>
          <w:p>
            <w:pPr>
              <w:jc w:val="right"/>
              <w:ind w:right="15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0.08</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0.34</w:t>
            </w:r>
          </w:p>
        </w:tc>
      </w:tr>
      <w:tr>
        <w:trPr>
          <w:trHeight w:val="171"/>
        </w:trPr>
        <w:tc>
          <w:tcPr>
            <w:tcW w:w="6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71"/>
        </w:trPr>
        <w:tc>
          <w:tcPr>
            <w:tcW w:w="65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Separation costs after the IPO</w:t>
            </w:r>
          </w:p>
        </w:tc>
        <w:tc>
          <w:tcPr>
            <w:tcW w:w="170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0.02</w:t>
            </w:r>
          </w:p>
        </w:tc>
      </w:tr>
      <w:tr>
        <w:trPr>
          <w:trHeight w:val="18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Foreign currency gain on intercompany loans</w:t>
            </w:r>
          </w:p>
        </w:tc>
        <w:tc>
          <w:tcPr>
            <w:tcW w:w="17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r>
      <w:tr>
        <w:trPr>
          <w:trHeight w:val="160"/>
        </w:trPr>
        <w:tc>
          <w:tcPr>
            <w:tcW w:w="654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1700" w:type="dxa"/>
            <w:vAlign w:val="bottom"/>
          </w:tcPr>
          <w:p>
            <w:pPr>
              <w:spacing w:after="0"/>
              <w:rPr>
                <w:sz w:val="13"/>
                <w:szCs w:val="13"/>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0.02</w:t>
            </w:r>
          </w:p>
        </w:tc>
      </w:tr>
      <w:tr>
        <w:trPr>
          <w:trHeight w:val="18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17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65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Diluted Earnings per share of Class A Common Stock</w:t>
            </w:r>
          </w:p>
        </w:tc>
        <w:tc>
          <w:tcPr>
            <w:tcW w:w="1700" w:type="dxa"/>
            <w:vAlign w:val="bottom"/>
            <w:tcBorders>
              <w:top w:val="single" w:sz="8" w:color="auto"/>
              <w:bottom w:val="single" w:sz="8" w:color="auto"/>
            </w:tcBorders>
          </w:tcPr>
          <w:p>
            <w:pPr>
              <w:jc w:val="right"/>
              <w:ind w:right="15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0.08</w:t>
            </w:r>
          </w:p>
        </w:tc>
        <w:tc>
          <w:tcPr>
            <w:tcW w:w="3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9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0.36</w:t>
            </w:r>
          </w:p>
        </w:tc>
      </w:tr>
      <w:tr>
        <w:trPr>
          <w:trHeight w:val="20"/>
        </w:trPr>
        <w:tc>
          <w:tcPr>
            <w:tcW w:w="6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0" w:right="360" w:hanging="9"/>
        <w:spacing w:after="0" w:line="202" w:lineRule="auto"/>
        <w:tabs>
          <w:tab w:leader="none" w:pos="141"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both periods, the income tax effect for separation costs was calculated using a rate of 0.0% as the amounts are primarily non-deductible separation costs for income tax purposes. For both periods, the income tax effect on foreign currency gain on intercompany loans was calculated using a rate of 7.0% which represents the effective income tax rate on BellRing’s 28.8% distributive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40"/>
          </w:cols>
          <w:pgMar w:left="320" w:top="641"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AVAILABLE TO CLASS A COMMON STOCKHOLDERS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TO ADJUSTED EBITDA (Unaudited)</w:t>
      </w: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5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w w:val="95"/>
              </w:rPr>
              <w:t>Three Months Ended</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w w:val="99"/>
              </w:rPr>
              <w:t>Nine Months Ended</w:t>
            </w:r>
          </w:p>
        </w:tc>
        <w:tc>
          <w:tcPr>
            <w:tcW w:w="620" w:type="dxa"/>
            <w:vAlign w:val="bottom"/>
          </w:tcPr>
          <w:p>
            <w:pPr>
              <w:spacing w:after="0"/>
              <w:rPr>
                <w:sz w:val="11"/>
                <w:szCs w:val="11"/>
                <w:color w:val="auto"/>
              </w:rPr>
            </w:pPr>
          </w:p>
        </w:tc>
      </w:tr>
      <w:tr>
        <w:trPr>
          <w:trHeight w:val="142"/>
        </w:trPr>
        <w:tc>
          <w:tcPr>
            <w:tcW w:w="35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3"/>
          </w:tcPr>
          <w:p>
            <w:pPr>
              <w:jc w:val="right"/>
              <w:ind w:right="48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20" w:type="dxa"/>
            <w:vAlign w:val="bottom"/>
          </w:tcPr>
          <w:p>
            <w:pPr>
              <w:spacing w:after="0"/>
              <w:rPr>
                <w:sz w:val="12"/>
                <w:szCs w:val="12"/>
                <w:color w:val="auto"/>
              </w:rPr>
            </w:pPr>
          </w:p>
        </w:tc>
      </w:tr>
      <w:tr>
        <w:trPr>
          <w:trHeight w:val="22"/>
        </w:trPr>
        <w:tc>
          <w:tcPr>
            <w:tcW w:w="3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8"/>
        </w:trPr>
        <w:tc>
          <w:tcPr>
            <w:tcW w:w="3520" w:type="dxa"/>
            <w:vAlign w:val="bottom"/>
          </w:tcPr>
          <w:p>
            <w:pPr>
              <w:spacing w:after="0"/>
              <w:rPr>
                <w:sz w:val="12"/>
                <w:szCs w:val="12"/>
                <w:color w:val="auto"/>
              </w:rPr>
            </w:pPr>
          </w:p>
        </w:tc>
        <w:tc>
          <w:tcPr>
            <w:tcW w:w="35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0"/>
              </w:rPr>
              <w:t>2019</w:t>
            </w: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Class A Common Stockholders</w:t>
            </w:r>
          </w:p>
        </w:tc>
        <w:tc>
          <w:tcPr>
            <w:tcW w:w="3520" w:type="dxa"/>
            <w:vAlign w:val="bottom"/>
            <w:gridSpan w:val="3"/>
            <w:shd w:val="clear" w:color="auto" w:fill="CCEEFF"/>
          </w:tcPr>
          <w:p>
            <w:pPr>
              <w:jc w:val="right"/>
              <w:ind w:right="486"/>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3.3</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7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30.1</w:t>
            </w:r>
          </w:p>
        </w:tc>
      </w:tr>
      <w:tr>
        <w:trPr>
          <w:trHeight w:val="18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2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5"/>
              </w:rPr>
              <w:t>15.3</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6.2</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19.0</w:t>
            </w:r>
          </w:p>
        </w:tc>
      </w:tr>
      <w:tr>
        <w:trPr>
          <w:trHeight w:val="18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NCI adjustment</w:t>
            </w:r>
          </w:p>
        </w:tc>
        <w:tc>
          <w:tcPr>
            <w:tcW w:w="2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5"/>
              </w:rPr>
              <w:t>10.9</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40.3</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96.4</w:t>
            </w:r>
          </w:p>
        </w:tc>
      </w:tr>
      <w:tr>
        <w:trPr>
          <w:trHeight w:val="171"/>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1.8</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w:t>
            </w:r>
          </w:p>
        </w:tc>
      </w:tr>
      <w:tr>
        <w:trPr>
          <w:trHeight w:val="18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Separation costs</w:t>
            </w:r>
          </w:p>
        </w:tc>
        <w:tc>
          <w:tcPr>
            <w:tcW w:w="2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0.1</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4.0</w:t>
            </w:r>
          </w:p>
        </w:tc>
      </w:tr>
      <w:tr>
        <w:trPr>
          <w:trHeight w:val="171"/>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Foreign currency gain on intercompany loans</w:t>
            </w:r>
          </w:p>
        </w:tc>
        <w:tc>
          <w:tcPr>
            <w:tcW w:w="29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color w:val="auto"/>
                <w:w w:val="95"/>
              </w:rPr>
              <w:t>(0.2)</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9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3520" w:type="dxa"/>
            <w:vAlign w:val="bottom"/>
            <w:gridSpan w:val="3"/>
            <w:shd w:val="clear" w:color="auto" w:fill="CCEEFF"/>
          </w:tcPr>
          <w:p>
            <w:pPr>
              <w:jc w:val="right"/>
              <w:ind w:right="486"/>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5"/>
              </w:rPr>
              <w:t>38.5</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61.2</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140.5</w:t>
            </w:r>
          </w:p>
        </w:tc>
        <w:tc>
          <w:tcPr>
            <w:tcW w:w="7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151.8</w:t>
            </w:r>
          </w:p>
        </w:tc>
      </w:tr>
      <w:tr>
        <w:trPr>
          <w:trHeight w:val="167"/>
        </w:trPr>
        <w:tc>
          <w:tcPr>
            <w:tcW w:w="3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290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18.9 %</w:t>
            </w:r>
          </w:p>
        </w:tc>
        <w:tc>
          <w:tcPr>
            <w:tcW w:w="220" w:type="dxa"/>
            <w:vAlign w:val="bottom"/>
            <w:tcBorders>
              <w:top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25.8 %</w:t>
            </w:r>
          </w:p>
        </w:tc>
        <w:tc>
          <w:tcPr>
            <w:tcW w:w="4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19.9 %</w:t>
            </w:r>
          </w:p>
        </w:tc>
        <w:tc>
          <w:tcPr>
            <w:tcW w:w="240" w:type="dxa"/>
            <w:vAlign w:val="bottom"/>
            <w:tcBorders>
              <w:top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23.7 %</w:t>
            </w:r>
          </w:p>
        </w:tc>
      </w:tr>
      <w:tr>
        <w:trPr>
          <w:trHeight w:val="20"/>
        </w:trPr>
        <w:tc>
          <w:tcPr>
            <w:tcW w:w="3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42"/>
        </w:trPr>
        <w:tc>
          <w:tcPr>
            <w:tcW w:w="3520" w:type="dxa"/>
            <w:vAlign w:val="bottom"/>
          </w:tcPr>
          <w:p>
            <w:pPr>
              <w:spacing w:after="0"/>
              <w:rPr>
                <w:sz w:val="24"/>
                <w:szCs w:val="24"/>
                <w:color w:val="auto"/>
              </w:rPr>
            </w:pPr>
          </w:p>
        </w:tc>
        <w:tc>
          <w:tcPr>
            <w:tcW w:w="412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RECONCILIATION OF ADJUSTED EBITDA, AS REPORTED BY BELLRING,</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26"/>
        </w:trPr>
        <w:tc>
          <w:tcPr>
            <w:tcW w:w="8260" w:type="dxa"/>
            <w:vAlign w:val="bottom"/>
            <w:gridSpan w:val="7"/>
          </w:tcPr>
          <w:p>
            <w:pPr>
              <w:jc w:val="center"/>
              <w:ind w:left="2880"/>
              <w:spacing w:after="0"/>
              <w:rPr>
                <w:sz w:val="20"/>
                <w:szCs w:val="20"/>
                <w:color w:val="auto"/>
              </w:rPr>
            </w:pPr>
            <w:r>
              <w:rPr>
                <w:rFonts w:ascii="Times New Roman" w:cs="Times New Roman" w:eastAsia="Times New Roman" w:hAnsi="Times New Roman"/>
                <w:sz w:val="11"/>
                <w:szCs w:val="11"/>
                <w:b w:val="1"/>
                <w:bCs w:val="1"/>
                <w:color w:val="auto"/>
                <w:w w:val="98"/>
              </w:rPr>
              <w:t>TO BELLRING BRANDS SEGMENT ADJUSTED EBITDA, AS REPORTED BY POST (Unaudited)</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2"/>
        </w:trPr>
        <w:tc>
          <w:tcPr>
            <w:tcW w:w="3520" w:type="dxa"/>
            <w:vAlign w:val="bottom"/>
          </w:tcPr>
          <w:p>
            <w:pPr>
              <w:spacing w:after="0"/>
              <w:rPr>
                <w:sz w:val="12"/>
                <w:szCs w:val="12"/>
                <w:color w:val="auto"/>
              </w:rPr>
            </w:pPr>
          </w:p>
        </w:tc>
        <w:tc>
          <w:tcPr>
            <w:tcW w:w="3520" w:type="dxa"/>
            <w:vAlign w:val="bottom"/>
            <w:gridSpan w:val="3"/>
          </w:tcPr>
          <w:p>
            <w:pPr>
              <w:jc w:val="center"/>
              <w:ind w:left="583"/>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5"/>
        </w:trPr>
        <w:tc>
          <w:tcPr>
            <w:tcW w:w="35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gridSpan w:val="3"/>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620" w:type="dxa"/>
            <w:vAlign w:val="bottom"/>
          </w:tcPr>
          <w:p>
            <w:pPr>
              <w:spacing w:after="0"/>
              <w:rPr>
                <w:sz w:val="13"/>
                <w:szCs w:val="13"/>
                <w:color w:val="auto"/>
              </w:rPr>
            </w:pPr>
          </w:p>
        </w:tc>
      </w:tr>
      <w:tr>
        <w:trPr>
          <w:trHeight w:val="142"/>
        </w:trPr>
        <w:tc>
          <w:tcPr>
            <w:tcW w:w="35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3"/>
          </w:tcPr>
          <w:p>
            <w:pPr>
              <w:jc w:val="right"/>
              <w:ind w:right="302"/>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620" w:type="dxa"/>
            <w:vAlign w:val="bottom"/>
          </w:tcPr>
          <w:p>
            <w:pPr>
              <w:spacing w:after="0"/>
              <w:rPr>
                <w:sz w:val="12"/>
                <w:szCs w:val="12"/>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as reported by BellRing</w:t>
            </w:r>
          </w:p>
        </w:tc>
        <w:tc>
          <w:tcPr>
            <w:tcW w:w="3520" w:type="dxa"/>
            <w:vAlign w:val="bottom"/>
            <w:gridSpan w:val="3"/>
            <w:shd w:val="clear" w:color="auto" w:fill="CCEEFF"/>
          </w:tcPr>
          <w:p>
            <w:pPr>
              <w:jc w:val="right"/>
              <w:ind w:right="426"/>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61.2</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151.8</w:t>
            </w:r>
          </w:p>
        </w:tc>
      </w:tr>
      <w:tr>
        <w:trPr>
          <w:trHeight w:val="180"/>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 xml:space="preserve">Allocated costs, net of non-GAAP adjustments </w:t>
            </w:r>
            <w:r>
              <w:rPr>
                <w:rFonts w:ascii="Times New Roman" w:cs="Times New Roman" w:eastAsia="Times New Roman" w:hAnsi="Times New Roman"/>
                <w:sz w:val="15"/>
                <w:szCs w:val="15"/>
                <w:color w:val="auto"/>
                <w:vertAlign w:val="superscript"/>
              </w:rPr>
              <w:t>(1)</w:t>
            </w:r>
          </w:p>
        </w:tc>
        <w:tc>
          <w:tcPr>
            <w:tcW w:w="2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0.7</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2.1</w:t>
            </w:r>
          </w:p>
        </w:tc>
      </w:tr>
      <w:tr>
        <w:trPr>
          <w:trHeight w:val="185"/>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BellRing Brands segment Adjusted EBITDA, as reported by Post</w:t>
            </w:r>
          </w:p>
        </w:tc>
        <w:tc>
          <w:tcPr>
            <w:tcW w:w="2980" w:type="dxa"/>
            <w:vAlign w:val="bottom"/>
            <w:tcBorders>
              <w:bottom w:val="single" w:sz="8" w:color="CCEEFF"/>
            </w:tcBorders>
            <w:gridSpan w:val="2"/>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61.9</w:t>
            </w:r>
          </w:p>
        </w:tc>
        <w:tc>
          <w:tcPr>
            <w:tcW w:w="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153.9</w:t>
            </w:r>
          </w:p>
        </w:tc>
      </w:tr>
    </w:tbl>
    <w:p>
      <w:pPr>
        <w:spacing w:after="0" w:line="160" w:lineRule="exact"/>
        <w:rPr>
          <w:sz w:val="20"/>
          <w:szCs w:val="20"/>
          <w:color w:val="auto"/>
        </w:rPr>
      </w:pPr>
    </w:p>
    <w:p>
      <w:pPr>
        <w:ind w:right="100" w:firstLine="9"/>
        <w:spacing w:after="0" w:line="225" w:lineRule="auto"/>
        <w:tabs>
          <w:tab w:leader="none" w:pos="121" w:val="left"/>
        </w:tabs>
        <w:numPr>
          <w:ilvl w:val="0"/>
          <w:numId w:val="1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Allocated costs are general and administrative costs that are attributable to BellRing and have been allocated by Post to BellRing. BellRing includes these costs in its SG&amp;A expenses and Operating Profit measures in its Condensed Consolidated Statement of Operations. Post classifies these costs as unallocated corporate expenses, which are reported by Post in general corporate expenses and other. In the above presentation, these costs are shown on a net basis, as they exclude certain items which have been treated as adjustments for the calculation of Adjusted EBITDA as described earlier in this release under “Explanation and 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20"/>
          </w:cols>
          <w:pgMar w:left="340" w:top="749" w:right="339" w:bottom="1440"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49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49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2020-08-10T12:47:17Z</dcterms:created>
  <dcterms:modified xsi:type="dcterms:W3CDTF">2020-08-10T12:47:17Z</dcterms:modified>
</cp:coreProperties>
</file>