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BellRing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5,767,956.00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5,837,922.00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5,837,922.00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12"/>
        <w:gridCol w:w="9038"/>
        <w:gridCol w:w="155"/>
      </w:tblGrid>
      <w:tr>
        <w:trPr/>
        <w:tc>
          <w:tcPr>
            <w:tcW w:w="1012"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BellRing Brands, Inc.</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N Brentwood Blvd., Suite 1550, St. Louis, Missouri 63105</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Ameriprise Financial, Inc. ("AFI")</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145 Ameriprise Financial Center, Minneapolis, MN 55474</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(g)</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(h)</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(j)</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(k)</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the reporting person. AFI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the Reporting Person hereto and is incorporated herein by reference for the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8.</w:t>
            </w:r>
          </w:p>
        </w:tc>
        <w:tc>
          <w:tcPr>
            <w:tcW w:w="90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9.</w:t>
            </w:r>
          </w:p>
        </w:tc>
        <w:tc>
          <w:tcPr>
            <w:tcW w:w="90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934</Words>
  <Characters>4848</Characters>
  <CharactersWithSpaces>5775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