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2022</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333-237494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TO</w:t>
      </w:r>
    </w:p>
    <w:p>
      <w:pPr>
        <w:jc w:val="center"/>
        <w:spacing w:after="0" w:line="237" w:lineRule="auto"/>
        <w:rPr>
          <w:sz w:val="20"/>
          <w:szCs w:val="20"/>
          <w:color w:val="auto"/>
        </w:rPr>
      </w:pPr>
      <w:r>
        <w:rPr>
          <w:rFonts w:ascii="Times New Roman" w:cs="Times New Roman" w:eastAsia="Times New Roman" w:hAnsi="Times New Roman"/>
          <w:sz w:val="32"/>
          <w:szCs w:val="32"/>
          <w:b w:val="1"/>
          <w:bCs w:val="1"/>
          <w:color w:val="auto"/>
        </w:rPr>
        <w:t>FORM S-8</w:t>
      </w: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BELLRING BRANDS,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840" w:type="dxa"/>
        <w:tblCellMar>
          <w:top w:w="0" w:type="dxa"/>
          <w:left w:w="0" w:type="dxa"/>
          <w:bottom w:w="0" w:type="dxa"/>
          <w:right w:w="0" w:type="dxa"/>
        </w:tblCellMar>
      </w:tblPr>
      <w:tr>
        <w:trPr>
          <w:trHeight w:val="214"/>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rPr>
              <w:t>87-3296749</w:t>
            </w:r>
          </w:p>
        </w:tc>
      </w:tr>
      <w:tr>
        <w:trPr>
          <w:trHeight w:val="149"/>
        </w:trPr>
        <w:tc>
          <w:tcPr>
            <w:tcW w:w="3900" w:type="dxa"/>
            <w:vAlign w:val="bottom"/>
          </w:tcPr>
          <w:p>
            <w:pPr>
              <w:jc w:val="center"/>
              <w:ind w:right="19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60" w:type="dxa"/>
            <w:vAlign w:val="bottom"/>
          </w:tcPr>
          <w:p>
            <w:pPr>
              <w:jc w:val="center"/>
              <w:ind w:left="19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00" w:type="dxa"/>
            <w:vAlign w:val="bottom"/>
          </w:tcPr>
          <w:p>
            <w:pPr>
              <w:jc w:val="center"/>
              <w:ind w:right="19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60" w:type="dxa"/>
            <w:vAlign w:val="bottom"/>
          </w:tcPr>
          <w:p>
            <w:pPr>
              <w:jc w:val="center"/>
              <w:ind w:left="19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offices, including zip code)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DEFERRED COMPENSATION PLAN FOR DIRECTORS</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Craig L. Rosenthal</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General Counsel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 S. Hanley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Missouri 63144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644-7600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(the “Amendment”) to that certain Registration Statement on </w:t>
      </w:r>
      <w:hyperlink r:id="rId17">
        <w:r>
          <w:rPr>
            <w:rFonts w:ascii="Times New Roman" w:cs="Times New Roman" w:eastAsia="Times New Roman" w:hAnsi="Times New Roman"/>
            <w:sz w:val="18"/>
            <w:szCs w:val="18"/>
            <w:u w:val="single" w:color="auto"/>
            <w:color w:val="0000EE"/>
          </w:rPr>
          <w:t>Form S-8 (Reg. No. 333-237494)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(the “Registration Statement”) is being filed pursuant to Rule 414 under the Securities Act of 1933, as amended (the “Securities Act”), by BellRing Brands, Inc. (formerly known as BellRing Distribution, LLC), a Delaware corporation (“New BellRing” or the “Registrant”), as the successor registrant to BellRing Intermediate Holdings, Inc. (formerly known as BellRing Brands, Inc.), a Delaware corporation (“Old BellRing” or the “Predecessor Registrant”), to reflect the transactions (the “transactions”) contemplated by that certain transaction agreement and plan of merger, dated as of October 26, 2021 (as amended, restated, supplemented or otherwise modified from time to time, including by that certain amendment no. 1 to the transaction agreement and plan of merger, dated as of February 28, 2022, the “transaction agreement”), by and among Old BellRing, Post Holdings, Inc. (“Post”), New BellRing and BellRing Merger Sub Corporation (“Merger Sub”). The Registration Statement originally covered shares of Old BellRing Class A common stock, par value $0.01 per share (“Old BellRing Class A Common Stock”), issuable under the BellRing Brands, Inc. Deferred Compensation Plan for Directors (the “Plan”).</w:t>
      </w:r>
    </w:p>
    <w:p>
      <w:pPr>
        <w:spacing w:after="0" w:line="19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March 9, 2022, pursuant to the transaction agreement, on the terms and subject to the conditions set forth therein, Post contributed certain cash and equity interests of Old BellRing and its subsidiaries to New BellRing in exchange for equity securities of New BellRing and the right to receive certain debt securities of New BellRing (such contribution, the “separation”). On March 10, 2022, pursuant to the transaction agreement, on the terms and subject to the conditions set forth therein, (i) New BellRing converted into a Delaware corporation; (ii) following the separation and such conversion, Post distributed an aggregate of 78,076,841 shares of New BellRing common stock to Post shareholders in a pro-rata distribution (the “distribution”); and (iii) following the distribution, Merger Sub merged with and into Old BellRing, with Old BellRing as the surviving corporation and a wholly-owned subsidiary of New BellRing (the “merger”).</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accordance with the transaction agreement, each outstanding share of Old BellRing Class A Common Stock was converted into the right to receive one share of New BellRing common stock, par value $0.01 per share (“New BellRing Common Stock), and $2.97 in cash. As a result of the merger, each stockholder of Old BellRing became a holder of New BellRing Common Stock evidencing the same proportional interests in New BellRing and having the same designations, rights, powers and preferences and qualifications, limitations and restrictions as those securities that such stockholder held in Old BellRing.</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the filing of the Current Report on Form 8-K12B by New BellRing on March 10, 2022, New BellRing became the successor registrant to Old BellRing under the Securities Exchange Act of 1934, as amended (the “Exchange Act”). In accordance with Rule 414 under the Securities Act, New BellRing hereby expressly adopts the Registration Statement as its own registration statement except as amended by this Amendment, for all purposes of the Securities Act and the Exchange Act.</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2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documents, which have been filed with the Securities and Exchange Commission (the “SEC”), are incorporated by reference in this registration statement:</w:t>
      </w:r>
    </w:p>
    <w:p>
      <w:pPr>
        <w:spacing w:after="0" w:line="67"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Predecessor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September 30, 2021, filed on November 19, 2021;</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Predecessor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December 31, 2021, filed on February 4, 2022;</w:t>
      </w:r>
    </w:p>
    <w:p>
      <w:pPr>
        <w:spacing w:after="0" w:line="130" w:lineRule="exact"/>
        <w:rPr>
          <w:rFonts w:ascii="Times New Roman" w:cs="Times New Roman" w:eastAsia="Times New Roman" w:hAnsi="Times New Roman"/>
          <w:sz w:val="18"/>
          <w:szCs w:val="18"/>
          <w:color w:val="auto"/>
        </w:rPr>
      </w:pPr>
    </w:p>
    <w:p>
      <w:pPr>
        <w:ind w:left="960" w:right="260" w:hanging="424"/>
        <w:spacing w:after="0" w:line="266" w:lineRule="auto"/>
        <w:tabs>
          <w:tab w:leader="none" w:pos="960"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Predecessor Registrant’s Current Reports on Form 8-K filed on </w:t>
      </w:r>
      <w:hyperlink r:id="rId21">
        <w:r>
          <w:rPr>
            <w:rFonts w:ascii="Times New Roman" w:cs="Times New Roman" w:eastAsia="Times New Roman" w:hAnsi="Times New Roman"/>
            <w:sz w:val="18"/>
            <w:szCs w:val="18"/>
            <w:u w:val="single" w:color="auto"/>
            <w:color w:val="0000EE"/>
          </w:rPr>
          <w:t>October 27,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such portions that are filed and not furnished), </w:t>
      </w:r>
      <w:hyperlink r:id="rId22">
        <w:r>
          <w:rPr>
            <w:rFonts w:ascii="Times New Roman" w:cs="Times New Roman" w:eastAsia="Times New Roman" w:hAnsi="Times New Roman"/>
            <w:sz w:val="18"/>
            <w:szCs w:val="18"/>
            <w:u w:val="single" w:color="auto"/>
            <w:color w:val="0000EE"/>
          </w:rPr>
          <w:t>December 17,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February 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4">
        <w:r>
          <w:rPr>
            <w:rFonts w:ascii="Times New Roman" w:cs="Times New Roman" w:eastAsia="Times New Roman" w:hAnsi="Times New Roman"/>
            <w:sz w:val="18"/>
            <w:szCs w:val="18"/>
            <w:u w:val="single" w:color="auto"/>
            <w:color w:val="0000EE"/>
          </w:rPr>
          <w:t>February 14,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5">
        <w:r>
          <w:rPr>
            <w:rFonts w:ascii="Times New Roman" w:cs="Times New Roman" w:eastAsia="Times New Roman" w:hAnsi="Times New Roman"/>
            <w:sz w:val="18"/>
            <w:szCs w:val="18"/>
            <w:u w:val="single" w:color="auto"/>
            <w:color w:val="0000EE"/>
          </w:rPr>
          <w:t>February 22,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6">
        <w:r>
          <w:rPr>
            <w:rFonts w:ascii="Times New Roman" w:cs="Times New Roman" w:eastAsia="Times New Roman" w:hAnsi="Times New Roman"/>
            <w:sz w:val="18"/>
            <w:szCs w:val="18"/>
            <w:u w:val="single" w:color="auto"/>
            <w:color w:val="0000EE"/>
          </w:rPr>
          <w:t>February 24,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February 28, 2022 (solely the</w:t>
      </w:r>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first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w:t>
      </w:r>
      <w:hyperlink r:id="rId28">
        <w:r>
          <w:rPr>
            <w:rFonts w:ascii="Times New Roman" w:cs="Times New Roman" w:eastAsia="Times New Roman" w:hAnsi="Times New Roman"/>
            <w:sz w:val="18"/>
            <w:szCs w:val="18"/>
            <w:u w:val="single" w:color="auto"/>
            <w:color w:val="0000EE"/>
          </w:rPr>
          <w:t>third</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Current Reports on Form 8-K filed on such date), </w:t>
      </w:r>
      <w:hyperlink r:id="rId29">
        <w:r>
          <w:rPr>
            <w:rFonts w:ascii="Times New Roman" w:cs="Times New Roman" w:eastAsia="Times New Roman" w:hAnsi="Times New Roman"/>
            <w:sz w:val="18"/>
            <w:szCs w:val="18"/>
            <w:u w:val="single" w:color="auto"/>
            <w:color w:val="0000EE"/>
          </w:rPr>
          <w:t>March 1, 2022</w:t>
        </w:r>
      </w:hyperlink>
      <w:r>
        <w:rPr>
          <w:rFonts w:ascii="Times New Roman" w:cs="Times New Roman" w:eastAsia="Times New Roman" w:hAnsi="Times New Roman"/>
          <w:sz w:val="18"/>
          <w:szCs w:val="18"/>
          <w:color w:val="000000"/>
        </w:rPr>
        <w:t xml:space="preserve">, </w:t>
      </w:r>
      <w:hyperlink r:id="rId30">
        <w:r>
          <w:rPr>
            <w:rFonts w:ascii="Times New Roman" w:cs="Times New Roman" w:eastAsia="Times New Roman" w:hAnsi="Times New Roman"/>
            <w:sz w:val="18"/>
            <w:szCs w:val="18"/>
            <w:u w:val="single" w:color="auto"/>
            <w:color w:val="0000EE"/>
          </w:rPr>
          <w:t>March 8,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31">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000000"/>
        </w:rPr>
        <w:t>;</w:t>
      </w:r>
    </w:p>
    <w:p>
      <w:pPr>
        <w:spacing w:after="0" w:line="81" w:lineRule="exact"/>
        <w:rPr>
          <w:rFonts w:ascii="Times New Roman" w:cs="Times New Roman" w:eastAsia="Times New Roman" w:hAnsi="Times New Roman"/>
          <w:sz w:val="18"/>
          <w:szCs w:val="18"/>
          <w:color w:val="000000"/>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Registrant’s Current Report on Form 8-K filed on </w:t>
      </w:r>
      <w:hyperlink r:id="rId32">
        <w:r>
          <w:rPr>
            <w:rFonts w:ascii="Times New Roman" w:cs="Times New Roman" w:eastAsia="Times New Roman" w:hAnsi="Times New Roman"/>
            <w:sz w:val="18"/>
            <w:szCs w:val="18"/>
            <w:u w:val="single" w:color="auto"/>
            <w:color w:val="0000EE"/>
          </w:rPr>
          <w:t>March 10,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33">
        <w:r>
          <w:rPr>
            <w:rFonts w:ascii="Times New Roman" w:cs="Times New Roman" w:eastAsia="Times New Roman" w:hAnsi="Times New Roman"/>
            <w:sz w:val="18"/>
            <w:szCs w:val="18"/>
            <w:u w:val="single" w:color="auto"/>
            <w:color w:val="0000EE"/>
          </w:rPr>
          <w:t>March 16, 2022</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description of Registrant’s common stock contained in any registration statement or report filed by Predecessor Registrant under the Exchange Act, including any amendment or report filed for the purpose of updating such description.</w:t>
      </w:r>
    </w:p>
    <w:p>
      <w:pPr>
        <w:spacing w:after="0" w:line="162" w:lineRule="exact"/>
        <w:rPr>
          <w:rFonts w:ascii="Times New Roman" w:cs="Times New Roman" w:eastAsia="Times New Roman" w:hAnsi="Times New Roman"/>
          <w:sz w:val="18"/>
          <w:szCs w:val="18"/>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All documents filed by Registrant pursuant to Sections 13(a), 13(c), 14 and 15(d) of the Exchange Act subsequent to the date hereof and prior to the filing of a post-effective amendment which indicates that all securities offered hereby have been sold or which deregisters all securities remaining unsold shall be deemed to be incorporated by reference herein and to be a part hereof from the respective dates of filing of such documents. Any statement contained in a document incorporated or deemed to be incorporated by reference herein shall be deemed to be modified or superseded for purposes of this Amendment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Amendment.</w:t>
      </w:r>
    </w:p>
    <w:p>
      <w:pPr>
        <w:spacing w:after="0" w:line="333"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21"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Interests of Named Experts and Counsel.</w:t>
      </w:r>
    </w:p>
    <w:p>
      <w:pPr>
        <w:spacing w:after="0" w:line="121" w:lineRule="exact"/>
        <w:rPr>
          <w:rFonts w:ascii="Times New Roman" w:cs="Times New Roman" w:eastAsia="Times New Roman" w:hAnsi="Times New Roman"/>
          <w:sz w:val="18"/>
          <w:szCs w:val="18"/>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Craig L. Rosenthal, Esq., whose legal opinion with respect to the securities registered hereunder is filed as Exhibit 5.1 hereto, is an officer of Registrant and participates in other benefit plans.</w:t>
      </w:r>
    </w:p>
    <w:p>
      <w:pPr>
        <w:spacing w:after="0" w:line="306" w:lineRule="exact"/>
        <w:rPr>
          <w:rFonts w:ascii="Times New Roman" w:cs="Times New Roman" w:eastAsia="Times New Roman" w:hAnsi="Times New Roman"/>
          <w:sz w:val="18"/>
          <w:szCs w:val="18"/>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21" w:lineRule="exact"/>
        <w:rPr>
          <w:rFonts w:ascii="Times New Roman" w:cs="Times New Roman" w:eastAsia="Times New Roman" w:hAnsi="Times New Roman"/>
          <w:sz w:val="18"/>
          <w:szCs w:val="18"/>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of certain aspects of the Delaware General Corporation Law (the “DGCL”) and the Certificate of Incorporation of Registrant. Such summary includes descriptions related to arrangements under which controlling persons, directors and officers of Registrant are indemnified against liability, which they may incur in their capacities as such, and does not purport to be complete. It is qualified in its entirety by reference to the detailed provisions of the DGCL and Registrant’s certificate of incorporation.</w:t>
      </w:r>
    </w:p>
    <w:p>
      <w:pPr>
        <w:spacing w:after="0" w:line="178" w:lineRule="exact"/>
        <w:rPr>
          <w:rFonts w:ascii="Times New Roman" w:cs="Times New Roman" w:eastAsia="Times New Roman" w:hAnsi="Times New Roman"/>
          <w:sz w:val="18"/>
          <w:szCs w:val="18"/>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Registrant is subject to the provisions of the DGCL. Section 145(a) of the DGCL provides that a corporation may indemnify any person who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ectPr>
          <w:pgSz w:w="11900" w:h="16838" w:orient="portrait"/>
          <w:cols w:equalWidth="0" w:num="1">
            <w:col w:w="10980"/>
          </w:cols>
          <w:pgMar w:left="440" w:top="266" w:right="479" w:bottom="1440" w:gutter="0" w:footer="0" w:header="0"/>
        </w:sectPr>
      </w:pPr>
    </w:p>
    <w:bookmarkStart w:id="3" w:name="page4"/>
    <w:bookmarkEnd w:id="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145(b) of the DGCL states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the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the person is fairly and reasonably entitled to indemnity for such expenses as the Delaware Court of Chancery or such other court shall deem proper.</w:t>
      </w:r>
    </w:p>
    <w:p>
      <w:pPr>
        <w:spacing w:after="0" w:line="1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Section 145(c) of the DGCL provides that to the extent that a present or former director or officer of a corporation has been successful on the merits or otherwise in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w:t>
      </w:r>
    </w:p>
    <w:p>
      <w:pPr>
        <w:spacing w:after="0" w:line="18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Section 145(d) of the DGCL states that any indemnification under subsections (a) and (b) of Section 145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Section 145. Such determination shall be made with respect to a person who is a director or officer at the time of such determination (1) by a majority vote of the directors who are not parties to such action, suit or proceeding, even though less than a quorum, (2) by a committee of such directors designated by majority vote of such directors, even though less than a quorum, (3) if there are no such directors, or if such directors so direct, by independent legal counsel in a written opinion or (4) by the stockholders.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Section 145(f) of the DGCL states that the indemnification and advancement of expenses provided by, or granted pursuant to, the other subsections of Section 145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180"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Section 145(g) of the DGCL provides that a corporation shall have the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Section 145.</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Section 145(j) of the DGCL states that the indemnification and advancement of expenses provided by, or granted pursuant to, Section 145 shall, unless otherwise provided when authorized or ratified, continue as to a person who has ceased to be a director, officer, employee or agent and shall inure to the benefit of the heirs, executors and administrators of such a person.</w:t>
      </w:r>
    </w:p>
    <w:p>
      <w:pPr>
        <w:spacing w:after="0" w:line="17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Certificate of Incorporation</w:t>
      </w:r>
      <w:r>
        <w:rPr>
          <w:rFonts w:ascii="Times New Roman" w:cs="Times New Roman" w:eastAsia="Times New Roman" w:hAnsi="Times New Roman"/>
          <w:sz w:val="18"/>
          <w:szCs w:val="18"/>
          <w:color w:val="auto"/>
        </w:rPr>
        <w:t>. Registrant’s certificate of incorporation provides for the indemnification of each person (other than a party plaintiff 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his or her behalf or in the right of Registrant) who at any time is serving or has served as a director or officer of Registrant against any claim, liability or expense incurred as a result of such service, any other service on behalf of Registrant or any service at the request of Registrant as a director, officer, manager, employee, member or agent of another corporation, partnership, joint venture, trust or other enterprise (whether incorporated or unincorporated, for-profit or not-for-profit), to the maximum extent permitted by law. Without limiting the generality of the foregoing, Registrant shall indemnify any such person who was or is a party (other than a party plaintiff suing on his or her behalf or in the right of Registrant), or is threatened to be made a party, to any threatened, pending or completed action, suit or proceeding, whether civil, criminal, administrative or investigative (including, but not limited to, an action by or in the right of Registrant) by reason of such service, against expenses (including, without limitation, attorneys’ fees), judgments, fines and amounts paid in settlement actually and reasonably incurred by him or her in connection with such action, suit or proceeding.</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 Agreements</w:t>
      </w:r>
      <w:r>
        <w:rPr>
          <w:rFonts w:ascii="Times New Roman" w:cs="Times New Roman" w:eastAsia="Times New Roman" w:hAnsi="Times New Roman"/>
          <w:sz w:val="18"/>
          <w:szCs w:val="18"/>
          <w:color w:val="auto"/>
        </w:rPr>
        <w:t>. Registrant has entered into indemnification agreements with each of its directors and executive officers, which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indemnity to the fullest extent permitted by applicable law against liabilities and expenses incurred in connection with the defense or disposition of certain actions, suits or proceedings in which such person may be involved or with which such person was, is or is threatened to be made, a party by reason of the service of such person as a director or an officer of Registrant or certain of its subsidiaries, as applicable, or in certain other representative or fiduciary capacities on behalf thereof and which establish processes and procedures for indemnification claims.</w:t>
      </w:r>
    </w:p>
    <w:p>
      <w:pPr>
        <w:spacing w:after="0" w:line="183"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Other Insurance</w:t>
      </w:r>
      <w:r>
        <w:rPr>
          <w:rFonts w:ascii="Times New Roman" w:cs="Times New Roman" w:eastAsia="Times New Roman" w:hAnsi="Times New Roman"/>
          <w:sz w:val="18"/>
          <w:szCs w:val="18"/>
          <w:color w:val="auto"/>
        </w:rPr>
        <w:t>. Registrant maintains directors’ and officers’ liability insurance, which covers directors and officers against certain claims or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out of the performance of their duties.</w:t>
      </w:r>
    </w:p>
    <w:p>
      <w:pPr>
        <w:sectPr>
          <w:pgSz w:w="11900" w:h="16838" w:orient="portrait"/>
          <w:cols w:equalWidth="0" w:num="1">
            <w:col w:w="11000"/>
          </w:cols>
          <w:pgMar w:left="440" w:top="270" w:right="459" w:bottom="1440" w:gutter="0" w:footer="0" w:header="0"/>
        </w:sectPr>
      </w:pPr>
    </w:p>
    <w:bookmarkStart w:id="4" w:name="page5"/>
    <w:bookmarkEnd w:id="4"/>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56" w:lineRule="exact"/>
        <w:rPr>
          <w:sz w:val="20"/>
          <w:szCs w:val="20"/>
          <w:color w:val="auto"/>
        </w:rPr>
      </w:pPr>
    </w:p>
    <w:p>
      <w:pPr>
        <w:ind w:left="724" w:right="60" w:hanging="714"/>
        <w:spacing w:after="0" w:line="282" w:lineRule="auto"/>
        <w:tabs>
          <w:tab w:leader="none" w:pos="7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36">
        <w:r>
          <w:rPr>
            <w:rFonts w:ascii="Times New Roman" w:cs="Times New Roman" w:eastAsia="Times New Roman" w:hAnsi="Times New Roman"/>
            <w:sz w:val="18"/>
            <w:szCs w:val="18"/>
            <w:u w:val="single" w:color="auto"/>
            <w:color w:val="0000EE"/>
          </w:rPr>
          <w:t>Certificate of Incorporation of BellRing Brands, Inc. (incorporated by reference to Exhibit 3.1 of the Current Report on Form 8-K of BellRing</w:t>
        </w:r>
      </w:hyperlink>
      <w:r>
        <w:rPr>
          <w:rFonts w:ascii="Times New Roman" w:cs="Times New Roman" w:eastAsia="Times New Roman" w:hAnsi="Times New Roman"/>
          <w:sz w:val="18"/>
          <w:szCs w:val="18"/>
          <w:u w:val="single" w:color="auto"/>
          <w:color w:val="0000EE"/>
        </w:rPr>
        <w:t xml:space="preserve"> </w:t>
      </w:r>
      <w:hyperlink r:id="rId36">
        <w:r>
          <w:rPr>
            <w:rFonts w:ascii="Times New Roman" w:cs="Times New Roman" w:eastAsia="Times New Roman" w:hAnsi="Times New Roman"/>
            <w:sz w:val="18"/>
            <w:szCs w:val="18"/>
            <w:u w:val="single" w:color="auto"/>
            <w:color w:val="0000EE"/>
          </w:rPr>
          <w:t>Brands, Inc. filed with the SEC on March 10, 2022).</w:t>
        </w:r>
      </w:hyperlink>
    </w:p>
    <w:p>
      <w:pPr>
        <w:spacing w:after="0" w:line="54" w:lineRule="exact"/>
        <w:rPr>
          <w:sz w:val="20"/>
          <w:szCs w:val="20"/>
          <w:color w:val="auto"/>
        </w:rPr>
      </w:pPr>
    </w:p>
    <w:p>
      <w:pPr>
        <w:ind w:left="724" w:right="200" w:hanging="714"/>
        <w:spacing w:after="0" w:line="282" w:lineRule="auto"/>
        <w:tabs>
          <w:tab w:leader="none" w:pos="70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37">
        <w:r>
          <w:rPr>
            <w:rFonts w:ascii="Times New Roman" w:cs="Times New Roman" w:eastAsia="Times New Roman" w:hAnsi="Times New Roman"/>
            <w:sz w:val="18"/>
            <w:szCs w:val="18"/>
            <w:u w:val="single" w:color="auto"/>
            <w:color w:val="0000EE"/>
          </w:rPr>
          <w:t>Bylaws of BellRing Brands, Inc. (incorporated by reference to Exhibit 3.2 of the Current Report on Form 8-K of BellRing Brands, Inc. filed</w:t>
        </w:r>
      </w:hyperlink>
      <w:r>
        <w:rPr>
          <w:rFonts w:ascii="Times New Roman" w:cs="Times New Roman" w:eastAsia="Times New Roman" w:hAnsi="Times New Roman"/>
          <w:sz w:val="18"/>
          <w:szCs w:val="18"/>
          <w:u w:val="single" w:color="auto"/>
          <w:color w:val="0000EE"/>
        </w:rPr>
        <w:t xml:space="preserve"> </w:t>
      </w:r>
      <w:hyperlink r:id="rId37">
        <w:r>
          <w:rPr>
            <w:rFonts w:ascii="Times New Roman" w:cs="Times New Roman" w:eastAsia="Times New Roman" w:hAnsi="Times New Roman"/>
            <w:sz w:val="18"/>
            <w:szCs w:val="18"/>
            <w:u w:val="single" w:color="auto"/>
            <w:color w:val="0000EE"/>
          </w:rPr>
          <w:t>with the SEC on March 10, 2022).</w:t>
        </w:r>
      </w:hyperlink>
    </w:p>
    <w:p>
      <w:pPr>
        <w:spacing w:after="0" w:line="54" w:lineRule="exact"/>
        <w:rPr>
          <w:sz w:val="20"/>
          <w:szCs w:val="20"/>
          <w:color w:val="auto"/>
        </w:rPr>
      </w:pPr>
    </w:p>
    <w:p>
      <w:pPr>
        <w:ind w:left="4"/>
        <w:spacing w:after="0"/>
        <w:tabs>
          <w:tab w:leader="none" w:pos="7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w:anchor="page7">
        <w:r>
          <w:rPr>
            <w:rFonts w:ascii="Times New Roman" w:cs="Times New Roman" w:eastAsia="Times New Roman" w:hAnsi="Times New Roman"/>
            <w:sz w:val="17"/>
            <w:szCs w:val="17"/>
            <w:u w:val="single" w:color="auto"/>
            <w:color w:val="0000EE"/>
          </w:rPr>
          <w:t>Opinion of Craig L. Rosenthal, Esq., Senior Vice President and General Counsel, Secretary of BellRing Brands, Inc.</w:t>
        </w:r>
      </w:hyperlink>
    </w:p>
    <w:p>
      <w:pPr>
        <w:spacing w:after="0" w:line="117" w:lineRule="exact"/>
        <w:rPr>
          <w:sz w:val="20"/>
          <w:szCs w:val="20"/>
          <w:color w:val="auto"/>
        </w:rPr>
      </w:pPr>
    </w:p>
    <w:p>
      <w:pPr>
        <w:ind w:left="4"/>
        <w:spacing w:after="0"/>
        <w:tabs>
          <w:tab w:leader="none" w:pos="7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23.1*</w:t>
      </w:r>
      <w:r>
        <w:rPr>
          <w:sz w:val="20"/>
          <w:szCs w:val="20"/>
          <w:color w:val="auto"/>
        </w:rPr>
        <w:tab/>
      </w:r>
      <w:hyperlink w:anchor="page9">
        <w:r>
          <w:rPr>
            <w:rFonts w:ascii="Times New Roman" w:cs="Times New Roman" w:eastAsia="Times New Roman" w:hAnsi="Times New Roman"/>
            <w:sz w:val="17"/>
            <w:szCs w:val="17"/>
            <w:u w:val="single" w:color="auto"/>
            <w:color w:val="0000EE"/>
          </w:rPr>
          <w:t>Consent of PricewaterhouseCoopers LLP, independent registered public accounting firm.</w:t>
        </w:r>
      </w:hyperlink>
    </w:p>
    <w:p>
      <w:pPr>
        <w:spacing w:after="0" w:line="117" w:lineRule="exact"/>
        <w:rPr>
          <w:sz w:val="20"/>
          <w:szCs w:val="20"/>
          <w:color w:val="auto"/>
        </w:rPr>
      </w:pPr>
    </w:p>
    <w:p>
      <w:pPr>
        <w:ind w:left="4"/>
        <w:spacing w:after="0"/>
        <w:tabs>
          <w:tab w:leader="none" w:pos="7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23.2*</w:t>
      </w:r>
      <w:r>
        <w:rPr>
          <w:sz w:val="20"/>
          <w:szCs w:val="20"/>
          <w:color w:val="auto"/>
        </w:rPr>
        <w:tab/>
      </w:r>
      <w:hyperlink w:anchor="page7">
        <w:r>
          <w:rPr>
            <w:rFonts w:ascii="Times New Roman" w:cs="Times New Roman" w:eastAsia="Times New Roman" w:hAnsi="Times New Roman"/>
            <w:sz w:val="17"/>
            <w:szCs w:val="17"/>
            <w:u w:val="single" w:color="auto"/>
            <w:color w:val="0000EE"/>
          </w:rPr>
          <w:t>Consent of Craig L. Rosenthal, Esq., Senior Vice President and General Counsel, Secretary of BellRing Brands, Inc. (included in Exhibit 5.1).</w:t>
        </w:r>
      </w:hyperlink>
    </w:p>
    <w:p>
      <w:pPr>
        <w:spacing w:after="0" w:line="117" w:lineRule="exact"/>
        <w:rPr>
          <w:sz w:val="20"/>
          <w:szCs w:val="20"/>
          <w:color w:val="auto"/>
        </w:rPr>
      </w:pPr>
    </w:p>
    <w:p>
      <w:pPr>
        <w:ind w:left="4"/>
        <w:spacing w:after="0"/>
        <w:tabs>
          <w:tab w:leader="none" w:pos="7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24.1</w:t>
      </w:r>
      <w:r>
        <w:rPr>
          <w:sz w:val="20"/>
          <w:szCs w:val="20"/>
          <w:color w:val="auto"/>
        </w:rPr>
        <w:tab/>
      </w:r>
      <w:hyperlink r:id="rId38">
        <w:r>
          <w:rPr>
            <w:rFonts w:ascii="Times New Roman" w:cs="Times New Roman" w:eastAsia="Times New Roman" w:hAnsi="Times New Roman"/>
            <w:sz w:val="17"/>
            <w:szCs w:val="17"/>
            <w:u w:val="single" w:color="auto"/>
            <w:color w:val="0000EE"/>
          </w:rPr>
          <w:t>Power of Attorney.</w:t>
        </w:r>
      </w:hyperlink>
    </w:p>
    <w:p>
      <w:pPr>
        <w:spacing w:after="0" w:line="117" w:lineRule="exact"/>
        <w:rPr>
          <w:sz w:val="20"/>
          <w:szCs w:val="20"/>
          <w:color w:val="auto"/>
        </w:rPr>
      </w:pPr>
    </w:p>
    <w:p>
      <w:pPr>
        <w:ind w:left="4"/>
        <w:spacing w:after="0"/>
        <w:tabs>
          <w:tab w:leader="none" w:pos="70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24.2*</w:t>
      </w:r>
      <w:r>
        <w:rPr>
          <w:sz w:val="20"/>
          <w:szCs w:val="20"/>
          <w:color w:val="auto"/>
        </w:rPr>
        <w:tab/>
      </w:r>
      <w:hyperlink w:anchor="page10">
        <w:r>
          <w:rPr>
            <w:rFonts w:ascii="Times New Roman" w:cs="Times New Roman" w:eastAsia="Times New Roman" w:hAnsi="Times New Roman"/>
            <w:sz w:val="17"/>
            <w:szCs w:val="17"/>
            <w:u w:val="single" w:color="auto"/>
            <w:color w:val="0000EE"/>
          </w:rPr>
          <w:t>Power of Attorney of Chonda J. Nwamu.</w:t>
        </w:r>
      </w:hyperlink>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Filed herewith</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117" w:lineRule="exact"/>
        <w:rPr>
          <w:sz w:val="20"/>
          <w:szCs w:val="20"/>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left="4" w:right="80" w:hanging="4"/>
        <w:spacing w:after="0" w:line="256" w:lineRule="auto"/>
        <w:tabs>
          <w:tab w:leader="none" w:pos="2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left="4" w:right="320" w:hanging="4"/>
        <w:spacing w:after="0" w:line="282" w:lineRule="auto"/>
        <w:tabs>
          <w:tab w:leader="none" w:pos="31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 </w:t>
      </w:r>
      <w:r>
        <w:rPr>
          <w:rFonts w:ascii="Times New Roman" w:cs="Times New Roman" w:eastAsia="Times New Roman" w:hAnsi="Times New Roman"/>
          <w:sz w:val="18"/>
          <w:szCs w:val="18"/>
          <w:color w:val="auto"/>
        </w:rPr>
        <w:t>that paragraphs (a)(1)(i) and (a)(1)(ii)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SEC by the Registrant pursuant to Section 13 or Section 15(d) of the Securities Exchange Act of 1934 that are incorporated by reference in the registration statement.</w:t>
      </w:r>
    </w:p>
    <w:p>
      <w:pPr>
        <w:spacing w:after="0" w:line="175" w:lineRule="exact"/>
        <w:rPr>
          <w:sz w:val="20"/>
          <w:szCs w:val="20"/>
          <w:color w:val="auto"/>
        </w:rPr>
      </w:pPr>
    </w:p>
    <w:p>
      <w:pPr>
        <w:ind w:left="4" w:right="140" w:hanging="4"/>
        <w:spacing w:after="0" w:line="266"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4" w:hanging="4"/>
        <w:spacing w:after="0" w:line="282"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4" w:hanging="4"/>
        <w:spacing w:after="0" w:line="261"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w:t>
      </w:r>
    </w:p>
    <w:p>
      <w:pPr>
        <w:spacing w:after="0" w:line="27" w:lineRule="exact"/>
        <w:rPr>
          <w:rFonts w:ascii="Times New Roman" w:cs="Times New Roman" w:eastAsia="Times New Roman" w:hAnsi="Times New Roman"/>
          <w:sz w:val="18"/>
          <w:szCs w:val="18"/>
          <w:color w:val="auto"/>
        </w:rPr>
      </w:pPr>
    </w:p>
    <w:p>
      <w:pPr>
        <w:ind w:left="4"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66" w:right="459"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No. 1 to this registration statement to be signed on its behalf by the undersigned, thereunto duly authorized, in the City of St. Louis, State of Missouri, on the 5th day of April 2022.</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Craig L. Rosenthal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0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Post-Effective Amendment No. 1 to this registration statement has been signed by the following persons in the capacities indicated on the 5th day of April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260" w:type="dxa"/>
            <w:vAlign w:val="bottom"/>
          </w:tcPr>
          <w:p>
            <w:pPr>
              <w:spacing w:after="0"/>
              <w:rPr>
                <w:sz w:val="15"/>
                <w:szCs w:val="15"/>
                <w:color w:val="auto"/>
              </w:rPr>
            </w:pPr>
          </w:p>
        </w:tc>
      </w:tr>
      <w:tr>
        <w:trPr>
          <w:trHeight w:val="425"/>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Executive Chairman (Co-Principal Executive Officer and Director)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Robert V. Vitale</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President, Chief Executive Officer and Director (Co-Principal Executive Officer)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Darcy Horn Davenport</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w w:val="99"/>
              </w:rPr>
              <w:t>Chief Financial Officer and Treasurer (Principal Financial and Accounting Officer)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Paul A. Rode</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P. Erickson</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Jennifer Kuperman Johnson</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Elliot H. Stein, Jr.</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27"/>
        </w:trPr>
        <w:tc>
          <w:tcPr>
            <w:tcW w:w="2120" w:type="dxa"/>
            <w:vAlign w:val="bottom"/>
            <w:tcBorders>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spacing w:after="0"/>
              <w:rPr>
                <w:sz w:val="24"/>
                <w:szCs w:val="24"/>
                <w:color w:val="auto"/>
              </w:rPr>
            </w:pPr>
          </w:p>
        </w:tc>
        <w:tc>
          <w:tcPr>
            <w:tcW w:w="620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54"/>
        </w:trPr>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Craig L. Rosenthal</w:t>
            </w: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28"/>
        </w:trPr>
        <w:tc>
          <w:tcPr>
            <w:tcW w:w="480" w:type="dxa"/>
            <w:vAlign w:val="bottom"/>
          </w:tcPr>
          <w:p>
            <w:pPr>
              <w:spacing w:after="0"/>
              <w:rPr>
                <w:sz w:val="19"/>
                <w:szCs w:val="19"/>
                <w:color w:val="auto"/>
              </w:rPr>
            </w:pPr>
          </w:p>
        </w:tc>
        <w:tc>
          <w:tcPr>
            <w:tcW w:w="1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Craig L. Rosenthal</w:t>
            </w:r>
          </w:p>
        </w:tc>
        <w:tc>
          <w:tcPr>
            <w:tcW w:w="1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60" w:type="dxa"/>
            <w:vAlign w:val="bottom"/>
          </w:tcPr>
          <w:p>
            <w:pPr>
              <w:spacing w:after="0"/>
              <w:rPr>
                <w:sz w:val="19"/>
                <w:szCs w:val="19"/>
                <w:color w:val="auto"/>
              </w:rPr>
            </w:pPr>
          </w:p>
        </w:tc>
      </w:tr>
    </w:tbl>
    <w:p>
      <w:pPr>
        <w:sectPr>
          <w:pgSz w:w="11900" w:h="16838" w:orient="portrait"/>
          <w:cols w:equalWidth="0" w:num="1">
            <w:col w:w="10920"/>
          </w:cols>
          <w:pgMar w:left="440" w:top="266" w:right="5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5,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BellRing Brands,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2503 S. Hanley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 63144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 am General Counsel of BellRing Brands, Inc. (formerly known as BellRing Distribution, LLC), a Delaware corporation (the “Company”). This letter is being delivered in connection with the Post-Effective Amendment No. 1 (the “Post-Effective Amendment”) to the Registration Statement on Form S-8 (File No. 333-237494) (the “Registration Statement”), under the Securities Act of 1933, as amended (the “Securities Act”), originally filed by BellRing Intermediate Holdings, Inc. (formerly known as BellRing Brands, Inc.), a Delaware corporation (the “Predecessor Registrant”), relating to the registration by the Predecessor Registrant of shares of Class A common stock, par value $0.01 per share, of the Predecessor Registrant, issuable pursuant to the BellRing Brands, Inc. Deferred Compensation Plan for Directors (the “Plan”).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Company became the successor to the Predecessor Registrant on March 10, 2022 for purposes of Rule 414 under the Securities Act as a result of the transactions (the “transactions”) contemplated by that certain transaction agreement and plan of merger, dated as of October 26, 2021 (as amended, restated, supplemented or otherwise modified from time to time, including by that certain amendment no. 1 to the transaction agreement and plan of merger, dated as of February 28, 2022, the “transaction agreement”), by and among Predecessor Registrant, Post Holdings, Inc., the Company and BellRing Merger Sub Corporation (“Merger Sub”). Pursuant to the transaction agreement, among other things, on March 10, 2022, Merger Sub merged with and into Predecessor Registrant, with Predecessor Registrant as the surviving corporation and a wholly-owned subsidiary of the Company. In connection with the transactions, the Company assumed and adopted the Plan and, as a result, shares of the Company’s common stock, par value $0.01 per share (“Company Common Stock”), are issuable pursuant thereto.</w:t>
      </w:r>
    </w:p>
    <w:p>
      <w:pPr>
        <w:spacing w:after="0" w:line="1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The Registration Statement, as amended by the Post-Effective Amendment, relates to the offering and sale by the Company of certain shares of Company Common Stock.</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 have examined the Registration Statement, the Post-Effective Amendment and the Plan. I also have examined the originals or duplicates or certified or conformed copies of such records, agreements, documents and other instruments and have made such other investigations as I have deemed relevant and necessary in connection with the opinions expressed herein. In rendering the opinions below, I have assumed the genuineness of all signatures, the legal capacity of natural persons, the authenticity of all documents submitted to me as originals, the conformity to the original documents of all documents submitted to me as duplicates or certified or conformed copies and the authenticity of the originals of such latter documents.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limitations stated herein, I am of the opinion that the shares of Company Common Stock have been duly authorized for issuance under the Plan and, upon their issuance and delivery in accordance with the Plan, will be validly issued, fully paid and non-assessable.</w:t>
      </w:r>
    </w:p>
    <w:p>
      <w:pPr>
        <w:spacing w:after="0" w:line="17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 do not express any opinion herein concerning any law other than the laws of the State of Missouri, the federal law of the United States and the Delaware General Corporation Law (including the statutory provisions, all applicable provisions of the Delaware Constitution and reported judicial decisions interpreting the foregoing). I am not admitted to practice in the State of Delaware.</w:t>
      </w:r>
    </w:p>
    <w:p>
      <w:pPr>
        <w:sectPr>
          <w:pgSz w:w="11900" w:h="16838" w:orient="portrait"/>
          <w:cols w:equalWidth="0" w:num="1">
            <w:col w:w="11020"/>
          </w:cols>
          <w:pgMar w:left="440" w:top="117" w:right="439" w:bottom="1440" w:gutter="0" w:footer="0" w:header="0"/>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consent to the filing of this opinion as Exhibit 5.1 to the Post-Effective Amendment. In giving this consent, I do not hereby admit that I am in the category of persons whose consent is required under Section 7 of the Securities Act or the rules and regulations thereunder.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Craig L. Rosenthal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Craig L. Rosenthal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p>
      <w:pPr>
        <w:sectPr>
          <w:pgSz w:w="11900" w:h="16838" w:orient="portrait"/>
          <w:cols w:equalWidth="0" w:num="1">
            <w:col w:w="10540"/>
          </w:cols>
          <w:pgMar w:left="440" w:top="270" w:right="91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BellRing Brands, Inc. of our report dated November 19, 2021 relating to the financial statements and the effectiveness of internal control over financial reporting, which appears in BellRing Brands, Inc.’s Annual Report on Form 10-K for the year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 Louis, Missouri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2022</w:t>
      </w:r>
    </w:p>
    <w:p>
      <w:pPr>
        <w:sectPr>
          <w:pgSz w:w="11900" w:h="16838" w:orient="portrait"/>
          <w:cols w:equalWidth="0" w:num="1">
            <w:col w:w="11020"/>
          </w:cols>
          <w:pgMar w:left="440" w:top="11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BELLRING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each of Craig L. Rosenthal and Paul A. Rode, with full power to each of them to act alone, his or her true and lawful attorney-in-fact and agent, with full power of substitution and resubstitution, for him or her and in his or her name, place and stead, in any and all capacities, to sign each of the Registration Statement on Form S-8 (File No. 333-238306), the Registration Statement on Form S-8 (File No. 333-237494) and the Registration Statement on Form S-8 (File</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No. 333-234290), in each case, of BellRing Brands, Inc. (collectively, the “Registration Statements”), any and all amendments including post-effective amendments to each such Registration Statement, and to file the same, with all exhibits thereto, and other documents in connection therewith, with the Securities and Exchange Commission, granting unto said attorneys-in-fact and agents, and each of them, or their substitute or substitutes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HEREOF, the undersigned has subscribed his or her name as of the date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2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20" w:type="dxa"/>
            <w:vAlign w:val="bottom"/>
          </w:tcPr>
          <w:p>
            <w:pPr>
              <w:spacing w:after="0"/>
              <w:rPr>
                <w:sz w:val="15"/>
                <w:szCs w:val="15"/>
                <w:color w:val="auto"/>
              </w:rPr>
            </w:pPr>
          </w:p>
        </w:tc>
        <w:tc>
          <w:tcPr>
            <w:tcW w:w="3520" w:type="dxa"/>
            <w:vAlign w:val="bottom"/>
            <w:gridSpan w:val="3"/>
          </w:tcPr>
          <w:p>
            <w:pPr>
              <w:jc w:val="center"/>
              <w:ind w:left="159"/>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80" w:type="dxa"/>
            <w:vAlign w:val="bottom"/>
          </w:tcPr>
          <w:p>
            <w:pPr>
              <w:spacing w:after="0"/>
              <w:rPr>
                <w:sz w:val="15"/>
                <w:szCs w:val="15"/>
                <w:color w:val="auto"/>
              </w:rPr>
            </w:pPr>
          </w:p>
        </w:tc>
        <w:tc>
          <w:tcPr>
            <w:tcW w:w="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16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Chonda J. Nwamu</w:t>
            </w:r>
          </w:p>
        </w:tc>
        <w:tc>
          <w:tcPr>
            <w:tcW w:w="6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520" w:type="dxa"/>
            <w:vAlign w:val="bottom"/>
            <w:gridSpan w:val="3"/>
          </w:tcPr>
          <w:p>
            <w:pPr>
              <w:jc w:val="center"/>
              <w:ind w:left="159"/>
              <w:spacing w:after="0"/>
              <w:rPr>
                <w:sz w:val="20"/>
                <w:szCs w:val="20"/>
                <w:color w:val="auto"/>
              </w:rPr>
            </w:pPr>
            <w:r>
              <w:rPr>
                <w:rFonts w:ascii="Times New Roman" w:cs="Times New Roman" w:eastAsia="Times New Roman" w:hAnsi="Times New Roman"/>
                <w:sz w:val="18"/>
                <w:szCs w:val="18"/>
                <w:color w:val="auto"/>
                <w:w w:val="99"/>
              </w:rPr>
              <w:t>Director</w:t>
            </w:r>
          </w:p>
        </w:tc>
        <w:tc>
          <w:tcPr>
            <w:tcW w:w="2500" w:type="dxa"/>
            <w:vAlign w:val="bottom"/>
            <w:gridSpan w:val="3"/>
          </w:tcPr>
          <w:p>
            <w:pPr>
              <w:jc w:val="center"/>
              <w:ind w:left="1270"/>
              <w:spacing w:after="0"/>
              <w:rPr>
                <w:sz w:val="20"/>
                <w:szCs w:val="20"/>
                <w:color w:val="auto"/>
              </w:rPr>
            </w:pPr>
            <w:r>
              <w:rPr>
                <w:rFonts w:ascii="Times New Roman" w:cs="Times New Roman" w:eastAsia="Times New Roman" w:hAnsi="Times New Roman"/>
                <w:sz w:val="18"/>
                <w:szCs w:val="18"/>
                <w:color w:val="auto"/>
                <w:w w:val="99"/>
              </w:rPr>
              <w:t>March 10, 2022</w:t>
            </w:r>
          </w:p>
        </w:tc>
      </w:tr>
      <w:tr>
        <w:trPr>
          <w:trHeight w:val="228"/>
        </w:trPr>
        <w:tc>
          <w:tcPr>
            <w:tcW w:w="2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Chonda J. Nwamu</w:t>
            </w:r>
          </w:p>
        </w:tc>
        <w:tc>
          <w:tcPr>
            <w:tcW w:w="1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lowerRoman"/>
      <w:start w:val="2"/>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png"/><Relationship Id="rId39" Type="http://schemas.openxmlformats.org/officeDocument/2006/relationships/image" Target="media/image13.png"/><Relationship Id="rId40" Type="http://schemas.openxmlformats.org/officeDocument/2006/relationships/image" Target="media/image14.png"/><Relationship Id="rId41" Type="http://schemas.openxmlformats.org/officeDocument/2006/relationships/image" Target="media/image15.png"/><Relationship Id="rId17" Type="http://schemas.openxmlformats.org/officeDocument/2006/relationships/hyperlink" Target="http://www.sec.gov/Archives/edgar/data/1772016/000144586620000299/brbr_s8.htm" TargetMode="External"/><Relationship Id="rId19" Type="http://schemas.openxmlformats.org/officeDocument/2006/relationships/hyperlink" Target="http://www.sec.gov/Archives/edgar/data/1772016/000177201621000118/0001772016-21-000118-index.htm" TargetMode="External"/><Relationship Id="rId20" Type="http://schemas.openxmlformats.org/officeDocument/2006/relationships/hyperlink" Target="http://www.sec.gov/Archives/edgar/data/1772016/000177201622000028/0001772016-22-000028-index.htm" TargetMode="External"/><Relationship Id="rId21" Type="http://schemas.openxmlformats.org/officeDocument/2006/relationships/hyperlink" Target="http://www.sec.gov/ix?doc=/Archives/edgar/data/1772016/000119312521308736/d232418d8k.htm" TargetMode="External"/><Relationship Id="rId22" Type="http://schemas.openxmlformats.org/officeDocument/2006/relationships/hyperlink" Target="http://www.sec.gov/ix?doc=/Archives/edgar/data/1772016/000119312521359836/d243174d8k.htm" TargetMode="External"/><Relationship Id="rId23" Type="http://schemas.openxmlformats.org/officeDocument/2006/relationships/hyperlink" Target="http://www.sec.gov/ix?doc=/Archives/edgar/data/1772016/000177201622000018/brbr-20220203.htm" TargetMode="External"/><Relationship Id="rId24" Type="http://schemas.openxmlformats.org/officeDocument/2006/relationships/hyperlink" Target="http://www.sec.gov/ix?doc=/Archives/edgar/data/1772016/000177201622000032/brbr-20220211.htm" TargetMode="External"/><Relationship Id="rId25" Type="http://schemas.openxmlformats.org/officeDocument/2006/relationships/hyperlink" Target="http://www.sec.gov/ix?doc=/Archives/edgar/data/1772016/000119312522047864/d234626d8k.htm" TargetMode="External"/><Relationship Id="rId26" Type="http://schemas.openxmlformats.org/officeDocument/2006/relationships/hyperlink" Target="http://www.sec.gov/ix?doc=/Archives/edgar/data/1772016/000119312522052442/d291324d8k.htm" TargetMode="External"/><Relationship Id="rId27" Type="http://schemas.openxmlformats.org/officeDocument/2006/relationships/hyperlink" Target="http://www.sec.gov/ix?doc=/Archives/edgar/data/1772016/000119312522055719/d405795d8k.htm" TargetMode="External"/><Relationship Id="rId28" Type="http://schemas.openxmlformats.org/officeDocument/2006/relationships/hyperlink" Target="http://www.sec.gov/ix?doc=/Archives/edgar/data/1772016/000119312522058050/d499890d8k.htm" TargetMode="External"/><Relationship Id="rId29" Type="http://schemas.openxmlformats.org/officeDocument/2006/relationships/hyperlink" Target="http://www.sec.gov/ix?doc=/Archives/edgar/data/1772016/000119312522061530/d255703d8k.htm" TargetMode="External"/><Relationship Id="rId30" Type="http://schemas.openxmlformats.org/officeDocument/2006/relationships/hyperlink" Target="http://www.sec.gov/ix?doc=/Archives/edgar/data/1772016/000119312522069355/d264262d8k.htm" TargetMode="External"/><Relationship Id="rId31" Type="http://schemas.openxmlformats.org/officeDocument/2006/relationships/hyperlink" Target="http://www.sec.gov/ix?doc=/Archives/edgar/data/0001772016/000119312522072017/d212065d8k.htm" TargetMode="External"/><Relationship Id="rId32" Type="http://schemas.openxmlformats.org/officeDocument/2006/relationships/hyperlink" Target="http://www.sec.gov/ix?doc=/Archives/edgar/data/0001772016/000119312522072132/d319129d8k12b.htm" TargetMode="External"/><Relationship Id="rId33" Type="http://schemas.openxmlformats.org/officeDocument/2006/relationships/hyperlink" Target="http://www.sec.gov/ix?doc=/Archives/edgar/data/1772016/000119312522077298/d281734d8k12ba.htm" TargetMode="External"/><Relationship Id="rId36" Type="http://schemas.openxmlformats.org/officeDocument/2006/relationships/hyperlink" Target="http://www.sec.gov/Archives/edgar/data/1772016/000119312522072132/d319129dex31.htm" TargetMode="External"/><Relationship Id="rId37" Type="http://schemas.openxmlformats.org/officeDocument/2006/relationships/hyperlink" Target="http://www.sec.gov/Archives/edgar/data/1772016/000119312522072132/d319129dex32.htm" TargetMode="External"/><Relationship Id="rId38" Type="http://schemas.openxmlformats.org/officeDocument/2006/relationships/hyperlink" Target="http://www.sec.gov/Archives/edgar/data/0001772016/000144586620000299/brbr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2022-04-06T05:17:00Z</dcterms:created>
  <dcterms:modified xsi:type="dcterms:W3CDTF">2022-04-06T05:17:00Z</dcterms:modified>
</cp:coreProperties>
</file>