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Nwamu Chonda J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02/17/2026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BELLRING BRANDS,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 N BRENTWOOD BLVD., SUITE 1550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63105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1,935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23,632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2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was granted restricted stock units in consideration of service on a special committee of the Board of Directors formed to oversee the selection of a successor President and CEO. Each restricted stock unit represents a contingent right to receive one share of Common Stock of Issuer granted under the BellRing Brands, Inc. 2019 Long-Term Incentive Plan. The restricted stock units vest in full on the first anniversary of the date of grant subject to the terms of the award agreement.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Craig L. Rosenthal,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4398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2026-02-19T18:39:41Z</dcterms:created>
  <dcterms:modified xsi:type="dcterms:W3CDTF">2026-02-19T18:39:41Z</dcterms:modified>
</cp:coreProperties>
</file>