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August 4, 2025, BellRing Brands, Inc. (the "Company") issued a press release announcing results for its third fiscal quarter ended June 30, 2025. A copy of the press release is attached hereto as Exhibit 99.1 and incorporated herein by reference.</w:t>
      </w:r>
    </w:p>
    <w:p>
      <w:pPr>
        <w:spacing w:after="0" w:line="12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addition, on August 4, 2025, the Company published to the "Investor Relations" section of its website, www.bellringbrands.com, a supplemental presentation related to results for its third fiscal quarter ended June 30, 2025.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72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August 4, 2025</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Third Fiscal Quarter Ended June 30, 2025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August 4, 2025</w:t>
            </w: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280" w:type="dxa"/>
            <w:vAlign w:val="bottom"/>
          </w:tcPr>
          <w:p>
            <w:pPr>
              <w:spacing w:after="0"/>
              <w:rPr>
                <w:sz w:val="19"/>
                <w:szCs w:val="19"/>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280" w:type="dxa"/>
            <w:vAlign w:val="bottom"/>
          </w:tcPr>
          <w:p>
            <w:pPr>
              <w:spacing w:after="0"/>
              <w:rPr>
                <w:sz w:val="24"/>
                <w:szCs w:val="24"/>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280" w:type="dxa"/>
            <w:vAlign w:val="bottom"/>
          </w:tcPr>
          <w:p>
            <w:pPr>
              <w:spacing w:after="0"/>
              <w:rPr>
                <w:sz w:val="17"/>
                <w:szCs w:val="17"/>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280" w:type="dxa"/>
            <w:vAlign w:val="bottom"/>
          </w:tcPr>
          <w:p>
            <w:pPr>
              <w:spacing w:after="0"/>
              <w:rPr>
                <w:sz w:val="13"/>
                <w:szCs w:val="13"/>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Third Quarter 2025; Narrows Fiscal Year 2025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August 4, 2025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third fiscal quarter ended June 30,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quarter net sales of $547.5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$44.8 million, net earnings of $21.0 million and Adjusted EBITDA* of $120.3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Narrowed fiscal year 2025 net sales outlook of $2.28-$2.32 billion and Adjusted EBITDA* outlook of $480-$490 million</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2"/>
          <w:szCs w:val="12"/>
          <w:color w:val="auto"/>
        </w:rPr>
        <w:t xml:space="preserve">“We are pleased with our third quarter performance, which reflects the strength and continued momentum of our business.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consumption remained robust, supported by strong velocities and sustained category-leading market share. We achieved record levels of household penetration and distribution, while maintaining industry-best loyalty metrics. Additionally, our innovation strategy is delivering, as new products across both brands are gaining traction and contributing to our growth,” said Darcy H. Davenport, President and Chief Executive Officer of BellRing. “Looking ahead, our fiscal year 2025 outlook remains solid and intact, despite minor shipment timing shifts between the third and fourth quarters. Our leading mainstream brands continue to resonate with consumers, and we remain confident in the long-term trajectory for BellRing.”</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and RTD products increased 18.6%, 27.2% and 4.5%, respectively, in the 13-week period ended June 29, 2025, as compared to the same period in 2024 (inclusive of Circana United States (“U.S.”) Multi Outlet Plus with Convenience and management estimates of untracked channels). For additional information regarding consumption metrics, see the supplemental slide presentation on BellRing’s website, which can be accessed by visiting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$547.5 million, an increase of 6.2%, or $32.1 million, compared to the prior year period, driven by 3.5% increase in volume and 2.7% increase in price/mix.</w:t>
      </w:r>
    </w:p>
    <w:p>
      <w:pPr>
        <w:spacing w:after="0" w:line="11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6.0%, driven by 3.5% volume growth and 2.5% increase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5.9%, driven by 3.5% increase in volume and 2.4% increase in price/mix.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Volume gains were lifted by distribution gains and incremental promotional activity, partially offset by changes in retailer trade inventories. Additionally, net sales benefited from higher average net selling prices driven by price increases to offset cost inflation, partially offset by incremental promotional activity.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5.4%, driven by 5.1% increase in volume. Volume growth was lifted by higher international volumes and new product introductions.</w:t>
      </w:r>
    </w:p>
    <w:p>
      <w:pPr>
        <w:spacing w:after="0" w:line="11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Gross profit was $193.6 million, or 35.4% of net sales, an increase of 1.9%, or $3.7 million, compared to $189.9 million, or 36.8% of net sales, in the prior year period. Adjusted gross profit* was $192.4 million, or 35.1% of net sales, an increase of $4.8 million, or 2.6%, compared to $187.6 million, or 36.4% of net sales, in the prior year period. In the third quarter of 2025, gross profit and adjusted gross profit benefited from higher pricing which was partly offset by net input cost inflation and increased promotional activity.</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14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(“SG&amp;A”) expenses were $144.5 million, or 26.4% of net sales, an increase of $70.5 million compared to $74.0 million, or 14.4% of net sales, in the prior year period. SG&amp;A expenses in the third quarter of 2025 included a $68.1 million provision for legal matters, which is discussed later in this release and was treated as an adjustment for non-GAAP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$44.8 million, a decrease of 59.9%, or $66.8 million, compared to $111.6 million in the prior year period and was negatively impacted by the aforementioned provision for legal matters.</w:t>
      </w:r>
    </w:p>
    <w:p>
      <w:pPr>
        <w:spacing w:after="0" w:line="11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Interest expense, net was $18.4 million and $14.4 million in the third quarter of 2025 and 2024, respectively, with the increase primarily driven by higher outstanding borrowings under BellRing’s revolving credit facility. Income tax expense was $5.4 million in the third quarter of 2025, an effective income tax rate of 20.5%, compared to $23.5 million in the third quarter of 2024, an effective income tax rate of 24.2%. The decrease in the effective income tax rate primarily resulted from discrete tax benefits recognized in the current year period related to prior year tax accruals.</w:t>
      </w:r>
    </w:p>
    <w:p>
      <w:pPr>
        <w:spacing w:after="0" w:line="8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Net earnings were $21.0 million, a decrease of 71.5%, or $52.7 million, compared to $73.7 million in the prior year period. Net earnings per diluted common share were $0.16, a decrease of 71.4%, compared to $0.56 in the prior year period. Adjusted net earnings* were $70.8 million, a decrease of 1.5%, compared to $71.9 million in the prior year period. Adjusted diluted earnings per common share* were $0.55, an increase of 1.9%, compared to $0.54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$120.3 million, an increase of 0.7%, or $0.8 million, compared to $119.5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Nine Month Results</w:t>
      </w:r>
    </w:p>
    <w:p>
      <w:pPr>
        <w:spacing w:after="0" w:line="11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$1,668.4 million, an increase of 15.8%, or $228.0 million, compared to the prior year period, driven by 12.8% increase in volume and 3.0% increase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17.6%, driven by 13.0% increase in volume and 4.6% increase in price/mix.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6.7%, driven by 12.4% increase in volume and 5.7% decrease in price/mix.</w:t>
      </w:r>
    </w:p>
    <w:p>
      <w:pPr>
        <w:spacing w:after="0" w:line="73"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2"/>
          <w:szCs w:val="12"/>
          <w:color w:val="auto"/>
        </w:rPr>
        <w:t>Gross profit was $583.0 million, or 34.9% of net sales, an increase of 16.1%, or $80.8 million, compared to $502.2 million, or 34.9% of net sales, in the prior year period. Adjusted gross profit* was $593.2 million, or 35.6% of net sales, an increase of $90.6 million, or 18.0%, compared to $502.6 million, or 34.9% of net sales, in the prior year period. In the nine months ended June 30, 2025, gross profit and adjusted gross profit benefited from higher pricing which was partly offset by net input cost inflation and incremental promotional activity.</w:t>
      </w:r>
    </w:p>
    <w:p>
      <w:pPr>
        <w:spacing w:after="0" w:line="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0"/>
          <w:szCs w:val="10"/>
          <w:i w:val="1"/>
          <w:iCs w:val="1"/>
          <w:color w:val="auto"/>
        </w:rPr>
        <w:t>*Adjusted gross profit and adjusted gross profit margin are non-GAAP measures that exclude mark-to-market adjustments on commodity hedges. For additional information regarding non-GAAP measures, see the related explanations presented under “Use of Non-GAAP Measures” later in this release.</w:t>
      </w:r>
    </w:p>
    <w:p>
      <w:pPr>
        <w:spacing w:after="0" w:line="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SG&amp;A expenses were $315.1 million, or 18.9% of net sales, an increase of $119.2 million compared to $195.9 million, or 13.6% of net sales, in the prior year period. SG&amp;A expenses in the nine months ended June 30, 2025 included a $69.0 million provision for legal matters (which is discussed later in this release and was treated as an adjustment for non-GAAP measures), higher marketing and consumer advertising expenses of $22.8 million and increased distribution and warehousing expenses on higher volumes.</w:t>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Operating profit was $255.2 million, a decrease of 7.4%, or $20.4 million, compared to $275.6 million in the prior year period. In the nine months ended June 30, 2025, operating profit was negatively impacted by the aforementioned provision for legal matters. In the nine months ended June 30, 2024, operating profit was negatively impacted by $17.4 million of accelerated amortization, which was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and treated as an adjustment for non-GAAP measures.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 was $49.3 million and $43.8 million in the nine months ended June 30, 2025 and 2024, respectively, with the increase primarily driven by higher outstanding borrowings under BellRing’s revolving credit facility.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 was $49.3 million in the nine months ended June 30, 2025, an effective income tax rate of 23.9%, compared to $57.0 million in the nine months ended June 30, 2024, an effective income tax rate of 24.6%.</w:t>
      </w:r>
    </w:p>
    <w:p>
      <w:pPr>
        <w:spacing w:after="0" w:line="10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Net earnings were $156.6 million, a decrease of 10.4%, or $18.2 million, compared to $174.8 million in the prior year period. Net earnings per diluted common share were $1.21, a decrease of 8.3%, compared to $1.32 in the prior year period. Adjusted net earnings* were $215.7 million, an increase of 14.5%, compared to $188.4 million in the prior year period. Adjusted diluted earnings per common share* were $1.66, an increase of 16.9%, compared to $1.42 in the prior year period.</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40"/>
          </w:cols>
          <w:pgMar w:left="300" w:top="64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Adjusted EBITDA* was $364.2 million, an increase of 12.5%, or $40.5 million, compared to $323.7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Provision for Legal Matters</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color w:val="auto"/>
        </w:rPr>
        <w:t xml:space="preserve">On June 25, 2025, Premier Nutrition Company, LLC (“Premier Nutrition”), a subsidiary of BellRing, reached a class-wide settlement in principle regarding previously disclosed </w:t>
      </w:r>
      <w:r>
        <w:rPr>
          <w:rFonts w:ascii="Times New Roman" w:cs="Times New Roman" w:eastAsia="Times New Roman" w:hAnsi="Times New Roman"/>
          <w:sz w:val="12"/>
          <w:szCs w:val="12"/>
          <w:i w:val="1"/>
          <w:iCs w:val="1"/>
          <w:color w:val="auto"/>
        </w:rPr>
        <w:t>Joint Juice</w:t>
      </w:r>
      <w:r>
        <w:rPr>
          <w:rFonts w:ascii="Times New Roman" w:cs="Times New Roman" w:eastAsia="Times New Roman" w:hAnsi="Times New Roman"/>
          <w:sz w:val="12"/>
          <w:szCs w:val="12"/>
          <w:color w:val="auto"/>
        </w:rPr>
        <w:t xml:space="preserve"> litigation which dates back to March 2013. Under the terms of the settlement in principle, which is subject to judicial approval, Premier Nutrition would pay $90.0 million to resolve all claims related to all pending </w:t>
      </w:r>
      <w:r>
        <w:rPr>
          <w:rFonts w:ascii="Times New Roman" w:cs="Times New Roman" w:eastAsia="Times New Roman" w:hAnsi="Times New Roman"/>
          <w:sz w:val="12"/>
          <w:szCs w:val="12"/>
          <w:i w:val="1"/>
          <w:iCs w:val="1"/>
          <w:color w:val="auto"/>
        </w:rPr>
        <w:t>Joint Juice</w:t>
      </w:r>
      <w:r>
        <w:rPr>
          <w:rFonts w:ascii="Times New Roman" w:cs="Times New Roman" w:eastAsia="Times New Roman" w:hAnsi="Times New Roman"/>
          <w:sz w:val="12"/>
          <w:szCs w:val="12"/>
          <w:color w:val="auto"/>
        </w:rPr>
        <w:t xml:space="preserve"> litigation cases. The settlement would not constitute an admission of liability or wrongdoing by Premier Nutrition, favorably resolving the litigation without the uncertainty, distraction and ongoing expense of continued proceedings. BellRing believes the resolution of these matters is in the best interest of BellRing and its stockholders. </w:t>
      </w:r>
      <w:r>
        <w:rPr>
          <w:rFonts w:ascii="Times New Roman" w:cs="Times New Roman" w:eastAsia="Times New Roman" w:hAnsi="Times New Roman"/>
          <w:sz w:val="12"/>
          <w:szCs w:val="12"/>
          <w:i w:val="1"/>
          <w:iCs w:val="1"/>
          <w:color w:val="auto"/>
        </w:rPr>
        <w:t>Joint Juice</w:t>
      </w:r>
      <w:r>
        <w:rPr>
          <w:rFonts w:ascii="Times New Roman" w:cs="Times New Roman" w:eastAsia="Times New Roman" w:hAnsi="Times New Roman"/>
          <w:sz w:val="12"/>
          <w:szCs w:val="12"/>
          <w:color w:val="auto"/>
        </w:rPr>
        <w:t xml:space="preserve"> was discontinued in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During the third quarter of 2025, BellRing repurchased 1.3 million shares for $83.0 million at an average price of $65.07 per share. During the nine months ended June 30, 2025, BellRing repurchased 3.8 million shares for $265.6 million at an average price of $69.67 per share. As of June 30, 2025, BellRing had $197.0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BellRing management has narrowed its fiscal year 2025 outlook for net sales to range between $2.28-$2.32 billion and Adjusted EBITDA to range between $480-$490 million (resulting in net sales and Adjusted EBITDA growth of 14%-16% and 9%-11%, respectively, over fiscal year 2024). BellRing management expects fiscal year 2025 capital expenditures of approximately $9 million.</w:t>
      </w:r>
    </w:p>
    <w:p>
      <w:pPr>
        <w:spacing w:after="0" w:line="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provisions for legal matters, mark-to-market adjustments on commodity hedges and other charges reflected in BellRing’s reconciliations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August 5, 2025 at 9:00 a.m. EDT to discuss financial results for the third quarter of fiscal year 2025 and fiscal year 2025 outlook and to respond to questions. Darcy H. Davenport, President and Chief Executive Officer, and Paul A. Rode, Chief Financial Officer, will participate in the call.</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642" w:right="339" w:bottom="1440" w:gutter="0" w:footer="0" w:header="0"/>
        </w:sectPr>
      </w:pPr>
    </w:p>
    <w:bookmarkStart w:id="6" w:name="page7"/>
    <w:bookmarkEnd w:id="6"/>
    <w:p>
      <w:pPr>
        <w:ind w:right="10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Q3 2025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2025.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third-party contract manufacturers for the manufacture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4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60"/>
          </w:cols>
          <w:pgMar w:left="300" w:top="642" w:right="339" w:bottom="1440" w:gutter="0" w:footer="0" w:header="0"/>
        </w:sectPr>
      </w:pPr>
    </w:p>
    <w:bookmarkStart w:id="7" w:name="page8"/>
    <w:bookmarkEnd w:id="7"/>
    <w:p>
      <w:pPr>
        <w:ind w:left="420" w:hanging="212"/>
        <w:spacing w:after="0" w:line="259"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and/or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 xml:space="preserve">BellRing Brands, Inc. (NYSE: BRBR) is a dynamic and fast-growing consumer brands business with the purpose of Changing Lives with Good Energy. Focused on growing the convenient nutrition category, the company’s brands include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the #1 ready-to-drink protein and convenient nutrition brand,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642"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84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34"/>
        </w:trPr>
        <w:tc>
          <w:tcPr>
            <w:tcW w:w="62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515.4</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1,668.4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1,440.4</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sold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2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325.5</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1,085.4</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938.2</w:t>
            </w:r>
          </w:p>
        </w:tc>
      </w:tr>
      <w:tr>
        <w:trPr>
          <w:trHeight w:val="14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583.0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502.2</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315.1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195.9</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12.7</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275.6</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 net</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49.3</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205.9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231.8</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49.3</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r>
      <w:tr>
        <w:trPr>
          <w:trHeight w:val="15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2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156.6</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174.8</w:t>
            </w:r>
          </w:p>
        </w:tc>
      </w:tr>
      <w:tr>
        <w:trPr>
          <w:trHeight w:val="153"/>
        </w:trPr>
        <w:tc>
          <w:tcPr>
            <w:tcW w:w="6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20" w:type="dxa"/>
            <w:vAlign w:val="bottom"/>
          </w:tcPr>
          <w:p>
            <w:pPr>
              <w:spacing w:after="0"/>
              <w:rPr>
                <w:sz w:val="13"/>
                <w:szCs w:val="13"/>
                <w:color w:val="auto"/>
              </w:rPr>
            </w:pPr>
          </w:p>
        </w:tc>
        <w:tc>
          <w:tcPr>
            <w:tcW w:w="640" w:type="dxa"/>
            <w:vAlign w:val="bottom"/>
          </w:tcPr>
          <w:p>
            <w:pPr>
              <w:jc w:val="right"/>
              <w:ind w:right="501"/>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0.56</w:t>
            </w:r>
          </w:p>
        </w:tc>
        <w:tc>
          <w:tcPr>
            <w:tcW w:w="3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c>
          <w:tcPr>
            <w:tcW w:w="2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171"/>
        </w:trPr>
        <w:tc>
          <w:tcPr>
            <w:tcW w:w="6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127.9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130.7</w:t>
            </w:r>
          </w:p>
        </w:tc>
      </w:tr>
      <w:tr>
        <w:trPr>
          <w:trHeight w:val="155"/>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129.7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980"/>
          </w:cols>
          <w:pgMar w:left="460" w:top="638" w:right="4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60" w:type="dxa"/>
            <w:vAlign w:val="bottom"/>
            <w:tcBorders>
              <w:bottom w:val="single" w:sz="8" w:color="auto"/>
            </w:tcBorders>
          </w:tcPr>
          <w:p>
            <w:pPr>
              <w:spacing w:after="0"/>
              <w:rPr>
                <w:sz w:val="12"/>
                <w:szCs w:val="12"/>
                <w:color w:val="auto"/>
              </w:rPr>
            </w:pPr>
          </w:p>
        </w:tc>
      </w:tr>
      <w:tr>
        <w:trPr>
          <w:trHeight w:val="162"/>
        </w:trPr>
        <w:tc>
          <w:tcPr>
            <w:tcW w:w="406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jc w:val="center"/>
              <w:ind w:right="124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380" w:type="dxa"/>
            <w:vAlign w:val="bottom"/>
            <w:gridSpan w:val="2"/>
            <w:shd w:val="clear" w:color="auto" w:fill="CCEEFF"/>
          </w:tcPr>
          <w:p>
            <w:pPr>
              <w:jc w:val="right"/>
              <w:ind w:right="1162"/>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220.4</w:t>
            </w: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415.6</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0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42"/>
        </w:trPr>
        <w:tc>
          <w:tcPr>
            <w:tcW w:w="40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739.4</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592.7</w:t>
            </w:r>
          </w:p>
        </w:tc>
      </w:tr>
      <w:tr>
        <w:trPr>
          <w:trHeight w:val="144"/>
        </w:trPr>
        <w:tc>
          <w:tcPr>
            <w:tcW w:w="40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141.8</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5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0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69"/>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0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116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993.7</w:t>
            </w:r>
          </w:p>
        </w:tc>
        <w:tc>
          <w:tcPr>
            <w:tcW w:w="3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320"/>
        </w:trPr>
        <w:tc>
          <w:tcPr>
            <w:tcW w:w="406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1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15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4380" w:type="dxa"/>
            <w:vAlign w:val="bottom"/>
            <w:gridSpan w:val="2"/>
          </w:tcPr>
          <w:p>
            <w:pPr>
              <w:jc w:val="right"/>
              <w:ind w:right="1162"/>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0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164.4</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142"/>
        </w:trPr>
        <w:tc>
          <w:tcPr>
            <w:tcW w:w="40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290.4</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w:t>
            </w:r>
          </w:p>
        </w:tc>
      </w:tr>
      <w:tr>
        <w:trPr>
          <w:trHeight w:val="144"/>
        </w:trPr>
        <w:tc>
          <w:tcPr>
            <w:tcW w:w="40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833.1</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0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42"/>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0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1,042.9</w:t>
            </w:r>
          </w:p>
        </w:tc>
      </w:tr>
      <w:tr>
        <w:trPr>
          <w:trHeight w:val="144"/>
        </w:trPr>
        <w:tc>
          <w:tcPr>
            <w:tcW w:w="40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r>
      <w:tr>
        <w:trPr>
          <w:trHeight w:val="153"/>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r>
      <w:tr>
        <w:trPr>
          <w:trHeight w:val="15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0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(566.6)</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w:t>
            </w:r>
          </w:p>
        </w:tc>
      </w:tr>
      <w:tr>
        <w:trPr>
          <w:trHeight w:val="142"/>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08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(309.9)</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w:t>
            </w:r>
          </w:p>
        </w:tc>
      </w:tr>
      <w:tr>
        <w:trPr>
          <w:trHeight w:val="142"/>
        </w:trPr>
        <w:tc>
          <w:tcPr>
            <w:tcW w:w="40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080" w:type="dxa"/>
            <w:vAlign w:val="bottom"/>
          </w:tcPr>
          <w:p>
            <w:pPr>
              <w:spacing w:after="0"/>
              <w:rPr>
                <w:sz w:val="12"/>
                <w:szCs w:val="12"/>
                <w:color w:val="auto"/>
              </w:rPr>
            </w:pPr>
          </w:p>
        </w:tc>
        <w:tc>
          <w:tcPr>
            <w:tcW w:w="1300" w:type="dxa"/>
            <w:vAlign w:val="bottom"/>
            <w:tcBorders>
              <w:bottom w:val="single" w:sz="8" w:color="auto"/>
            </w:tcBorders>
          </w:tcPr>
          <w:p>
            <w:pPr>
              <w:jc w:val="right"/>
              <w:ind w:right="116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993.7</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r>
      <w:tr>
        <w:trPr>
          <w:trHeight w:val="20"/>
        </w:trPr>
        <w:tc>
          <w:tcPr>
            <w:tcW w:w="714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8440" w:type="dxa"/>
            <w:vAlign w:val="bottom"/>
            <w:gridSpan w:val="3"/>
          </w:tcPr>
          <w:p>
            <w:pPr>
              <w:jc w:val="center"/>
              <w:ind w:left="2700"/>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4060" w:type="dxa"/>
            <w:vAlign w:val="bottom"/>
          </w:tcPr>
          <w:p>
            <w:pPr>
              <w:spacing w:after="0"/>
              <w:rPr>
                <w:sz w:val="12"/>
                <w:szCs w:val="12"/>
                <w:color w:val="auto"/>
              </w:rPr>
            </w:pPr>
          </w:p>
        </w:tc>
        <w:tc>
          <w:tcPr>
            <w:tcW w:w="4380" w:type="dxa"/>
            <w:vAlign w:val="bottom"/>
            <w:gridSpan w:val="2"/>
          </w:tcPr>
          <w:p>
            <w:pPr>
              <w:jc w:val="center"/>
              <w:ind w:right="124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862"/>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c>
          <w:tcPr>
            <w:tcW w:w="460" w:type="dxa"/>
            <w:vAlign w:val="bottom"/>
            <w:tcBorders>
              <w:bottom w:val="single" w:sz="8" w:color="auto"/>
            </w:tcBorders>
          </w:tcPr>
          <w:p>
            <w:pPr>
              <w:spacing w:after="0"/>
              <w:rPr>
                <w:sz w:val="13"/>
                <w:szCs w:val="13"/>
                <w:color w:val="auto"/>
              </w:rPr>
            </w:pPr>
          </w:p>
        </w:tc>
      </w:tr>
      <w:tr>
        <w:trPr>
          <w:trHeight w:val="134"/>
        </w:trPr>
        <w:tc>
          <w:tcPr>
            <w:tcW w:w="406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1"/>
                <w:szCs w:val="11"/>
                <w:color w:val="auto"/>
              </w:rPr>
            </w:pPr>
          </w:p>
        </w:tc>
      </w:tr>
      <w:tr>
        <w:trPr>
          <w:trHeight w:val="134"/>
        </w:trPr>
        <w:tc>
          <w:tcPr>
            <w:tcW w:w="40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0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4380" w:type="dxa"/>
            <w:vAlign w:val="bottom"/>
            <w:gridSpan w:val="2"/>
          </w:tcPr>
          <w:p>
            <w:pPr>
              <w:jc w:val="right"/>
              <w:ind w:right="1162"/>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w:t>
            </w:r>
          </w:p>
        </w:tc>
      </w:tr>
      <w:tr>
        <w:trPr>
          <w:trHeight w:val="15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w:t>
            </w:r>
          </w:p>
        </w:tc>
      </w:tr>
      <w:tr>
        <w:trPr>
          <w:trHeight w:val="15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30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cash equivalents and restricted cash</w:t>
            </w:r>
          </w:p>
        </w:tc>
        <w:tc>
          <w:tcPr>
            <w:tcW w:w="3080" w:type="dxa"/>
            <w:vAlign w:val="bottom"/>
          </w:tcPr>
          <w:p>
            <w:pPr>
              <w:spacing w:after="0"/>
              <w:rPr>
                <w:sz w:val="12"/>
                <w:szCs w:val="12"/>
                <w:color w:val="auto"/>
              </w:rPr>
            </w:pPr>
          </w:p>
        </w:tc>
        <w:tc>
          <w:tcPr>
            <w:tcW w:w="1300" w:type="dxa"/>
            <w:vAlign w:val="bottom"/>
            <w:tcBorders>
              <w:bottom w:val="single" w:sz="8" w:color="auto"/>
            </w:tcBorders>
          </w:tcPr>
          <w:p>
            <w:pPr>
              <w:jc w:val="right"/>
              <w:ind w:right="116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w:t>
            </w:r>
          </w:p>
        </w:tc>
      </w:tr>
      <w:tr>
        <w:trPr>
          <w:trHeight w:val="20"/>
        </w:trPr>
        <w:tc>
          <w:tcPr>
            <w:tcW w:w="4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20"/>
          </w:cols>
          <w:pgMar w:left="340" w:top="63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 and Adjusted gross profit margin</w:t>
      </w:r>
    </w:p>
    <w:p>
      <w:pPr>
        <w:spacing w:after="0" w:line="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BellRing believes Adjusted gross profit is useful to investors in evaluating BellRing’s underlying profitability of its revenue-generating activities as it excludes mark-to-market adjustments on commodity hedges (which are primarily non-cash and not consistent across periods; see the explanation below for more information). BellRing believes Adjusted gross profit margin (Adjusted gross profit as a percentage of net sales) is useful to investors in evaluating BellRing’s operating performance because it allows for more meaningful comparison of operating performance across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right="3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 for legal matters</w:t>
      </w:r>
      <w:r>
        <w:rPr>
          <w:rFonts w:ascii="Times New Roman" w:cs="Times New Roman" w:eastAsia="Times New Roman" w:hAnsi="Times New Roman"/>
          <w:sz w:val="12"/>
          <w:szCs w:val="12"/>
          <w:color w:val="auto"/>
        </w:rPr>
        <w:t>: BellRing has excluded gains and losses recorded to recognize the anticipated or actual resolution of certain litigation as BellRing believes such gains and losses do not reflect expected ongoing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operating income and expenses and do not contribute to a meaningful evaluation of BellRing’s current operating performance or comparisons of BellRing’s operating performance to other periods.</w:t>
      </w:r>
    </w:p>
    <w:p>
      <w:pPr>
        <w:ind w:left="4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non-cash items and the amount and frequency of such adjustments are not consistent.</w:t>
      </w:r>
    </w:p>
    <w:p>
      <w:pPr>
        <w:ind w:left="420" w:right="48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200" w:hanging="212"/>
        <w:spacing w:after="0" w:line="26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provision for legal matters, mark-to-market adjustments on commodity hedges and foreign currency gain/loss on intercompany loans. Additionally, Adjusted EBITDA reflects an adjustment for the following item:</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641" w:right="319" w:bottom="1440" w:gutter="0" w:footer="0" w:header="0"/>
        </w:sectPr>
      </w:pPr>
    </w:p>
    <w:bookmarkStart w:id="11" w:name="page12"/>
    <w:bookmarkEnd w:id="11"/>
    <w:p>
      <w:pPr>
        <w:ind w:left="420" w:hanging="212"/>
        <w:spacing w:after="0" w:line="258" w:lineRule="auto"/>
        <w:tabs>
          <w:tab w:leader="none" w:pos="4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RECONCILIATION OF GROSS PROFIT TO ADJUSTED GROSS PROFIT (Unaudited)</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60" w:type="dxa"/>
            <w:vAlign w:val="bottom"/>
          </w:tcPr>
          <w:p>
            <w:pPr>
              <w:spacing w:after="0"/>
              <w:rPr>
                <w:sz w:val="12"/>
                <w:szCs w:val="12"/>
                <w:color w:val="auto"/>
              </w:rPr>
            </w:pPr>
          </w:p>
        </w:tc>
        <w:tc>
          <w:tcPr>
            <w:tcW w:w="1940" w:type="dxa"/>
            <w:vAlign w:val="bottom"/>
            <w:tcBorders>
              <w:bottom w:val="single" w:sz="8" w:color="auto"/>
            </w:tcBorders>
            <w:gridSpan w:val="4"/>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34"/>
        </w:trPr>
        <w:tc>
          <w:tcPr>
            <w:tcW w:w="61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193.6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189.9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583.0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502.2</w:t>
            </w:r>
          </w:p>
        </w:tc>
      </w:tr>
      <w:tr>
        <w:trPr>
          <w:trHeight w:val="153"/>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10.2</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0.4</w:t>
            </w:r>
          </w:p>
        </w:tc>
      </w:tr>
      <w:tr>
        <w:trPr>
          <w:trHeight w:val="162"/>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192.4</w:t>
            </w:r>
          </w:p>
        </w:tc>
        <w:tc>
          <w:tcPr>
            <w:tcW w:w="2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187.6</w:t>
            </w:r>
          </w:p>
        </w:tc>
        <w:tc>
          <w:tcPr>
            <w:tcW w:w="3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593.2</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502.6</w:t>
            </w:r>
          </w:p>
        </w:tc>
      </w:tr>
      <w:tr>
        <w:trPr>
          <w:trHeight w:val="149"/>
        </w:trPr>
        <w:tc>
          <w:tcPr>
            <w:tcW w:w="6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 as a percentage of Net Sales</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35.4 %</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36.8 %</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34.9 %</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34.9 %</w:t>
            </w: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 as a percentage of Net Sales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35.1 %</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36.4 %</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35.6 %</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20"/>
          </w:cols>
          <w:pgMar w:left="300" w:top="640" w:right="37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86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34"/>
        </w:trPr>
        <w:tc>
          <w:tcPr>
            <w:tcW w:w="62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156.6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174.8</w:t>
            </w:r>
          </w:p>
        </w:tc>
      </w:tr>
      <w:tr>
        <w:trPr>
          <w:trHeight w:val="171"/>
        </w:trPr>
        <w:tc>
          <w:tcPr>
            <w:tcW w:w="6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69.0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6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77.8</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17.9</w:t>
            </w:r>
          </w:p>
        </w:tc>
      </w:tr>
      <w:tr>
        <w:trPr>
          <w:trHeight w:val="153"/>
        </w:trPr>
        <w:tc>
          <w:tcPr>
            <w:tcW w:w="62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3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32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215.7</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188.4</w:t>
            </w:r>
          </w:p>
        </w:tc>
      </w:tr>
      <w:tr>
        <w:trPr>
          <w:trHeight w:val="20"/>
        </w:trPr>
        <w:tc>
          <w:tcPr>
            <w:tcW w:w="6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40" w:hanging="130"/>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using a rate of 24.0%.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60" w:type="dxa"/>
            <w:vAlign w:val="bottom"/>
          </w:tcPr>
          <w:p>
            <w:pPr>
              <w:spacing w:after="0"/>
              <w:rPr>
                <w:sz w:val="11"/>
                <w:szCs w:val="11"/>
                <w:color w:val="auto"/>
              </w:rPr>
            </w:pPr>
          </w:p>
        </w:tc>
        <w:tc>
          <w:tcPr>
            <w:tcW w:w="4280" w:type="dxa"/>
            <w:vAlign w:val="bottom"/>
            <w:gridSpan w:val="4"/>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7"/>
              </w:rPr>
              <w:t>RECONCILIATION OF DILUTED EARNINGS PER COMMON SHARE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2"/>
        </w:trPr>
        <w:tc>
          <w:tcPr>
            <w:tcW w:w="3160" w:type="dxa"/>
            <w:vAlign w:val="bottom"/>
          </w:tcPr>
          <w:p>
            <w:pPr>
              <w:spacing w:after="0"/>
              <w:rPr>
                <w:sz w:val="12"/>
                <w:szCs w:val="12"/>
                <w:color w:val="auto"/>
              </w:rPr>
            </w:pPr>
          </w:p>
        </w:tc>
        <w:tc>
          <w:tcPr>
            <w:tcW w:w="4280" w:type="dxa"/>
            <w:vAlign w:val="bottom"/>
            <w:gridSpan w:val="4"/>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7"/>
              </w:rPr>
              <w:t>TO ADJUSTED DILUTED EARNINGS PER COMMON SHARE (Unaudited)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31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240" w:type="dxa"/>
            <w:vAlign w:val="bottom"/>
          </w:tcPr>
          <w:p>
            <w:pPr>
              <w:spacing w:after="0"/>
              <w:rPr>
                <w:sz w:val="13"/>
                <w:szCs w:val="13"/>
                <w:color w:val="auto"/>
              </w:rPr>
            </w:pPr>
          </w:p>
        </w:tc>
        <w:tc>
          <w:tcPr>
            <w:tcW w:w="1980" w:type="dxa"/>
            <w:vAlign w:val="bottom"/>
            <w:gridSpan w:val="4"/>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34"/>
        </w:trPr>
        <w:tc>
          <w:tcPr>
            <w:tcW w:w="316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30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0.56</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1.32</w:t>
            </w:r>
          </w:p>
        </w:tc>
      </w:tr>
      <w:tr>
        <w:trPr>
          <w:trHeight w:val="180"/>
        </w:trPr>
        <w:tc>
          <w:tcPr>
            <w:tcW w:w="31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31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0.53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0.53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0.13</w:t>
            </w:r>
          </w:p>
        </w:tc>
      </w:tr>
      <w:tr>
        <w:trPr>
          <w:trHeight w:val="153"/>
        </w:trPr>
        <w:tc>
          <w:tcPr>
            <w:tcW w:w="31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1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3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0.51</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0.59</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0.13</w:t>
            </w:r>
          </w:p>
        </w:tc>
      </w:tr>
      <w:tr>
        <w:trPr>
          <w:trHeight w:val="153"/>
        </w:trPr>
        <w:tc>
          <w:tcPr>
            <w:tcW w:w="31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24"/>
        </w:trPr>
        <w:tc>
          <w:tcPr>
            <w:tcW w:w="316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Common Share</w:t>
            </w:r>
          </w:p>
        </w:tc>
        <w:tc>
          <w:tcPr>
            <w:tcW w:w="30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0.55</w:t>
            </w:r>
          </w:p>
        </w:tc>
        <w:tc>
          <w:tcPr>
            <w:tcW w:w="22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0.54</w:t>
            </w:r>
          </w:p>
        </w:tc>
        <w:tc>
          <w:tcPr>
            <w:tcW w:w="32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1.66</w:t>
            </w:r>
          </w:p>
        </w:tc>
        <w:tc>
          <w:tcPr>
            <w:tcW w:w="22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1.42</w:t>
            </w:r>
          </w:p>
        </w:tc>
      </w:tr>
      <w:tr>
        <w:trPr>
          <w:trHeight w:val="20"/>
        </w:trPr>
        <w:tc>
          <w:tcPr>
            <w:tcW w:w="3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40" w:hanging="130"/>
        <w:spacing w:after="0"/>
        <w:tabs>
          <w:tab w:leader="none" w:pos="14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using a rate of 24.0%.</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980"/>
          </w:cols>
          <w:pgMar w:left="460" w:top="641" w:right="45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80" w:type="dxa"/>
            <w:vAlign w:val="bottom"/>
          </w:tcPr>
          <w:p>
            <w:pPr>
              <w:spacing w:after="0"/>
              <w:rPr>
                <w:sz w:val="12"/>
                <w:szCs w:val="12"/>
                <w:color w:val="auto"/>
              </w:rPr>
            </w:pPr>
          </w:p>
        </w:tc>
        <w:tc>
          <w:tcPr>
            <w:tcW w:w="192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Nine Months Ended June 30,</w:t>
            </w:r>
          </w:p>
        </w:tc>
      </w:tr>
      <w:tr>
        <w:trPr>
          <w:trHeight w:val="134"/>
        </w:trPr>
        <w:tc>
          <w:tcPr>
            <w:tcW w:w="6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73.7</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156.6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174.8</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49.3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57.0</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18.4</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49.3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43.8</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13.8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31.8</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68.1</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69.0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17.4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15.8</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64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0.1</w:t>
            </w:r>
          </w:p>
        </w:tc>
      </w:tr>
      <w:tr>
        <w:trPr>
          <w:trHeight w:val="158"/>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64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120.3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119.5</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364.2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323.7</w:t>
            </w:r>
          </w:p>
        </w:tc>
      </w:tr>
      <w:tr>
        <w:trPr>
          <w:trHeight w:val="169"/>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14.3 %</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9.4 %</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12.1 %</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22.0 %</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23.2 %</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21.8 %</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20"/>
          </w:cols>
          <w:pgMar w:left="340" w:top="749" w:right="33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2025-08-04T16:17:21Z</dcterms:created>
  <dcterms:modified xsi:type="dcterms:W3CDTF">2025-08-04T16:17:21Z</dcterms:modified>
</cp:coreProperties>
</file>