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71881509.xml.htm"/>
      <w:bookmarkStart w:id="1" w:name="kswkform4_1771881509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CORNILLE DOUGLAS J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BELLRING BRANDS,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 N BRENTWOOD BLVD., SUITE 1550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ST. LOUIS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MO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63105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BELLRING BRANDS,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BRBR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GROWTH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02/19/2026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43"/>
        <w:gridCol w:w="902"/>
        <w:gridCol w:w="772"/>
        <w:gridCol w:w="599"/>
        <w:gridCol w:w="347"/>
        <w:gridCol w:w="970"/>
        <w:gridCol w:w="451"/>
        <w:gridCol w:w="752"/>
        <w:gridCol w:w="1156"/>
        <w:gridCol w:w="993"/>
        <w:gridCol w:w="920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43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6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73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5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43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7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5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43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02/19/2026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7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27,209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4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7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18.98</w:t>
            </w:r>
            <w:r>
              <w:rPr/>
              <w:t xml:space="preserve"> </w:t>
            </w:r>
          </w:p>
        </w:tc>
        <w:tc>
          <w:tcPr>
            <w:tcW w:w="11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109,077</w:t>
            </w:r>
          </w:p>
        </w:tc>
        <w:tc>
          <w:tcPr>
            <w:tcW w:w="99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Each restricted stock unit represents a contingent right to receive one share of Common Stock of Issuer granted under the BellRing Brands, Inc. 2019 Long-Term Incentive Plan. The restricted stock units vest in full on the first anniversary of the date of grant subject to the terms of the award agreement.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Craig L. Rosenthal, Attorney in 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02/23/2026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790179" TargetMode="External"/><Relationship Id="rId5" Type="http://schemas.openxmlformats.org/officeDocument/2006/relationships/hyperlink" Target="http://www.sec.gov/cgi-bin/browse-edgar?action=getcompany&amp;CIK=0001772016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623</Words>
  <Characters>3352</Characters>
  <CharactersWithSpaces>3914</CharactersWithSpaces>
  <Paragraphs>97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