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32"/>
          <w:szCs w:val="32"/>
          <w:b w:val="1"/>
          <w:bCs w:val="1"/>
          <w:color w:val="auto"/>
        </w:rPr>
        <w:drawing>
          <wp:anchor simplePos="0" relativeHeight="251657728" behindDoc="1" locked="0" layoutInCell="0" allowOverlap="1">
            <wp:simplePos x="0" y="0"/>
            <wp:positionH relativeFrom="page">
              <wp:posOffset>276860</wp:posOffset>
            </wp:positionH>
            <wp:positionV relativeFrom="page">
              <wp:posOffset>166370</wp:posOffset>
            </wp:positionV>
            <wp:extent cx="699516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995160" cy="8255"/>
                    </a:xfrm>
                    <a:prstGeom prst="rect">
                      <a:avLst/>
                    </a:prstGeom>
                    <a:noFill/>
                  </pic:spPr>
                </pic:pic>
              </a:graphicData>
            </a:graphic>
          </wp:anchor>
        </w:drawing>
        <w:drawing>
          <wp:anchor simplePos="0" relativeHeight="251657728" behindDoc="1" locked="0" layoutInCell="0" allowOverlap="1">
            <wp:simplePos x="0" y="0"/>
            <wp:positionH relativeFrom="page">
              <wp:posOffset>276860</wp:posOffset>
            </wp:positionH>
            <wp:positionV relativeFrom="page">
              <wp:posOffset>208915</wp:posOffset>
            </wp:positionV>
            <wp:extent cx="699516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995160" cy="8255"/>
                    </a:xfrm>
                    <a:prstGeom prst="rect">
                      <a:avLst/>
                    </a:prstGeom>
                    <a:noFill/>
                  </pic:spPr>
                </pic:pic>
              </a:graphicData>
            </a:graphic>
          </wp:anchor>
        </w:drawing>
        <w:t>UNITED STATES</w:t>
      </w:r>
    </w:p>
    <w:p>
      <w:pPr>
        <w:spacing w:after="0" w:line="31"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SECURITIES AND EXCHANGE COMMISSION</w:t>
      </w:r>
    </w:p>
    <w:p>
      <w:pPr>
        <w:jc w:val="center"/>
        <w:spacing w:after="0"/>
        <w:rPr>
          <w:sz w:val="20"/>
          <w:szCs w:val="20"/>
          <w:color w:val="auto"/>
        </w:rPr>
      </w:pPr>
      <w:r>
        <w:rPr>
          <w:rFonts w:ascii="Arial" w:cs="Arial" w:eastAsia="Arial" w:hAnsi="Arial"/>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2757805</wp:posOffset>
            </wp:positionH>
            <wp:positionV relativeFrom="paragraph">
              <wp:posOffset>227330</wp:posOffset>
            </wp:positionV>
            <wp:extent cx="147447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326"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FORM 8-K/A</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2757805</wp:posOffset>
            </wp:positionH>
            <wp:positionV relativeFrom="paragraph">
              <wp:posOffset>247015</wp:posOffset>
            </wp:positionV>
            <wp:extent cx="147447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371"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CURRENT REPORT</w:t>
      </w:r>
    </w:p>
    <w:p>
      <w:pPr>
        <w:spacing w:after="0" w:line="4"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Pursuant to Section 13 OR 15(d)</w:t>
      </w:r>
    </w:p>
    <w:p>
      <w:pPr>
        <w:jc w:val="center"/>
        <w:spacing w:after="0"/>
        <w:rPr>
          <w:sz w:val="20"/>
          <w:szCs w:val="20"/>
          <w:color w:val="auto"/>
        </w:rPr>
      </w:pPr>
      <w:r>
        <w:rPr>
          <w:rFonts w:ascii="Arial" w:cs="Arial" w:eastAsia="Arial" w:hAnsi="Arial"/>
          <w:sz w:val="22"/>
          <w:szCs w:val="22"/>
          <w:b w:val="1"/>
          <w:bCs w:val="1"/>
          <w:color w:val="auto"/>
        </w:rPr>
        <w:t>of The Securities Exchange Act of 1934</w:t>
      </w:r>
    </w:p>
    <w:p>
      <w:pPr>
        <w:spacing w:after="0" w:line="182"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Date of Report (Date of earliest event reported): March 10, 2022</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2757805</wp:posOffset>
            </wp:positionH>
            <wp:positionV relativeFrom="paragraph">
              <wp:posOffset>233680</wp:posOffset>
            </wp:positionV>
            <wp:extent cx="147447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474470" cy="8255"/>
                    </a:xfrm>
                    <a:prstGeom prst="rect">
                      <a:avLst/>
                    </a:prstGeom>
                    <a:noFill/>
                  </pic:spPr>
                </pic:pic>
              </a:graphicData>
            </a:graphic>
          </wp:anchor>
        </w:drawing>
        <w:drawing>
          <wp:anchor simplePos="0" relativeHeight="251657728" behindDoc="1" locked="0" layoutInCell="0" allowOverlap="1">
            <wp:simplePos x="0" y="0"/>
            <wp:positionH relativeFrom="column">
              <wp:posOffset>2894965</wp:posOffset>
            </wp:positionH>
            <wp:positionV relativeFrom="paragraph">
              <wp:posOffset>422275</wp:posOffset>
            </wp:positionV>
            <wp:extent cx="1209040" cy="61722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209040" cy="61722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390" w:lineRule="exact"/>
        <w:rPr>
          <w:sz w:val="24"/>
          <w:szCs w:val="24"/>
          <w:color w:val="auto"/>
        </w:rPr>
      </w:pPr>
    </w:p>
    <w:p>
      <w:pPr>
        <w:jc w:val="center"/>
        <w:spacing w:after="0"/>
        <w:rPr>
          <w:sz w:val="20"/>
          <w:szCs w:val="20"/>
          <w:color w:val="auto"/>
        </w:rPr>
      </w:pPr>
      <w:r>
        <w:rPr>
          <w:rFonts w:ascii="Arial" w:cs="Arial" w:eastAsia="Arial" w:hAnsi="Arial"/>
          <w:sz w:val="43"/>
          <w:szCs w:val="43"/>
          <w:b w:val="1"/>
          <w:bCs w:val="1"/>
          <w:color w:val="auto"/>
        </w:rPr>
        <w:t>BellRing Brands, Inc.</w:t>
      </w:r>
    </w:p>
    <w:p>
      <w:pPr>
        <w:spacing w:after="0" w:line="50"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2757805</wp:posOffset>
            </wp:positionH>
            <wp:positionV relativeFrom="paragraph">
              <wp:posOffset>227330</wp:posOffset>
            </wp:positionV>
            <wp:extent cx="147447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474470" cy="8890"/>
                    </a:xfrm>
                    <a:prstGeom prst="rect">
                      <a:avLst/>
                    </a:prstGeom>
                    <a:noFill/>
                  </pic:spPr>
                </pic:pic>
              </a:graphicData>
            </a:graphic>
          </wp:anchor>
        </w:drawing>
      </w:r>
    </w:p>
    <w:p>
      <w:pPr>
        <w:sectPr>
          <w:pgSz w:w="11900" w:h="16838" w:orient="portrait"/>
          <w:cols w:equalWidth="0" w:num="1">
            <w:col w:w="11020"/>
          </w:cols>
          <w:pgMar w:left="440" w:top="368" w:right="439" w:bottom="1440" w:gutter="0" w:footer="0" w:header="0"/>
        </w:sectPr>
      </w:pPr>
    </w:p>
    <w:p>
      <w:pPr>
        <w:spacing w:after="0" w:line="200" w:lineRule="exact"/>
        <w:rPr>
          <w:sz w:val="24"/>
          <w:szCs w:val="24"/>
          <w:color w:val="auto"/>
        </w:rPr>
      </w:pPr>
    </w:p>
    <w:p>
      <w:pPr>
        <w:spacing w:after="0" w:line="200" w:lineRule="exact"/>
        <w:rPr>
          <w:sz w:val="24"/>
          <w:szCs w:val="24"/>
          <w:color w:val="auto"/>
        </w:rPr>
      </w:pPr>
    </w:p>
    <w:p>
      <w:pPr>
        <w:spacing w:after="0" w:line="237" w:lineRule="exact"/>
        <w:rPr>
          <w:sz w:val="24"/>
          <w:szCs w:val="24"/>
          <w:color w:val="auto"/>
        </w:rPr>
      </w:pPr>
    </w:p>
    <w:p>
      <w:pPr>
        <w:ind w:left="1500"/>
        <w:spacing w:after="0"/>
        <w:rPr>
          <w:sz w:val="20"/>
          <w:szCs w:val="20"/>
          <w:color w:val="auto"/>
        </w:rPr>
      </w:pPr>
      <w:r>
        <w:rPr>
          <w:rFonts w:ascii="Arial" w:cs="Arial" w:eastAsia="Arial" w:hAnsi="Arial"/>
          <w:sz w:val="16"/>
          <w:szCs w:val="16"/>
          <w:b w:val="1"/>
          <w:bCs w:val="1"/>
          <w:color w:val="auto"/>
        </w:rPr>
        <w:t>Delaware</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00" w:lineRule="exact"/>
        <w:rPr>
          <w:sz w:val="24"/>
          <w:szCs w:val="24"/>
          <w:color w:val="auto"/>
        </w:rPr>
      </w:pPr>
    </w:p>
    <w:p>
      <w:pPr>
        <w:spacing w:after="0" w:line="217" w:lineRule="exact"/>
        <w:rPr>
          <w:sz w:val="24"/>
          <w:szCs w:val="24"/>
          <w:color w:val="auto"/>
        </w:rPr>
      </w:pPr>
    </w:p>
    <w:p>
      <w:pPr>
        <w:jc w:val="center"/>
        <w:ind w:right="2100"/>
        <w:spacing w:after="0"/>
        <w:rPr>
          <w:sz w:val="20"/>
          <w:szCs w:val="20"/>
          <w:color w:val="auto"/>
        </w:rPr>
      </w:pPr>
      <w:r>
        <w:rPr>
          <w:rFonts w:ascii="Arial" w:cs="Arial" w:eastAsia="Arial" w:hAnsi="Arial"/>
          <w:sz w:val="16"/>
          <w:szCs w:val="16"/>
          <w:b w:val="1"/>
          <w:bCs w:val="1"/>
          <w:color w:val="auto"/>
        </w:rPr>
        <w:t>001-39093</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00" w:lineRule="exact"/>
        <w:rPr>
          <w:sz w:val="24"/>
          <w:szCs w:val="24"/>
          <w:color w:val="auto"/>
        </w:rPr>
      </w:pPr>
    </w:p>
    <w:p>
      <w:pPr>
        <w:spacing w:after="0" w:line="217" w:lineRule="exact"/>
        <w:rPr>
          <w:sz w:val="24"/>
          <w:szCs w:val="24"/>
          <w:color w:val="auto"/>
        </w:rPr>
      </w:pPr>
    </w:p>
    <w:p>
      <w:pPr>
        <w:spacing w:after="0"/>
        <w:rPr>
          <w:sz w:val="20"/>
          <w:szCs w:val="20"/>
          <w:color w:val="auto"/>
        </w:rPr>
      </w:pPr>
      <w:r>
        <w:rPr>
          <w:rFonts w:ascii="Arial" w:cs="Arial" w:eastAsia="Arial" w:hAnsi="Arial"/>
          <w:sz w:val="16"/>
          <w:szCs w:val="16"/>
          <w:b w:val="1"/>
          <w:bCs w:val="1"/>
          <w:color w:val="auto"/>
        </w:rPr>
        <w:t>87-3296749</w:t>
      </w:r>
    </w:p>
    <w:p>
      <w:pPr>
        <w:spacing w:after="0" w:line="31" w:lineRule="exact"/>
        <w:rPr>
          <w:sz w:val="24"/>
          <w:szCs w:val="24"/>
          <w:color w:val="auto"/>
        </w:rPr>
      </w:pPr>
    </w:p>
    <w:p>
      <w:pPr>
        <w:sectPr>
          <w:pgSz w:w="11900" w:h="16838" w:orient="portrait"/>
          <w:cols w:equalWidth="0" w:num="3">
            <w:col w:w="4500" w:space="720"/>
            <w:col w:w="2880" w:space="720"/>
            <w:col w:w="2200"/>
          </w:cols>
          <w:pgMar w:left="440" w:top="368" w:right="439" w:bottom="1440" w:gutter="0" w:footer="0" w:header="0"/>
          <w:type w:val="continuous"/>
        </w:sectPr>
      </w:pPr>
    </w:p>
    <w:p>
      <w:pPr>
        <w:spacing w:after="0" w:line="12" w:lineRule="exact"/>
        <w:rPr>
          <w:sz w:val="24"/>
          <w:szCs w:val="24"/>
          <w:color w:val="auto"/>
        </w:rPr>
      </w:pPr>
    </w:p>
    <w:p>
      <w:pPr>
        <w:jc w:val="center"/>
        <w:ind w:right="760"/>
        <w:spacing w:after="0"/>
        <w:rPr>
          <w:sz w:val="20"/>
          <w:szCs w:val="20"/>
          <w:color w:val="auto"/>
        </w:rPr>
      </w:pPr>
      <w:r>
        <w:rPr>
          <w:rFonts w:ascii="Arial" w:cs="Arial" w:eastAsia="Arial" w:hAnsi="Arial"/>
          <w:sz w:val="13"/>
          <w:szCs w:val="13"/>
          <w:b w:val="1"/>
          <w:bCs w:val="1"/>
          <w:color w:val="auto"/>
        </w:rPr>
        <w:t>(State or other jurisdiction</w:t>
      </w:r>
    </w:p>
    <w:p>
      <w:pPr>
        <w:jc w:val="center"/>
        <w:ind w:right="760"/>
        <w:spacing w:after="0"/>
        <w:rPr>
          <w:sz w:val="20"/>
          <w:szCs w:val="20"/>
          <w:color w:val="auto"/>
        </w:rPr>
      </w:pPr>
      <w:r>
        <w:rPr>
          <w:rFonts w:ascii="Arial" w:cs="Arial" w:eastAsia="Arial" w:hAnsi="Arial"/>
          <w:sz w:val="14"/>
          <w:szCs w:val="14"/>
          <w:b w:val="1"/>
          <w:bCs w:val="1"/>
          <w:color w:val="auto"/>
        </w:rPr>
        <w:t>of incorporation)</w:t>
      </w:r>
    </w:p>
    <w:p>
      <w:pPr>
        <w:spacing w:after="0" w:line="20" w:lineRule="exact"/>
        <w:rPr>
          <w:sz w:val="24"/>
          <w:szCs w:val="24"/>
          <w:color w:val="auto"/>
        </w:rPr>
      </w:pPr>
      <w:r>
        <w:rPr>
          <w:sz w:val="24"/>
          <w:szCs w:val="24"/>
          <w:color w:val="auto"/>
        </w:rPr>
        <w:br w:type="column"/>
      </w:r>
    </w:p>
    <w:p>
      <w:pPr>
        <w:ind w:left="20"/>
        <w:spacing w:after="0"/>
        <w:rPr>
          <w:sz w:val="20"/>
          <w:szCs w:val="20"/>
          <w:color w:val="auto"/>
        </w:rPr>
      </w:pPr>
      <w:r>
        <w:rPr>
          <w:rFonts w:ascii="Arial" w:cs="Arial" w:eastAsia="Arial" w:hAnsi="Arial"/>
          <w:sz w:val="12"/>
          <w:szCs w:val="12"/>
          <w:b w:val="1"/>
          <w:bCs w:val="1"/>
          <w:color w:val="auto"/>
        </w:rPr>
        <w:t>(Commission</w:t>
      </w:r>
    </w:p>
    <w:p>
      <w:pPr>
        <w:spacing w:after="0" w:line="4" w:lineRule="exact"/>
        <w:rPr>
          <w:sz w:val="24"/>
          <w:szCs w:val="24"/>
          <w:color w:val="auto"/>
        </w:rPr>
      </w:pPr>
    </w:p>
    <w:p>
      <w:pPr>
        <w:spacing w:after="0"/>
        <w:rPr>
          <w:sz w:val="20"/>
          <w:szCs w:val="20"/>
          <w:color w:val="auto"/>
        </w:rPr>
      </w:pPr>
      <w:r>
        <w:rPr>
          <w:rFonts w:ascii="Arial" w:cs="Arial" w:eastAsia="Arial" w:hAnsi="Arial"/>
          <w:sz w:val="13"/>
          <w:szCs w:val="13"/>
          <w:b w:val="1"/>
          <w:bCs w:val="1"/>
          <w:color w:val="auto"/>
        </w:rPr>
        <w:t>File Number)</w:t>
      </w:r>
    </w:p>
    <w:p>
      <w:pPr>
        <w:spacing w:after="0" w:line="20" w:lineRule="exact"/>
        <w:rPr>
          <w:sz w:val="24"/>
          <w:szCs w:val="24"/>
          <w:color w:val="auto"/>
        </w:rPr>
      </w:pPr>
      <w:r>
        <w:rPr>
          <w:sz w:val="24"/>
          <w:szCs w:val="24"/>
          <w:color w:val="auto"/>
        </w:rPr>
        <w:br w:type="column"/>
      </w:r>
    </w:p>
    <w:p>
      <w:pPr>
        <w:jc w:val="center"/>
        <w:ind w:right="1200"/>
        <w:spacing w:after="0"/>
        <w:rPr>
          <w:sz w:val="20"/>
          <w:szCs w:val="20"/>
          <w:color w:val="auto"/>
        </w:rPr>
      </w:pPr>
      <w:r>
        <w:rPr>
          <w:rFonts w:ascii="Arial" w:cs="Arial" w:eastAsia="Arial" w:hAnsi="Arial"/>
          <w:sz w:val="14"/>
          <w:szCs w:val="14"/>
          <w:b w:val="1"/>
          <w:bCs w:val="1"/>
          <w:color w:val="auto"/>
        </w:rPr>
        <w:t>(IRS Employer</w:t>
      </w:r>
    </w:p>
    <w:p>
      <w:pPr>
        <w:jc w:val="center"/>
        <w:ind w:right="1200"/>
        <w:spacing w:after="0"/>
        <w:rPr>
          <w:sz w:val="20"/>
          <w:szCs w:val="20"/>
          <w:color w:val="auto"/>
        </w:rPr>
      </w:pPr>
      <w:r>
        <w:rPr>
          <w:rFonts w:ascii="Arial" w:cs="Arial" w:eastAsia="Arial" w:hAnsi="Arial"/>
          <w:sz w:val="13"/>
          <w:szCs w:val="13"/>
          <w:b w:val="1"/>
          <w:bCs w:val="1"/>
          <w:color w:val="auto"/>
        </w:rPr>
        <w:t>Identification No.)</w:t>
      </w:r>
    </w:p>
    <w:p>
      <w:pPr>
        <w:spacing w:after="0" w:line="211" w:lineRule="exact"/>
        <w:rPr>
          <w:sz w:val="24"/>
          <w:szCs w:val="24"/>
          <w:color w:val="auto"/>
        </w:rPr>
      </w:pPr>
    </w:p>
    <w:p>
      <w:pPr>
        <w:sectPr>
          <w:pgSz w:w="11900" w:h="16838" w:orient="portrait"/>
          <w:cols w:equalWidth="0" w:num="3">
            <w:col w:w="4480" w:space="720"/>
            <w:col w:w="2760" w:space="720"/>
            <w:col w:w="2340"/>
          </w:cols>
          <w:pgMar w:left="440" w:top="368" w:right="439" w:bottom="1440" w:gutter="0" w:footer="0" w:header="0"/>
          <w:type w:val="continuous"/>
        </w:sectPr>
      </w:pPr>
    </w:p>
    <w:p>
      <w:pPr>
        <w:spacing w:after="0" w:line="32" w:lineRule="exact"/>
        <w:rPr>
          <w:sz w:val="24"/>
          <w:szCs w:val="24"/>
          <w:color w:val="auto"/>
        </w:rPr>
      </w:pPr>
    </w:p>
    <w:p>
      <w:pPr>
        <w:ind w:left="680"/>
        <w:spacing w:after="0"/>
        <w:rPr>
          <w:sz w:val="20"/>
          <w:szCs w:val="20"/>
          <w:color w:val="auto"/>
        </w:rPr>
      </w:pPr>
      <w:r>
        <w:rPr>
          <w:rFonts w:ascii="Arial" w:cs="Arial" w:eastAsia="Arial" w:hAnsi="Arial"/>
          <w:sz w:val="16"/>
          <w:szCs w:val="16"/>
          <w:b w:val="1"/>
          <w:bCs w:val="1"/>
          <w:color w:val="auto"/>
        </w:rPr>
        <w:t>2503 S. Hanley Road</w:t>
      </w:r>
    </w:p>
    <w:p>
      <w:pPr>
        <w:spacing w:after="0" w:line="20" w:lineRule="exact"/>
        <w:rPr>
          <w:sz w:val="24"/>
          <w:szCs w:val="24"/>
          <w:color w:val="auto"/>
        </w:rPr>
      </w:pPr>
      <w:r>
        <w:rPr>
          <w:sz w:val="24"/>
          <w:szCs w:val="24"/>
          <w:color w:val="auto"/>
        </w:rPr>
        <w:br w:type="column"/>
      </w:r>
    </w:p>
    <w:p>
      <w:pPr>
        <w:spacing w:after="0" w:line="12" w:lineRule="exact"/>
        <w:rPr>
          <w:sz w:val="24"/>
          <w:szCs w:val="24"/>
          <w:color w:val="auto"/>
        </w:rPr>
      </w:pPr>
    </w:p>
    <w:p>
      <w:pPr>
        <w:spacing w:after="0"/>
        <w:rPr>
          <w:sz w:val="20"/>
          <w:szCs w:val="20"/>
          <w:color w:val="auto"/>
        </w:rPr>
      </w:pPr>
      <w:r>
        <w:rPr>
          <w:rFonts w:ascii="Arial" w:cs="Arial" w:eastAsia="Arial" w:hAnsi="Arial"/>
          <w:sz w:val="16"/>
          <w:szCs w:val="16"/>
          <w:b w:val="1"/>
          <w:bCs w:val="1"/>
          <w:color w:val="auto"/>
        </w:rPr>
        <w:t>St. Louis</w:t>
      </w:r>
    </w:p>
    <w:p>
      <w:pPr>
        <w:spacing w:after="0" w:line="20" w:lineRule="exact"/>
        <w:rPr>
          <w:sz w:val="24"/>
          <w:szCs w:val="24"/>
          <w:color w:val="auto"/>
        </w:rPr>
      </w:pPr>
      <w:r>
        <w:rPr>
          <w:sz w:val="24"/>
          <w:szCs w:val="24"/>
          <w:color w:val="auto"/>
        </w:rPr>
        <w:br w:type="column"/>
      </w:r>
    </w:p>
    <w:p>
      <w:pPr>
        <w:spacing w:after="0" w:line="12" w:lineRule="exact"/>
        <w:rPr>
          <w:sz w:val="24"/>
          <w:szCs w:val="24"/>
          <w:color w:val="auto"/>
        </w:rPr>
      </w:pPr>
    </w:p>
    <w:p>
      <w:pPr>
        <w:jc w:val="center"/>
        <w:ind w:right="1420"/>
        <w:spacing w:after="0"/>
        <w:rPr>
          <w:sz w:val="20"/>
          <w:szCs w:val="20"/>
          <w:color w:val="auto"/>
        </w:rPr>
      </w:pPr>
      <w:r>
        <w:rPr>
          <w:rFonts w:ascii="Arial" w:cs="Arial" w:eastAsia="Arial" w:hAnsi="Arial"/>
          <w:sz w:val="16"/>
          <w:szCs w:val="16"/>
          <w:b w:val="1"/>
          <w:bCs w:val="1"/>
          <w:color w:val="auto"/>
        </w:rPr>
        <w:t>Missouri</w:t>
      </w:r>
    </w:p>
    <w:p>
      <w:pPr>
        <w:spacing w:after="0" w:line="20" w:lineRule="exact"/>
        <w:rPr>
          <w:sz w:val="24"/>
          <w:szCs w:val="24"/>
          <w:color w:val="auto"/>
        </w:rPr>
      </w:pPr>
      <w:r>
        <w:rPr>
          <w:sz w:val="24"/>
          <w:szCs w:val="24"/>
          <w:color w:val="auto"/>
        </w:rPr>
        <w:br w:type="column"/>
      </w:r>
    </w:p>
    <w:p>
      <w:pPr>
        <w:spacing w:after="0" w:line="12" w:lineRule="exact"/>
        <w:rPr>
          <w:sz w:val="24"/>
          <w:szCs w:val="24"/>
          <w:color w:val="auto"/>
        </w:rPr>
      </w:pPr>
    </w:p>
    <w:p>
      <w:pPr>
        <w:spacing w:after="0"/>
        <w:rPr>
          <w:sz w:val="20"/>
          <w:szCs w:val="20"/>
          <w:color w:val="auto"/>
        </w:rPr>
      </w:pPr>
      <w:r>
        <w:rPr>
          <w:rFonts w:ascii="Arial" w:cs="Arial" w:eastAsia="Arial" w:hAnsi="Arial"/>
          <w:sz w:val="15"/>
          <w:szCs w:val="15"/>
          <w:b w:val="1"/>
          <w:bCs w:val="1"/>
          <w:color w:val="auto"/>
        </w:rPr>
        <w:t>63144</w:t>
      </w:r>
    </w:p>
    <w:p>
      <w:pPr>
        <w:spacing w:after="0" w:line="61" w:lineRule="exact"/>
        <w:rPr>
          <w:sz w:val="24"/>
          <w:szCs w:val="24"/>
          <w:color w:val="auto"/>
        </w:rPr>
      </w:pPr>
    </w:p>
    <w:p>
      <w:pPr>
        <w:sectPr>
          <w:pgSz w:w="11900" w:h="16838" w:orient="portrait"/>
          <w:cols w:equalWidth="0" w:num="4">
            <w:col w:w="3300" w:space="720"/>
            <w:col w:w="2080" w:space="720"/>
            <w:col w:w="2100" w:space="720"/>
            <w:col w:w="1380"/>
          </w:cols>
          <w:pgMar w:left="440" w:top="368" w:right="439" w:bottom="1440" w:gutter="0" w:footer="0" w:header="0"/>
          <w:type w:val="continuous"/>
        </w:sectPr>
      </w:pPr>
    </w:p>
    <w:p>
      <w:pPr>
        <w:ind w:left="3040"/>
        <w:spacing w:after="0"/>
        <w:rPr>
          <w:sz w:val="20"/>
          <w:szCs w:val="20"/>
          <w:color w:val="auto"/>
        </w:rPr>
      </w:pPr>
      <w:r>
        <w:rPr>
          <w:rFonts w:ascii="Arial" w:cs="Arial" w:eastAsia="Arial" w:hAnsi="Arial"/>
          <w:sz w:val="12"/>
          <w:szCs w:val="12"/>
          <w:b w:val="1"/>
          <w:bCs w:val="1"/>
          <w:color w:val="auto"/>
        </w:rPr>
        <w:t>(Address of Principal Executive Offices)</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b w:val="1"/>
          <w:bCs w:val="1"/>
          <w:color w:val="auto"/>
        </w:rPr>
        <w:t>(Zip Code)</w:t>
      </w:r>
    </w:p>
    <w:p>
      <w:pPr>
        <w:spacing w:after="0" w:line="197" w:lineRule="exact"/>
        <w:rPr>
          <w:sz w:val="24"/>
          <w:szCs w:val="24"/>
          <w:color w:val="auto"/>
        </w:rPr>
      </w:pPr>
    </w:p>
    <w:p>
      <w:pPr>
        <w:sectPr>
          <w:pgSz w:w="11900" w:h="16838" w:orient="portrait"/>
          <w:cols w:equalWidth="0" w:num="2">
            <w:col w:w="8800" w:space="720"/>
            <w:col w:w="1500"/>
          </w:cols>
          <w:pgMar w:left="440" w:top="368" w:right="439" w:bottom="1440" w:gutter="0" w:footer="0" w:header="0"/>
          <w:type w:val="continuous"/>
        </w:sectPr>
      </w:pPr>
    </w:p>
    <w:p>
      <w:pPr>
        <w:jc w:val="center"/>
        <w:spacing w:after="0"/>
        <w:rPr>
          <w:sz w:val="20"/>
          <w:szCs w:val="20"/>
          <w:color w:val="auto"/>
        </w:rPr>
      </w:pPr>
      <w:r>
        <w:rPr>
          <w:rFonts w:ascii="Arial" w:cs="Arial" w:eastAsia="Arial" w:hAnsi="Arial"/>
          <w:sz w:val="18"/>
          <w:szCs w:val="18"/>
          <w:b w:val="1"/>
          <w:bCs w:val="1"/>
          <w:color w:val="auto"/>
        </w:rPr>
        <w:t>Registrant’s telephone number, including area code: (314) 644-7600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2757805</wp:posOffset>
            </wp:positionH>
            <wp:positionV relativeFrom="paragraph">
              <wp:posOffset>240030</wp:posOffset>
            </wp:positionV>
            <wp:extent cx="147447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374" w:lineRule="exact"/>
        <w:rPr>
          <w:sz w:val="24"/>
          <w:szCs w:val="24"/>
          <w:color w:val="auto"/>
        </w:rPr>
      </w:pPr>
    </w:p>
    <w:p>
      <w:pPr>
        <w:ind w:right="480"/>
        <w:spacing w:after="0" w:line="277" w:lineRule="auto"/>
        <w:rPr>
          <w:sz w:val="20"/>
          <w:szCs w:val="20"/>
          <w:color w:val="auto"/>
        </w:rPr>
      </w:pPr>
      <w:r>
        <w:rPr>
          <w:rFonts w:ascii="Arial" w:cs="Arial" w:eastAsia="Arial" w:hAnsi="Arial"/>
          <w:sz w:val="18"/>
          <w:szCs w:val="18"/>
          <w:color w:val="auto"/>
        </w:rPr>
        <w:t>Check the appropriate box below if the Form 8-K filing is intended to simultaneously satisfy the filing obligation of the registrant under any of the following provisions:</w:t>
      </w:r>
    </w:p>
    <w:p>
      <w:pPr>
        <w:spacing w:after="0" w:line="76" w:lineRule="exact"/>
        <w:rPr>
          <w:sz w:val="24"/>
          <w:szCs w:val="24"/>
          <w:color w:val="auto"/>
        </w:rPr>
      </w:pPr>
    </w:p>
    <w:p>
      <w:pPr>
        <w:ind w:left="960" w:hanging="532"/>
        <w:spacing w:after="0"/>
        <w:tabs>
          <w:tab w:leader="none" w:pos="9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Written communications pursuant to Rule 425 under the Securities Act (17 CFR 230.425)</w:t>
      </w:r>
    </w:p>
    <w:p>
      <w:pPr>
        <w:spacing w:after="0" w:line="130" w:lineRule="exact"/>
        <w:rPr>
          <w:rFonts w:ascii="MS PGothic" w:cs="MS PGothic" w:eastAsia="MS PGothic" w:hAnsi="MS PGothic"/>
          <w:sz w:val="18"/>
          <w:szCs w:val="18"/>
          <w:color w:val="auto"/>
        </w:rPr>
      </w:pPr>
    </w:p>
    <w:p>
      <w:pPr>
        <w:ind w:left="960" w:hanging="532"/>
        <w:spacing w:after="0"/>
        <w:tabs>
          <w:tab w:leader="none" w:pos="9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Soliciting material pursuant to Rule 14a-12 under the Exchange Act (17 CFR 240.14a-12)</w:t>
      </w:r>
    </w:p>
    <w:p>
      <w:pPr>
        <w:spacing w:after="0" w:line="130" w:lineRule="exact"/>
        <w:rPr>
          <w:rFonts w:ascii="MS PGothic" w:cs="MS PGothic" w:eastAsia="MS PGothic" w:hAnsi="MS PGothic"/>
          <w:sz w:val="18"/>
          <w:szCs w:val="18"/>
          <w:color w:val="auto"/>
        </w:rPr>
      </w:pPr>
    </w:p>
    <w:p>
      <w:pPr>
        <w:ind w:left="960" w:hanging="532"/>
        <w:spacing w:after="0"/>
        <w:tabs>
          <w:tab w:leader="none" w:pos="9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14d-2(b) under the Exchange Act (17 CFR 240.14d-2(b))</w:t>
      </w:r>
    </w:p>
    <w:p>
      <w:pPr>
        <w:spacing w:after="0" w:line="130" w:lineRule="exact"/>
        <w:rPr>
          <w:rFonts w:ascii="MS PGothic" w:cs="MS PGothic" w:eastAsia="MS PGothic" w:hAnsi="MS PGothic"/>
          <w:sz w:val="18"/>
          <w:szCs w:val="18"/>
          <w:color w:val="auto"/>
        </w:rPr>
      </w:pPr>
    </w:p>
    <w:p>
      <w:pPr>
        <w:ind w:left="960" w:hanging="532"/>
        <w:spacing w:after="0"/>
        <w:tabs>
          <w:tab w:leader="none" w:pos="9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13e-4(c) under the Exchange Act (17 CFR 240.13e-4(c))</w:t>
      </w:r>
    </w:p>
    <w:p>
      <w:pPr>
        <w:spacing w:after="0" w:line="225" w:lineRule="exact"/>
        <w:rPr>
          <w:sz w:val="24"/>
          <w:szCs w:val="24"/>
          <w:color w:val="auto"/>
        </w:rPr>
      </w:pPr>
    </w:p>
    <w:p>
      <w:pPr>
        <w:spacing w:after="0"/>
        <w:rPr>
          <w:sz w:val="20"/>
          <w:szCs w:val="20"/>
          <w:color w:val="auto"/>
        </w:rPr>
      </w:pPr>
      <w:r>
        <w:rPr>
          <w:rFonts w:ascii="Arial" w:cs="Arial" w:eastAsia="Arial" w:hAnsi="Arial"/>
          <w:sz w:val="18"/>
          <w:szCs w:val="18"/>
          <w:color w:val="auto"/>
        </w:rPr>
        <w:t>Securities registered pursuant to Section 12(b) of the Act:</w:t>
      </w:r>
    </w:p>
    <w:p>
      <w:pPr>
        <w:spacing w:after="0" w:line="231" w:lineRule="exact"/>
        <w:rPr>
          <w:sz w:val="24"/>
          <w:szCs w:val="24"/>
          <w:color w:val="auto"/>
        </w:rPr>
      </w:pPr>
    </w:p>
    <w:tbl>
      <w:tblPr>
        <w:tblLayout w:type="fixed"/>
        <w:tblInd w:w="0" w:type="dxa"/>
        <w:tblCellMar>
          <w:top w:w="0" w:type="dxa"/>
          <w:left w:w="0" w:type="dxa"/>
          <w:bottom w:w="0" w:type="dxa"/>
          <w:right w:w="0" w:type="dxa"/>
        </w:tblCellMar>
      </w:tblPr>
      <w:tr>
        <w:trPr>
          <w:trHeight w:val="161"/>
        </w:trPr>
        <w:tc>
          <w:tcPr>
            <w:tcW w:w="3860" w:type="dxa"/>
            <w:vAlign w:val="bottom"/>
            <w:gridSpan w:val="2"/>
            <w:vMerge w:val="restart"/>
          </w:tcPr>
          <w:p>
            <w:pPr>
              <w:jc w:val="center"/>
              <w:ind w:right="140"/>
              <w:spacing w:after="0"/>
              <w:rPr>
                <w:sz w:val="20"/>
                <w:szCs w:val="20"/>
                <w:color w:val="auto"/>
              </w:rPr>
            </w:pPr>
            <w:r>
              <w:rPr>
                <w:rFonts w:ascii="Arial" w:cs="Arial" w:eastAsia="Arial" w:hAnsi="Arial"/>
                <w:sz w:val="14"/>
                <w:szCs w:val="14"/>
                <w:b w:val="1"/>
                <w:bCs w:val="1"/>
                <w:color w:val="auto"/>
                <w:w w:val="89"/>
              </w:rPr>
              <w:t>Title of each class</w:t>
            </w:r>
          </w:p>
        </w:tc>
        <w:tc>
          <w:tcPr>
            <w:tcW w:w="362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3"/>
              </w:rPr>
              <w:t>Trading</w:t>
            </w:r>
          </w:p>
        </w:tc>
        <w:tc>
          <w:tcPr>
            <w:tcW w:w="3540" w:type="dxa"/>
            <w:vAlign w:val="bottom"/>
          </w:tcPr>
          <w:p>
            <w:pPr>
              <w:jc w:val="center"/>
              <w:spacing w:after="0"/>
              <w:rPr>
                <w:sz w:val="20"/>
                <w:szCs w:val="20"/>
                <w:color w:val="auto"/>
              </w:rPr>
            </w:pPr>
            <w:r>
              <w:rPr>
                <w:rFonts w:ascii="Arial" w:cs="Arial" w:eastAsia="Arial" w:hAnsi="Arial"/>
                <w:sz w:val="14"/>
                <w:szCs w:val="14"/>
                <w:b w:val="1"/>
                <w:bCs w:val="1"/>
                <w:color w:val="auto"/>
                <w:w w:val="88"/>
              </w:rPr>
              <w:t>Name of each exchange</w:t>
            </w:r>
          </w:p>
        </w:tc>
        <w:tc>
          <w:tcPr>
            <w:tcW w:w="0" w:type="dxa"/>
            <w:vAlign w:val="bottom"/>
          </w:tcPr>
          <w:p>
            <w:pPr>
              <w:spacing w:after="0"/>
              <w:rPr>
                <w:sz w:val="1"/>
                <w:szCs w:val="1"/>
                <w:color w:val="auto"/>
              </w:rPr>
            </w:pPr>
          </w:p>
        </w:tc>
      </w:tr>
      <w:tr>
        <w:trPr>
          <w:trHeight w:val="185"/>
        </w:trPr>
        <w:tc>
          <w:tcPr>
            <w:tcW w:w="3860" w:type="dxa"/>
            <w:vAlign w:val="bottom"/>
            <w:gridSpan w:val="2"/>
            <w:vMerge w:val="continue"/>
          </w:tcPr>
          <w:p>
            <w:pPr>
              <w:spacing w:after="0"/>
              <w:rPr>
                <w:sz w:val="16"/>
                <w:szCs w:val="16"/>
                <w:color w:val="auto"/>
              </w:rPr>
            </w:pPr>
          </w:p>
        </w:tc>
        <w:tc>
          <w:tcPr>
            <w:tcW w:w="362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88"/>
              </w:rPr>
              <w:t>Symbol(s)</w:t>
            </w:r>
          </w:p>
        </w:tc>
        <w:tc>
          <w:tcPr>
            <w:tcW w:w="3540" w:type="dxa"/>
            <w:vAlign w:val="bottom"/>
          </w:tcPr>
          <w:p>
            <w:pPr>
              <w:jc w:val="center"/>
              <w:spacing w:after="0"/>
              <w:rPr>
                <w:sz w:val="20"/>
                <w:szCs w:val="20"/>
                <w:color w:val="auto"/>
              </w:rPr>
            </w:pPr>
            <w:r>
              <w:rPr>
                <w:rFonts w:ascii="Arial" w:cs="Arial" w:eastAsia="Arial" w:hAnsi="Arial"/>
                <w:sz w:val="14"/>
                <w:szCs w:val="14"/>
                <w:b w:val="1"/>
                <w:bCs w:val="1"/>
                <w:color w:val="auto"/>
                <w:w w:val="92"/>
              </w:rPr>
              <w:t>on which registered</w:t>
            </w:r>
          </w:p>
        </w:tc>
        <w:tc>
          <w:tcPr>
            <w:tcW w:w="0" w:type="dxa"/>
            <w:vAlign w:val="bottom"/>
          </w:tcPr>
          <w:p>
            <w:pPr>
              <w:spacing w:after="0"/>
              <w:rPr>
                <w:sz w:val="1"/>
                <w:szCs w:val="1"/>
                <w:color w:val="auto"/>
              </w:rPr>
            </w:pPr>
          </w:p>
        </w:tc>
      </w:tr>
      <w:tr>
        <w:trPr>
          <w:trHeight w:val="228"/>
        </w:trPr>
        <w:tc>
          <w:tcPr>
            <w:tcW w:w="3740" w:type="dxa"/>
            <w:vAlign w:val="bottom"/>
            <w:tcBorders>
              <w:top w:val="single" w:sz="8" w:color="auto"/>
            </w:tcBorders>
          </w:tcPr>
          <w:p>
            <w:pPr>
              <w:jc w:val="center"/>
              <w:spacing w:after="0"/>
              <w:rPr>
                <w:sz w:val="20"/>
                <w:szCs w:val="20"/>
                <w:color w:val="auto"/>
              </w:rPr>
            </w:pPr>
            <w:r>
              <w:rPr>
                <w:rFonts w:ascii="Arial" w:cs="Arial" w:eastAsia="Arial" w:hAnsi="Arial"/>
                <w:sz w:val="18"/>
                <w:szCs w:val="18"/>
                <w:b w:val="1"/>
                <w:bCs w:val="1"/>
                <w:color w:val="auto"/>
                <w:w w:val="90"/>
              </w:rPr>
              <w:t>Common Stock, $0.01 par value per share</w:t>
            </w:r>
          </w:p>
        </w:tc>
        <w:tc>
          <w:tcPr>
            <w:tcW w:w="120" w:type="dxa"/>
            <w:vAlign w:val="bottom"/>
          </w:tcPr>
          <w:p>
            <w:pPr>
              <w:spacing w:after="0"/>
              <w:rPr>
                <w:sz w:val="19"/>
                <w:szCs w:val="19"/>
                <w:color w:val="auto"/>
              </w:rPr>
            </w:pPr>
          </w:p>
        </w:tc>
        <w:tc>
          <w:tcPr>
            <w:tcW w:w="3520" w:type="dxa"/>
            <w:vAlign w:val="bottom"/>
            <w:tcBorders>
              <w:top w:val="single" w:sz="8" w:color="auto"/>
            </w:tcBorders>
          </w:tcPr>
          <w:p>
            <w:pPr>
              <w:jc w:val="center"/>
              <w:spacing w:after="0"/>
              <w:rPr>
                <w:sz w:val="20"/>
                <w:szCs w:val="20"/>
                <w:color w:val="auto"/>
              </w:rPr>
            </w:pPr>
            <w:r>
              <w:rPr>
                <w:rFonts w:ascii="Arial" w:cs="Arial" w:eastAsia="Arial" w:hAnsi="Arial"/>
                <w:sz w:val="18"/>
                <w:szCs w:val="18"/>
                <w:b w:val="1"/>
                <w:bCs w:val="1"/>
                <w:color w:val="auto"/>
                <w:w w:val="96"/>
              </w:rPr>
              <w:t>BRBR</w:t>
            </w:r>
          </w:p>
        </w:tc>
        <w:tc>
          <w:tcPr>
            <w:tcW w:w="100" w:type="dxa"/>
            <w:vAlign w:val="bottom"/>
          </w:tcPr>
          <w:p>
            <w:pPr>
              <w:spacing w:after="0"/>
              <w:rPr>
                <w:sz w:val="19"/>
                <w:szCs w:val="19"/>
                <w:color w:val="auto"/>
              </w:rPr>
            </w:pPr>
          </w:p>
        </w:tc>
        <w:tc>
          <w:tcPr>
            <w:tcW w:w="3540" w:type="dxa"/>
            <w:vAlign w:val="bottom"/>
            <w:tcBorders>
              <w:top w:val="single" w:sz="8" w:color="auto"/>
            </w:tcBorders>
          </w:tcPr>
          <w:p>
            <w:pPr>
              <w:jc w:val="center"/>
              <w:spacing w:after="0"/>
              <w:rPr>
                <w:sz w:val="20"/>
                <w:szCs w:val="20"/>
                <w:color w:val="auto"/>
              </w:rPr>
            </w:pPr>
            <w:r>
              <w:rPr>
                <w:rFonts w:ascii="Arial" w:cs="Arial" w:eastAsia="Arial" w:hAnsi="Arial"/>
                <w:sz w:val="18"/>
                <w:szCs w:val="18"/>
                <w:b w:val="1"/>
                <w:bCs w:val="1"/>
                <w:color w:val="auto"/>
                <w:w w:val="89"/>
              </w:rPr>
              <w:t>New York Stock Exchange</w:t>
            </w:r>
          </w:p>
        </w:tc>
        <w:tc>
          <w:tcPr>
            <w:tcW w:w="0" w:type="dxa"/>
            <w:vAlign w:val="bottom"/>
          </w:tcPr>
          <w:p>
            <w:pPr>
              <w:spacing w:after="0"/>
              <w:rPr>
                <w:sz w:val="1"/>
                <w:szCs w:val="1"/>
                <w:color w:val="auto"/>
              </w:rPr>
            </w:pPr>
          </w:p>
        </w:tc>
      </w:tr>
    </w:tbl>
    <w:p>
      <w:pPr>
        <w:spacing w:after="0" w:line="183" w:lineRule="exact"/>
        <w:rPr>
          <w:sz w:val="24"/>
          <w:szCs w:val="24"/>
          <w:color w:val="auto"/>
        </w:rPr>
      </w:pPr>
    </w:p>
    <w:p>
      <w:pPr>
        <w:ind w:right="300"/>
        <w:spacing w:after="0" w:line="277" w:lineRule="auto"/>
        <w:rPr>
          <w:sz w:val="20"/>
          <w:szCs w:val="20"/>
          <w:color w:val="auto"/>
        </w:rPr>
      </w:pPr>
      <w:r>
        <w:rPr>
          <w:rFonts w:ascii="Arial" w:cs="Arial" w:eastAsia="Arial" w:hAnsi="Arial"/>
          <w:sz w:val="18"/>
          <w:szCs w:val="18"/>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138" w:lineRule="exact"/>
        <w:rPr>
          <w:sz w:val="24"/>
          <w:szCs w:val="24"/>
          <w:color w:val="auto"/>
        </w:rPr>
      </w:pPr>
    </w:p>
    <w:p>
      <w:pPr>
        <w:spacing w:after="0" w:line="207" w:lineRule="exact"/>
        <w:rPr>
          <w:sz w:val="20"/>
          <w:szCs w:val="20"/>
          <w:color w:val="auto"/>
        </w:rPr>
      </w:pPr>
      <w:r>
        <w:rPr>
          <w:rFonts w:ascii="Arial" w:cs="Arial" w:eastAsia="Arial" w:hAnsi="Arial"/>
          <w:sz w:val="18"/>
          <w:szCs w:val="18"/>
          <w:color w:val="auto"/>
        </w:rPr>
        <w:t xml:space="preserve">Emerging growth company </w:t>
      </w:r>
      <w:r>
        <w:rPr>
          <w:rFonts w:ascii="MS PGothic" w:cs="MS PGothic" w:eastAsia="MS PGothic" w:hAnsi="MS PGothic"/>
          <w:sz w:val="18"/>
          <w:szCs w:val="18"/>
          <w:color w:val="auto"/>
        </w:rPr>
        <w:t>☐</w:t>
      </w:r>
    </w:p>
    <w:p>
      <w:pPr>
        <w:spacing w:after="0" w:line="258" w:lineRule="exact"/>
        <w:rPr>
          <w:sz w:val="24"/>
          <w:szCs w:val="24"/>
          <w:color w:val="auto"/>
        </w:rPr>
      </w:pPr>
    </w:p>
    <w:p>
      <w:pPr>
        <w:ind w:right="300"/>
        <w:spacing w:after="0" w:line="233" w:lineRule="exact"/>
        <w:rPr>
          <w:sz w:val="20"/>
          <w:szCs w:val="20"/>
          <w:color w:val="auto"/>
        </w:rPr>
      </w:pPr>
      <w:r>
        <w:rPr>
          <w:rFonts w:ascii="Arial" w:cs="Arial" w:eastAsia="Arial" w:hAnsi="Arial"/>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-1905</wp:posOffset>
            </wp:positionH>
            <wp:positionV relativeFrom="paragraph">
              <wp:posOffset>133350</wp:posOffset>
            </wp:positionV>
            <wp:extent cx="699516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6995160" cy="8890"/>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176530</wp:posOffset>
            </wp:positionV>
            <wp:extent cx="6995160"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6995160" cy="8890"/>
                    </a:xfrm>
                    <a:prstGeom prst="rect">
                      <a:avLst/>
                    </a:prstGeom>
                    <a:noFill/>
                  </pic:spPr>
                </pic:pic>
              </a:graphicData>
            </a:graphic>
          </wp:anchor>
        </w:drawing>
      </w:r>
    </w:p>
    <w:p>
      <w:pPr>
        <w:sectPr>
          <w:pgSz w:w="11900" w:h="16838" w:orient="portrait"/>
          <w:cols w:equalWidth="0" w:num="1">
            <w:col w:w="11020"/>
          </w:cols>
          <w:pgMar w:left="440" w:top="368" w:right="439" w:bottom="1440" w:gutter="0" w:footer="0" w:header="0"/>
          <w:type w:val="continuous"/>
        </w:sectPr>
      </w:pPr>
    </w:p>
    <w:bookmarkStart w:id="1" w:name="page2"/>
    <w:bookmarkEnd w:id="1"/>
    <w:p>
      <w:pPr>
        <w:jc w:val="center"/>
        <w:ind w:right="-1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74865" cy="55880"/>
                    </a:xfrm>
                    <a:prstGeom prst="rect">
                      <a:avLst/>
                    </a:prstGeom>
                    <a:noFill/>
                  </pic:spPr>
                </pic:pic>
              </a:graphicData>
            </a:graphic>
          </wp:anchor>
        </w:drawing>
        <w:t>Introductory Note</w:t>
      </w:r>
    </w:p>
    <w:p>
      <w:pPr>
        <w:spacing w:after="0" w:line="229" w:lineRule="exact"/>
        <w:rPr>
          <w:sz w:val="20"/>
          <w:szCs w:val="20"/>
          <w:color w:val="auto"/>
        </w:rPr>
      </w:pPr>
    </w:p>
    <w:p>
      <w:pPr>
        <w:spacing w:after="0" w:line="254" w:lineRule="auto"/>
        <w:rPr>
          <w:sz w:val="20"/>
          <w:szCs w:val="20"/>
          <w:color w:val="auto"/>
        </w:rPr>
      </w:pPr>
      <w:r>
        <w:rPr>
          <w:rFonts w:ascii="Arial" w:cs="Arial" w:eastAsia="Arial" w:hAnsi="Arial"/>
          <w:sz w:val="18"/>
          <w:szCs w:val="18"/>
          <w:color w:val="auto"/>
        </w:rPr>
        <w:t>As previously reported, on March 10, 2022 (the “Closing Date”), BellRing Brands, Inc. (formerly known as BellRing Distribution, LLC) (“New BellRing”) became the new public parent company of, and successor issuer to, BellRing Intermediate Holdings, Inc. (formerly known as BellRing Brands, Inc.) (“Old BellRing”). On the Closing Date, as previously announced, Old BellRing completed its merger (the “merger”) with BellRing Merger Sub Corporation (“Merger Sub”), a wholly-owned subsidiary of New BellRing, whereby Merger Sub merged with and into Old BellRing with Old BellRing continuing as the surviving corporation in the merger. As a result of the merger, (i) Old BellRing became a wholly-owned subsidiary of New BellRing and (ii) each share of Old BellRing Class A common stock outstanding prior to the merger was converted into the right to receive one share of New BellRing Common Stock and $2.97 in cash. In addition, Post Holdings, Inc. completed the previously announced spin-off of 80.1% of its interest in New BellRing to its shareholders.</w:t>
      </w:r>
    </w:p>
    <w:p>
      <w:pPr>
        <w:spacing w:after="0" w:line="192" w:lineRule="exact"/>
        <w:rPr>
          <w:sz w:val="20"/>
          <w:szCs w:val="20"/>
          <w:color w:val="auto"/>
        </w:rPr>
      </w:pPr>
    </w:p>
    <w:p>
      <w:pPr>
        <w:ind w:right="20"/>
        <w:spacing w:after="0" w:line="259" w:lineRule="auto"/>
        <w:rPr>
          <w:sz w:val="20"/>
          <w:szCs w:val="20"/>
          <w:color w:val="auto"/>
        </w:rPr>
      </w:pPr>
      <w:r>
        <w:rPr>
          <w:rFonts w:ascii="Arial" w:cs="Arial" w:eastAsia="Arial" w:hAnsi="Arial"/>
          <w:sz w:val="18"/>
          <w:szCs w:val="18"/>
          <w:color w:val="auto"/>
        </w:rPr>
        <w:t>This Amendment No. 1 to Form 8-K amends the Current Report on Form 8-K12B filed by New BellRing with the Securities and Exchange Commission (the “SEC”) on the Closing Date (the “Original Form 8-K”). The Original Form 8-K did not include the unaudited pro forma financial information of New BellRing to give effect to the transactions described therein (the “transactions”). This Amendment No. 1 to the Original Form 8-K is being filed to include such financial information as required under Items 9.01(a) and 9.01(b) of Form 8-K.</w:t>
      </w:r>
    </w:p>
    <w:p>
      <w:pPr>
        <w:spacing w:after="0" w:line="2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2.01 Completion of Acquisition or Disposition of Assets.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The information set forth in the Introductory Note is incorporated herein by reference.</w:t>
      </w:r>
    </w:p>
    <w:p>
      <w:pPr>
        <w:spacing w:after="0" w:line="3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9.01. Financial Statements and Exhibits.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 Financial Statements.</w:t>
      </w:r>
    </w:p>
    <w:p>
      <w:pPr>
        <w:spacing w:after="0" w:line="117" w:lineRule="exact"/>
        <w:rPr>
          <w:sz w:val="20"/>
          <w:szCs w:val="20"/>
          <w:color w:val="auto"/>
        </w:rPr>
      </w:pPr>
    </w:p>
    <w:p>
      <w:pPr>
        <w:ind w:right="160"/>
        <w:spacing w:after="0" w:line="259" w:lineRule="auto"/>
        <w:rPr>
          <w:sz w:val="20"/>
          <w:szCs w:val="20"/>
          <w:color w:val="auto"/>
        </w:rPr>
      </w:pPr>
      <w:r>
        <w:rPr>
          <w:rFonts w:ascii="Arial" w:cs="Arial" w:eastAsia="Arial" w:hAnsi="Arial"/>
          <w:sz w:val="18"/>
          <w:szCs w:val="18"/>
          <w:color w:val="auto"/>
        </w:rPr>
        <w:t>The audited consolidated balance sheets of Old BellRing as of September 30, 2021 and 2020 and the related consolidated statements of operations, comprehensive income, stockholders’ (deficit) equity and cash flows of Old BellRing for each of the years ended September 30, 2021, 2020 and 2019, and the notes related thereto, each contained in Old BellRing’s Form 10-K, filed with the SEC on November 19, 2021, are incorporated herein by reference.</w:t>
      </w:r>
    </w:p>
    <w:p>
      <w:pPr>
        <w:spacing w:after="0" w:line="187" w:lineRule="exact"/>
        <w:rPr>
          <w:sz w:val="20"/>
          <w:szCs w:val="20"/>
          <w:color w:val="auto"/>
        </w:rPr>
      </w:pPr>
    </w:p>
    <w:p>
      <w:pPr>
        <w:ind w:right="120"/>
        <w:spacing w:after="0" w:line="259" w:lineRule="auto"/>
        <w:rPr>
          <w:sz w:val="20"/>
          <w:szCs w:val="20"/>
          <w:color w:val="auto"/>
        </w:rPr>
      </w:pPr>
      <w:r>
        <w:rPr>
          <w:rFonts w:ascii="Arial" w:cs="Arial" w:eastAsia="Arial" w:hAnsi="Arial"/>
          <w:sz w:val="18"/>
          <w:szCs w:val="18"/>
          <w:color w:val="auto"/>
        </w:rPr>
        <w:t>The unaudited condensed consolidated balance sheets of Old BellRing as of December 31, 2021 and September 30, 2021, and the unaudited condensed consolidated statements of operations, comprehensive income, stockholders’ deficit and cash flows for the three months ended December 31, 2021 and 2020, and the notes related thereto, each contained in Old BellRing’s Form 10-Q, filed with the SEC on February 4, 2022, are incorporated herein by reference.</w:t>
      </w:r>
    </w:p>
    <w:p>
      <w:pPr>
        <w:spacing w:after="0" w:line="29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(b) Pro forma financial information.</w:t>
      </w:r>
    </w:p>
    <w:p>
      <w:pPr>
        <w:spacing w:after="0" w:line="117" w:lineRule="exact"/>
        <w:rPr>
          <w:sz w:val="20"/>
          <w:szCs w:val="20"/>
          <w:color w:val="auto"/>
        </w:rPr>
      </w:pPr>
    </w:p>
    <w:p>
      <w:pPr>
        <w:ind w:right="180"/>
        <w:spacing w:after="0" w:line="311" w:lineRule="auto"/>
        <w:rPr>
          <w:sz w:val="20"/>
          <w:szCs w:val="20"/>
          <w:color w:val="auto"/>
        </w:rPr>
      </w:pPr>
      <w:r>
        <w:rPr>
          <w:rFonts w:ascii="Arial" w:cs="Arial" w:eastAsia="Arial" w:hAnsi="Arial"/>
          <w:sz w:val="16"/>
          <w:szCs w:val="16"/>
          <w:color w:val="auto"/>
        </w:rPr>
        <w:t>The unaudited pro forma financial information of New BellRing, giving effect to the transactions, consisting of the unaudited pro forma combined condensed statement of operations for the three months ended December 31, 2021 and for the fiscal year ended September 30, 2021 and the unaudited pro forma combined condensed balance sheet as of December 31, 2021, is filed as Exhibit 99.1 to this report and incorporated herein by reference.</w:t>
      </w:r>
    </w:p>
    <w:p>
      <w:pPr>
        <w:spacing w:after="0" w:line="25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 Exhibits.</w:t>
      </w:r>
    </w:p>
    <w:p>
      <w:pPr>
        <w:sectPr>
          <w:pgSz w:w="11900" w:h="16838" w:orient="portrait"/>
          <w:cols w:equalWidth="0" w:num="1">
            <w:col w:w="11000"/>
          </w:cols>
          <w:pgMar w:left="440" w:top="297" w:right="459" w:bottom="1440" w:gutter="0" w:footer="0" w:header="0"/>
        </w:sectPr>
      </w:pPr>
    </w:p>
    <w:p>
      <w:pPr>
        <w:spacing w:after="0" w:line="248" w:lineRule="exact"/>
        <w:rPr>
          <w:sz w:val="20"/>
          <w:szCs w:val="20"/>
          <w:color w:val="auto"/>
        </w:rPr>
      </w:pPr>
    </w:p>
    <w:p>
      <w:pPr>
        <w:jc w:val="center"/>
        <w:ind w:right="4460"/>
        <w:spacing w:after="0"/>
        <w:rPr>
          <w:sz w:val="20"/>
          <w:szCs w:val="20"/>
          <w:color w:val="auto"/>
        </w:rPr>
      </w:pPr>
      <w:r>
        <w:rPr>
          <w:rFonts w:ascii="Arial" w:cs="Arial" w:eastAsia="Arial" w:hAnsi="Arial"/>
          <w:sz w:val="13"/>
          <w:szCs w:val="13"/>
          <w:color w:val="auto"/>
        </w:rPr>
        <w:t>Exhibit</w:t>
      </w:r>
    </w:p>
    <w:p>
      <w:pPr>
        <w:spacing w:after="0" w:line="11" w:lineRule="exact"/>
        <w:rPr>
          <w:sz w:val="20"/>
          <w:szCs w:val="20"/>
          <w:color w:val="auto"/>
        </w:rPr>
      </w:pPr>
    </w:p>
    <w:p>
      <w:pPr>
        <w:jc w:val="center"/>
        <w:ind w:right="4460"/>
        <w:spacing w:after="0"/>
        <w:rPr>
          <w:sz w:val="20"/>
          <w:szCs w:val="20"/>
          <w:color w:val="auto"/>
        </w:rPr>
      </w:pPr>
      <w:r>
        <w:rPr>
          <w:rFonts w:ascii="Arial" w:cs="Arial" w:eastAsia="Arial" w:hAnsi="Arial"/>
          <w:sz w:val="14"/>
          <w:szCs w:val="14"/>
          <w:color w:val="auto"/>
        </w:rPr>
        <w:t>No.</w:t>
      </w:r>
    </w:p>
    <w:p>
      <w:pPr>
        <w:spacing w:after="0" w:line="20" w:lineRule="exact"/>
        <w:rPr>
          <w:sz w:val="20"/>
          <w:szCs w:val="20"/>
          <w:color w:val="auto"/>
        </w:rPr>
      </w:pPr>
      <w:r>
        <w:rPr>
          <w:sz w:val="20"/>
          <w:szCs w:val="20"/>
          <w:color w:val="auto"/>
        </w:rPr>
        <w:br w:type="column"/>
      </w:r>
    </w:p>
    <w:p>
      <w:pPr>
        <w:spacing w:after="0" w:line="376" w:lineRule="exact"/>
        <w:rPr>
          <w:sz w:val="20"/>
          <w:szCs w:val="20"/>
          <w:color w:val="auto"/>
        </w:rPr>
      </w:pPr>
    </w:p>
    <w:p>
      <w:pPr>
        <w:jc w:val="center"/>
        <w:ind w:right="4740"/>
        <w:spacing w:after="0"/>
        <w:rPr>
          <w:sz w:val="20"/>
          <w:szCs w:val="20"/>
          <w:color w:val="auto"/>
        </w:rPr>
      </w:pPr>
      <w:r>
        <w:rPr>
          <w:rFonts w:ascii="Arial" w:cs="Arial" w:eastAsia="Arial" w:hAnsi="Arial"/>
          <w:sz w:val="13"/>
          <w:szCs w:val="13"/>
          <w:color w:val="auto"/>
        </w:rPr>
        <w:t>Description</w:t>
      </w:r>
    </w:p>
    <w:p>
      <w:pPr>
        <w:spacing w:after="0" w:line="111" w:lineRule="exact"/>
        <w:rPr>
          <w:sz w:val="20"/>
          <w:szCs w:val="20"/>
          <w:color w:val="auto"/>
        </w:rPr>
      </w:pPr>
    </w:p>
    <w:p>
      <w:pPr>
        <w:sectPr>
          <w:pgSz w:w="11900" w:h="16838" w:orient="portrait"/>
          <w:cols w:equalWidth="0" w:num="2">
            <w:col w:w="4880" w:space="720"/>
            <w:col w:w="5400"/>
          </w:cols>
          <w:pgMar w:left="440" w:top="297" w:right="459" w:bottom="1440" w:gutter="0" w:footer="0" w:header="0"/>
          <w:type w:val="continuous"/>
        </w:sectPr>
      </w:pPr>
    </w:p>
    <w:p>
      <w:pPr>
        <w:spacing w:after="0"/>
        <w:tabs>
          <w:tab w:leader="none" w:pos="820" w:val="left"/>
        </w:tabs>
        <w:rPr>
          <w:rFonts w:ascii="Arial" w:cs="Arial" w:eastAsia="Arial" w:hAnsi="Arial"/>
          <w:sz w:val="16"/>
          <w:szCs w:val="16"/>
          <w:u w:val="single" w:color="auto"/>
          <w:color w:val="0000EE"/>
        </w:rPr>
      </w:pPr>
      <w:r>
        <w:rPr>
          <w:rFonts w:ascii="Arial" w:cs="Arial" w:eastAsia="Arial" w:hAnsi="Arial"/>
          <w:sz w:val="18"/>
          <w:szCs w:val="18"/>
          <w:color w:val="auto"/>
        </w:rPr>
        <w:t>99.1</w:t>
      </w:r>
      <w:r>
        <w:rPr>
          <w:sz w:val="20"/>
          <w:szCs w:val="20"/>
          <w:color w:val="auto"/>
        </w:rPr>
        <w:tab/>
      </w:r>
      <w:hyperlink w:anchor="page4">
        <w:r>
          <w:rPr>
            <w:rFonts w:ascii="Arial" w:cs="Arial" w:eastAsia="Arial" w:hAnsi="Arial"/>
            <w:sz w:val="16"/>
            <w:szCs w:val="16"/>
            <w:u w:val="single" w:color="auto"/>
            <w:color w:val="0000EE"/>
          </w:rPr>
          <w:t>Unaudited pro forma combined condensed financial statements of BellRing Brands, Inc.</w:t>
        </w:r>
      </w:hyperlink>
    </w:p>
    <w:p>
      <w:pPr>
        <w:spacing w:after="0" w:line="117" w:lineRule="exact"/>
        <w:rPr>
          <w:sz w:val="20"/>
          <w:szCs w:val="20"/>
          <w:color w:val="auto"/>
        </w:rPr>
      </w:pPr>
    </w:p>
    <w:p>
      <w:pPr>
        <w:spacing w:after="0"/>
        <w:tabs>
          <w:tab w:leader="none" w:pos="820" w:val="left"/>
        </w:tabs>
        <w:rPr>
          <w:sz w:val="20"/>
          <w:szCs w:val="20"/>
          <w:color w:val="auto"/>
        </w:rPr>
      </w:pPr>
      <w:r>
        <w:rPr>
          <w:rFonts w:ascii="Arial" w:cs="Arial" w:eastAsia="Arial" w:hAnsi="Arial"/>
          <w:sz w:val="16"/>
          <w:szCs w:val="16"/>
          <w:color w:val="auto"/>
        </w:rPr>
        <w:t>104</w:t>
      </w:r>
      <w:r>
        <w:rPr>
          <w:sz w:val="20"/>
          <w:szCs w:val="20"/>
          <w:color w:val="auto"/>
        </w:rPr>
        <w:tab/>
      </w:r>
      <w:r>
        <w:rPr>
          <w:rFonts w:ascii="Arial" w:cs="Arial" w:eastAsia="Arial" w:hAnsi="Arial"/>
          <w:sz w:val="16"/>
          <w:szCs w:val="16"/>
          <w:color w:val="auto"/>
        </w:rPr>
        <w:t>Cover Page Interactive Data File (the cover page iXBRL tags are embedded within the Inline XBRL document)</w:t>
      </w:r>
    </w:p>
    <w:p>
      <w:pPr>
        <w:sectPr>
          <w:pgSz w:w="11900" w:h="16838" w:orient="portrait"/>
          <w:cols w:equalWidth="0" w:num="1">
            <w:col w:w="11000"/>
          </w:cols>
          <w:pgMar w:left="440" w:top="297" w:right="459" w:bottom="1440" w:gutter="0" w:footer="0" w:header="0"/>
          <w:type w:val="continuous"/>
        </w:sectPr>
      </w:pPr>
    </w:p>
    <w:bookmarkStart w:id="2" w:name="page3"/>
    <w:bookmarkEnd w:id="2"/>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74865" cy="55245"/>
                    </a:xfrm>
                    <a:prstGeom prst="rect">
                      <a:avLst/>
                    </a:prstGeom>
                    <a:noFill/>
                  </pic:spPr>
                </pic:pic>
              </a:graphicData>
            </a:graphic>
          </wp:anchor>
        </w:drawing>
        <w:t>SIGNATURE</w:t>
      </w:r>
    </w:p>
    <w:p>
      <w:pPr>
        <w:spacing w:after="0" w:line="229" w:lineRule="exact"/>
        <w:rPr>
          <w:sz w:val="20"/>
          <w:szCs w:val="20"/>
          <w:color w:val="auto"/>
        </w:rPr>
      </w:pPr>
    </w:p>
    <w:p>
      <w:pPr>
        <w:ind w:right="760"/>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hereunto duly authorized.</w:t>
      </w:r>
    </w:p>
    <w:p>
      <w:pPr>
        <w:spacing w:after="0" w:line="193" w:lineRule="exact"/>
        <w:rPr>
          <w:sz w:val="20"/>
          <w:szCs w:val="20"/>
          <w:color w:val="auto"/>
        </w:rPr>
      </w:pPr>
    </w:p>
    <w:tbl>
      <w:tblPr>
        <w:tblLayout w:type="fixed"/>
        <w:tblInd w:w="0" w:type="dxa"/>
        <w:tblCellMar>
          <w:top w:w="0" w:type="dxa"/>
          <w:left w:w="0" w:type="dxa"/>
          <w:bottom w:w="0" w:type="dxa"/>
          <w:right w:w="0" w:type="dxa"/>
        </w:tblCellMar>
      </w:tblPr>
      <w:tr>
        <w:trPr>
          <w:trHeight w:val="220"/>
        </w:trPr>
        <w:tc>
          <w:tcPr>
            <w:tcW w:w="3540" w:type="dxa"/>
            <w:vAlign w:val="bottom"/>
          </w:tcPr>
          <w:p>
            <w:pPr>
              <w:spacing w:after="0"/>
              <w:rPr>
                <w:sz w:val="20"/>
                <w:szCs w:val="20"/>
                <w:color w:val="auto"/>
              </w:rPr>
            </w:pPr>
            <w:r>
              <w:rPr>
                <w:rFonts w:ascii="Arial" w:cs="Arial" w:eastAsia="Arial" w:hAnsi="Arial"/>
                <w:sz w:val="18"/>
                <w:szCs w:val="18"/>
                <w:color w:val="auto"/>
              </w:rPr>
              <w:t>Date: March 16, 2022</w:t>
            </w:r>
          </w:p>
        </w:tc>
        <w:tc>
          <w:tcPr>
            <w:tcW w:w="7480" w:type="dxa"/>
            <w:vAlign w:val="bottom"/>
            <w:gridSpan w:val="2"/>
          </w:tcPr>
          <w:p>
            <w:pPr>
              <w:ind w:left="1980"/>
              <w:spacing w:after="0"/>
              <w:rPr>
                <w:sz w:val="20"/>
                <w:szCs w:val="20"/>
                <w:color w:val="auto"/>
              </w:rPr>
            </w:pPr>
            <w:r>
              <w:rPr>
                <w:rFonts w:ascii="Arial" w:cs="Arial" w:eastAsia="Arial" w:hAnsi="Arial"/>
                <w:sz w:val="18"/>
                <w:szCs w:val="18"/>
                <w:b w:val="1"/>
                <w:bCs w:val="1"/>
                <w:color w:val="auto"/>
              </w:rPr>
              <w:t>BellRing Brands, Inc.</w:t>
            </w:r>
          </w:p>
        </w:tc>
      </w:tr>
      <w:tr>
        <w:trPr>
          <w:trHeight w:val="230"/>
        </w:trPr>
        <w:tc>
          <w:tcPr>
            <w:tcW w:w="3540" w:type="dxa"/>
            <w:vAlign w:val="bottom"/>
          </w:tcPr>
          <w:p>
            <w:pPr>
              <w:spacing w:after="0"/>
              <w:rPr>
                <w:sz w:val="20"/>
                <w:szCs w:val="20"/>
                <w:color w:val="auto"/>
              </w:rPr>
            </w:pPr>
          </w:p>
        </w:tc>
        <w:tc>
          <w:tcPr>
            <w:tcW w:w="7480" w:type="dxa"/>
            <w:vAlign w:val="bottom"/>
            <w:gridSpan w:val="2"/>
          </w:tcPr>
          <w:p>
            <w:pPr>
              <w:ind w:left="1980"/>
              <w:spacing w:after="0"/>
              <w:rPr>
                <w:sz w:val="20"/>
                <w:szCs w:val="20"/>
                <w:color w:val="auto"/>
              </w:rPr>
            </w:pPr>
            <w:r>
              <w:rPr>
                <w:rFonts w:ascii="Arial" w:cs="Arial" w:eastAsia="Arial" w:hAnsi="Arial"/>
                <w:sz w:val="18"/>
                <w:szCs w:val="18"/>
                <w:color w:val="auto"/>
              </w:rPr>
              <w:t>(Registrant)</w:t>
            </w:r>
          </w:p>
        </w:tc>
      </w:tr>
      <w:tr>
        <w:trPr>
          <w:trHeight w:val="432"/>
        </w:trPr>
        <w:tc>
          <w:tcPr>
            <w:tcW w:w="3540" w:type="dxa"/>
            <w:vAlign w:val="bottom"/>
          </w:tcPr>
          <w:p>
            <w:pPr>
              <w:spacing w:after="0"/>
              <w:rPr>
                <w:sz w:val="24"/>
                <w:szCs w:val="24"/>
                <w:color w:val="auto"/>
              </w:rPr>
            </w:pPr>
          </w:p>
        </w:tc>
        <w:tc>
          <w:tcPr>
            <w:tcW w:w="2620" w:type="dxa"/>
            <w:vAlign w:val="bottom"/>
          </w:tcPr>
          <w:p>
            <w:pPr>
              <w:ind w:left="1980"/>
              <w:spacing w:after="0"/>
              <w:rPr>
                <w:sz w:val="20"/>
                <w:szCs w:val="20"/>
                <w:color w:val="auto"/>
              </w:rPr>
            </w:pPr>
            <w:r>
              <w:rPr>
                <w:rFonts w:ascii="Arial" w:cs="Arial" w:eastAsia="Arial" w:hAnsi="Arial"/>
                <w:sz w:val="18"/>
                <w:szCs w:val="18"/>
                <w:color w:val="auto"/>
              </w:rPr>
              <w:t>By:</w:t>
            </w:r>
          </w:p>
        </w:tc>
        <w:tc>
          <w:tcPr>
            <w:tcW w:w="486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Craig Rosenthal</w:t>
            </w:r>
          </w:p>
        </w:tc>
      </w:tr>
      <w:tr>
        <w:trPr>
          <w:trHeight w:val="209"/>
        </w:trPr>
        <w:tc>
          <w:tcPr>
            <w:tcW w:w="3540" w:type="dxa"/>
            <w:vAlign w:val="bottom"/>
          </w:tcPr>
          <w:p>
            <w:pPr>
              <w:spacing w:after="0"/>
              <w:rPr>
                <w:sz w:val="18"/>
                <w:szCs w:val="18"/>
                <w:color w:val="auto"/>
              </w:rPr>
            </w:pPr>
          </w:p>
        </w:tc>
        <w:tc>
          <w:tcPr>
            <w:tcW w:w="2620" w:type="dxa"/>
            <w:vAlign w:val="bottom"/>
          </w:tcPr>
          <w:p>
            <w:pPr>
              <w:ind w:left="1980"/>
              <w:spacing w:after="0"/>
              <w:rPr>
                <w:sz w:val="20"/>
                <w:szCs w:val="20"/>
                <w:color w:val="auto"/>
              </w:rPr>
            </w:pPr>
            <w:r>
              <w:rPr>
                <w:rFonts w:ascii="Arial" w:cs="Arial" w:eastAsia="Arial" w:hAnsi="Arial"/>
                <w:sz w:val="18"/>
                <w:szCs w:val="18"/>
                <w:color w:val="auto"/>
              </w:rPr>
              <w:t>Name:</w:t>
            </w:r>
          </w:p>
        </w:tc>
        <w:tc>
          <w:tcPr>
            <w:tcW w:w="4860" w:type="dxa"/>
            <w:vAlign w:val="bottom"/>
          </w:tcPr>
          <w:p>
            <w:pPr>
              <w:spacing w:after="0"/>
              <w:rPr>
                <w:sz w:val="20"/>
                <w:szCs w:val="20"/>
                <w:color w:val="auto"/>
              </w:rPr>
            </w:pPr>
            <w:r>
              <w:rPr>
                <w:rFonts w:ascii="Arial" w:cs="Arial" w:eastAsia="Arial" w:hAnsi="Arial"/>
                <w:sz w:val="18"/>
                <w:szCs w:val="18"/>
                <w:color w:val="auto"/>
              </w:rPr>
              <w:t>Craig Rosenthal</w:t>
            </w:r>
          </w:p>
        </w:tc>
      </w:tr>
      <w:tr>
        <w:trPr>
          <w:trHeight w:val="230"/>
        </w:trPr>
        <w:tc>
          <w:tcPr>
            <w:tcW w:w="3540" w:type="dxa"/>
            <w:vAlign w:val="bottom"/>
          </w:tcPr>
          <w:p>
            <w:pPr>
              <w:spacing w:after="0"/>
              <w:rPr>
                <w:sz w:val="20"/>
                <w:szCs w:val="20"/>
                <w:color w:val="auto"/>
              </w:rPr>
            </w:pPr>
          </w:p>
        </w:tc>
        <w:tc>
          <w:tcPr>
            <w:tcW w:w="2620" w:type="dxa"/>
            <w:vAlign w:val="bottom"/>
          </w:tcPr>
          <w:p>
            <w:pPr>
              <w:ind w:left="1980"/>
              <w:spacing w:after="0"/>
              <w:rPr>
                <w:sz w:val="20"/>
                <w:szCs w:val="20"/>
                <w:color w:val="auto"/>
              </w:rPr>
            </w:pPr>
            <w:r>
              <w:rPr>
                <w:rFonts w:ascii="Arial" w:cs="Arial" w:eastAsia="Arial" w:hAnsi="Arial"/>
                <w:sz w:val="18"/>
                <w:szCs w:val="18"/>
                <w:color w:val="auto"/>
              </w:rPr>
              <w:t>Title:</w:t>
            </w:r>
          </w:p>
        </w:tc>
        <w:tc>
          <w:tcPr>
            <w:tcW w:w="4860" w:type="dxa"/>
            <w:vAlign w:val="bottom"/>
          </w:tcPr>
          <w:p>
            <w:pPr>
              <w:spacing w:after="0"/>
              <w:rPr>
                <w:sz w:val="20"/>
                <w:szCs w:val="20"/>
                <w:color w:val="auto"/>
              </w:rPr>
            </w:pPr>
            <w:r>
              <w:rPr>
                <w:rFonts w:ascii="Arial" w:cs="Arial" w:eastAsia="Arial" w:hAnsi="Arial"/>
                <w:sz w:val="18"/>
                <w:szCs w:val="18"/>
                <w:color w:val="auto"/>
              </w:rPr>
              <w:t>Senior Vice President &amp; General Counsel</w:t>
            </w:r>
          </w:p>
        </w:tc>
      </w:tr>
    </w:tbl>
    <w:p>
      <w:pPr>
        <w:sectPr>
          <w:pgSz w:w="11900" w:h="16838" w:orient="portrait"/>
          <w:cols w:equalWidth="0" w:num="1">
            <w:col w:w="11020"/>
          </w:cols>
          <w:pgMar w:left="440" w:top="297" w:right="439" w:bottom="1440" w:gutter="0" w:footer="0" w:header="0"/>
        </w:sectPr>
      </w:pPr>
    </w:p>
    <w:bookmarkStart w:id="3" w:name="page4"/>
    <w:bookmarkEnd w:id="3"/>
    <w:p>
      <w:pPr>
        <w:jc w:val="right"/>
        <w:spacing w:after="0"/>
        <w:rPr>
          <w:sz w:val="20"/>
          <w:szCs w:val="20"/>
          <w:color w:val="auto"/>
        </w:rPr>
      </w:pPr>
      <w:r>
        <w:rPr>
          <w:rFonts w:ascii="Arial" w:cs="Arial" w:eastAsia="Arial" w:hAnsi="Arial"/>
          <w:sz w:val="18"/>
          <w:szCs w:val="18"/>
          <w:b w:val="1"/>
          <w:bCs w:val="1"/>
          <w:color w:val="auto"/>
        </w:rPr>
        <w:t>Exhibit 99.1</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 Pro Forma Combined Condensed Financial Statements</w:t>
      </w:r>
    </w:p>
    <w:p>
      <w:pPr>
        <w:spacing w:after="0" w:line="229" w:lineRule="exact"/>
        <w:rPr>
          <w:sz w:val="20"/>
          <w:szCs w:val="20"/>
          <w:color w:val="auto"/>
        </w:rPr>
      </w:pPr>
    </w:p>
    <w:p>
      <w:pPr>
        <w:ind w:right="60"/>
        <w:spacing w:after="0" w:line="286" w:lineRule="auto"/>
        <w:rPr>
          <w:sz w:val="20"/>
          <w:szCs w:val="20"/>
          <w:color w:val="auto"/>
        </w:rPr>
      </w:pPr>
      <w:r>
        <w:rPr>
          <w:rFonts w:ascii="Arial" w:cs="Arial" w:eastAsia="Arial" w:hAnsi="Arial"/>
          <w:sz w:val="16"/>
          <w:szCs w:val="16"/>
          <w:color w:val="auto"/>
        </w:rPr>
        <w:t>The unaudited pro forma combined condensed financial statements give effect to the transactions, as described below. The unaudited pro forma combined condensed balance sheet gives effect to the transactions as if they had occurred on December 31, 2021 and the unaudited pro forma combined condensed statement of operations gives effect to the transactions as if they had occurred on October 1, 2020. The unaudited pro forma combined condensed financial statements were prepared using the accounting for transactions between entities under common control under U.S. generally accepted accounting principles, or GAAP, which is subject to change and interpretation. Prior to completion of the transaction, both BellRing Brands, Inc. (formerly known as BellRing Distribution, LLC, “New BellRing”) and BellRing Intermediate Holdings, Inc. (formerly known as BellRing Brands, Inc., “Old BellRing”) were controlled by Post Holdings, Inc. (“Post”) and as such, the transactions were accounted for as a transfer of interest under common control in accordance with Accounting Standards Codification Topic 805-50-15-6. Accordingly, New BellRing’s combined financial statements will recognize the assets and liabilities received in the transaction at their historical carrying amounts, as reflected in the historical consolidated financial statements of Old BellRing. The unaudited pro forma combined condensed financial statements have been prepared by Old BellRing management and are based on Old BellRing’s historical financial statements and the assumptions and adjustments described in the notes to the unaudited pro forma combined condensed financial information below. The presentation of the unaudited pro forma financial statements is prepared in conformity with Article 11 of Regulation S-X rules effective January 1, 2021.</w:t>
      </w:r>
    </w:p>
    <w:p>
      <w:pPr>
        <w:spacing w:after="0" w:line="174" w:lineRule="exact"/>
        <w:rPr>
          <w:sz w:val="20"/>
          <w:szCs w:val="20"/>
          <w:color w:val="auto"/>
        </w:rPr>
      </w:pPr>
    </w:p>
    <w:p>
      <w:pPr>
        <w:ind w:right="260"/>
        <w:spacing w:after="0" w:line="259" w:lineRule="auto"/>
        <w:rPr>
          <w:sz w:val="20"/>
          <w:szCs w:val="20"/>
          <w:color w:val="auto"/>
        </w:rPr>
      </w:pPr>
      <w:r>
        <w:rPr>
          <w:rFonts w:ascii="Arial" w:cs="Arial" w:eastAsia="Arial" w:hAnsi="Arial"/>
          <w:sz w:val="18"/>
          <w:szCs w:val="18"/>
          <w:color w:val="auto"/>
        </w:rPr>
        <w:t>Old BellRing’s historical financial information for the three months ended December 31, 2021 and for the fiscal year ended September 30, 2021 have been derived from Old BellRing’s consolidated financial statements and the related notes, in each case, in Old BellRing’s Quarterly Report on Form 10-Q and Annual Report on Form 10-K for the corresponding periods, which are available at the Securities and Exchange Commission’s (the “SEC”) website at www.sec.gov.</w:t>
      </w:r>
    </w:p>
    <w:p>
      <w:pPr>
        <w:spacing w:after="0" w:line="187" w:lineRule="exact"/>
        <w:rPr>
          <w:sz w:val="20"/>
          <w:szCs w:val="20"/>
          <w:color w:val="auto"/>
        </w:rPr>
      </w:pPr>
    </w:p>
    <w:p>
      <w:pPr>
        <w:ind w:right="640"/>
        <w:spacing w:after="0" w:line="342" w:lineRule="auto"/>
        <w:rPr>
          <w:sz w:val="20"/>
          <w:szCs w:val="20"/>
          <w:color w:val="auto"/>
        </w:rPr>
      </w:pPr>
      <w:r>
        <w:rPr>
          <w:rFonts w:ascii="Arial" w:cs="Arial" w:eastAsia="Arial" w:hAnsi="Arial"/>
          <w:sz w:val="16"/>
          <w:szCs w:val="16"/>
          <w:color w:val="auto"/>
        </w:rPr>
        <w:t>The unaudited pro forma combined condensed financial statements have been prepared to include transaction accounting and autonomous entity adjustments to reflect the financial condition and results of operations as if New BellRing were a separate stand-alone entity.</w:t>
      </w:r>
    </w:p>
    <w:p>
      <w:pPr>
        <w:spacing w:after="0" w:line="124" w:lineRule="exact"/>
        <w:rPr>
          <w:sz w:val="20"/>
          <w:szCs w:val="20"/>
          <w:color w:val="auto"/>
        </w:rPr>
      </w:pPr>
    </w:p>
    <w:p>
      <w:pPr>
        <w:spacing w:after="0"/>
        <w:rPr>
          <w:sz w:val="20"/>
          <w:szCs w:val="20"/>
          <w:color w:val="auto"/>
        </w:rPr>
      </w:pPr>
      <w:r>
        <w:rPr>
          <w:rFonts w:ascii="Arial" w:cs="Arial" w:eastAsia="Arial" w:hAnsi="Arial"/>
          <w:sz w:val="18"/>
          <w:szCs w:val="18"/>
          <w:color w:val="auto"/>
        </w:rPr>
        <w:t>Transaction accounting adjustments that reflect the effects of Old BellRing’s legal separation from Post include the following adjustments:</w:t>
      </w:r>
    </w:p>
    <w:p>
      <w:pPr>
        <w:spacing w:after="0" w:line="131" w:lineRule="exact"/>
        <w:rPr>
          <w:sz w:val="20"/>
          <w:szCs w:val="20"/>
          <w:color w:val="auto"/>
        </w:rPr>
      </w:pPr>
    </w:p>
    <w:p>
      <w:pPr>
        <w:jc w:val="both"/>
        <w:ind w:left="960" w:right="120" w:hanging="424"/>
        <w:spacing w:after="0" w:line="286" w:lineRule="auto"/>
        <w:tabs>
          <w:tab w:leader="none" w:pos="960" w:val="left"/>
        </w:tabs>
        <w:numPr>
          <w:ilvl w:val="0"/>
          <w:numId w:val="2"/>
        </w:numPr>
        <w:rPr>
          <w:rFonts w:ascii="Arial" w:cs="Arial" w:eastAsia="Arial" w:hAnsi="Arial"/>
          <w:sz w:val="17"/>
          <w:szCs w:val="17"/>
          <w:color w:val="auto"/>
        </w:rPr>
      </w:pPr>
      <w:r>
        <w:rPr>
          <w:rFonts w:ascii="Arial" w:cs="Arial" w:eastAsia="Arial" w:hAnsi="Arial"/>
          <w:sz w:val="17"/>
          <w:szCs w:val="17"/>
          <w:color w:val="auto"/>
        </w:rPr>
        <w:t>adjustments for the completion of the separation (the “separation”) of Post and New BellRing under the terms described in the transaction agreement and plan of merger, dated as of October 26, 2021 (as amended, modified or supplemented from time to time, including by that certain amendment no. 1 to the transaction agreement and plan of merger, dated as of February 28, 2022);</w:t>
      </w:r>
    </w:p>
    <w:p>
      <w:pPr>
        <w:spacing w:after="0" w:line="70" w:lineRule="exact"/>
        <w:rPr>
          <w:rFonts w:ascii="Arial" w:cs="Arial" w:eastAsia="Arial" w:hAnsi="Arial"/>
          <w:sz w:val="17"/>
          <w:szCs w:val="17"/>
          <w:color w:val="auto"/>
        </w:rPr>
      </w:pPr>
    </w:p>
    <w:p>
      <w:pPr>
        <w:ind w:left="960" w:right="240" w:hanging="424"/>
        <w:spacing w:after="0" w:line="259" w:lineRule="auto"/>
        <w:tabs>
          <w:tab w:leader="none" w:pos="960" w:val="left"/>
        </w:tabs>
        <w:numPr>
          <w:ilvl w:val="0"/>
          <w:numId w:val="2"/>
        </w:numPr>
        <w:rPr>
          <w:rFonts w:ascii="Arial" w:cs="Arial" w:eastAsia="Arial" w:hAnsi="Arial"/>
          <w:sz w:val="18"/>
          <w:szCs w:val="18"/>
          <w:color w:val="auto"/>
        </w:rPr>
      </w:pPr>
      <w:r>
        <w:rPr>
          <w:rFonts w:ascii="Arial" w:cs="Arial" w:eastAsia="Arial" w:hAnsi="Arial"/>
          <w:sz w:val="18"/>
          <w:szCs w:val="18"/>
          <w:color w:val="auto"/>
        </w:rPr>
        <w:t>adjustments for the (i) issuance by New BellRing of 7.00% Senior Notes due 2030 (the “notes”) and borrowing under the New BellRing credit agreement (collectively, the “New BellRing debt financing transactions,” with the indebtedness incurred under the New BellRing debt financing transactions referred to as the “New BellRing debt”) and (ii) the repayment of Old BellRing’s outstanding indebtedness under BellRing Brands, LLC’s (“BellRing LLC”) credit agreement;</w:t>
      </w:r>
    </w:p>
    <w:p>
      <w:pPr>
        <w:spacing w:after="0" w:line="92" w:lineRule="exact"/>
        <w:rPr>
          <w:rFonts w:ascii="Arial" w:cs="Arial" w:eastAsia="Arial" w:hAnsi="Arial"/>
          <w:sz w:val="18"/>
          <w:szCs w:val="18"/>
          <w:color w:val="auto"/>
        </w:rPr>
      </w:pPr>
    </w:p>
    <w:p>
      <w:pPr>
        <w:ind w:left="960" w:right="480" w:hanging="424"/>
        <w:spacing w:after="0" w:line="263" w:lineRule="auto"/>
        <w:tabs>
          <w:tab w:leader="none" w:pos="960" w:val="left"/>
        </w:tabs>
        <w:numPr>
          <w:ilvl w:val="0"/>
          <w:numId w:val="2"/>
        </w:numPr>
        <w:rPr>
          <w:rFonts w:ascii="Arial" w:cs="Arial" w:eastAsia="Arial" w:hAnsi="Arial"/>
          <w:sz w:val="18"/>
          <w:szCs w:val="18"/>
          <w:color w:val="auto"/>
        </w:rPr>
      </w:pPr>
      <w:r>
        <w:rPr>
          <w:rFonts w:ascii="Arial" w:cs="Arial" w:eastAsia="Arial" w:hAnsi="Arial"/>
          <w:sz w:val="18"/>
          <w:szCs w:val="18"/>
          <w:color w:val="auto"/>
        </w:rPr>
        <w:t>adjustments for the dissolution of Old BellRing’s Up-C structure, including the reversal of the liability related to the tax receivable agreement between Old BellRing and Post and the resulting tax impacts of a higher effective tax rate more closely aligned with other C-corporations;</w:t>
      </w:r>
    </w:p>
    <w:p>
      <w:pPr>
        <w:spacing w:after="0" w:line="89" w:lineRule="exact"/>
        <w:rPr>
          <w:rFonts w:ascii="Arial" w:cs="Arial" w:eastAsia="Arial" w:hAnsi="Arial"/>
          <w:sz w:val="18"/>
          <w:szCs w:val="18"/>
          <w:color w:val="auto"/>
        </w:rPr>
      </w:pPr>
    </w:p>
    <w:p>
      <w:pPr>
        <w:ind w:left="960" w:hanging="424"/>
        <w:spacing w:after="0"/>
        <w:tabs>
          <w:tab w:leader="none" w:pos="960" w:val="left"/>
        </w:tabs>
        <w:numPr>
          <w:ilvl w:val="0"/>
          <w:numId w:val="2"/>
        </w:numPr>
        <w:rPr>
          <w:rFonts w:ascii="Arial" w:cs="Arial" w:eastAsia="Arial" w:hAnsi="Arial"/>
          <w:sz w:val="18"/>
          <w:szCs w:val="18"/>
          <w:color w:val="auto"/>
        </w:rPr>
      </w:pPr>
      <w:r>
        <w:rPr>
          <w:rFonts w:ascii="Arial" w:cs="Arial" w:eastAsia="Arial" w:hAnsi="Arial"/>
          <w:sz w:val="18"/>
          <w:szCs w:val="18"/>
          <w:color w:val="auto"/>
        </w:rPr>
        <w:t>adjustments for Post’s spin-off of 80.1% of its interest in New BellRing to its shareholders (the “distribution”); and</w:t>
      </w:r>
    </w:p>
    <w:p>
      <w:pPr>
        <w:spacing w:after="0" w:line="130" w:lineRule="exact"/>
        <w:rPr>
          <w:rFonts w:ascii="Arial" w:cs="Arial" w:eastAsia="Arial" w:hAnsi="Arial"/>
          <w:sz w:val="18"/>
          <w:szCs w:val="18"/>
          <w:color w:val="auto"/>
        </w:rPr>
      </w:pPr>
    </w:p>
    <w:p>
      <w:pPr>
        <w:ind w:left="960" w:right="180" w:hanging="424"/>
        <w:spacing w:after="0" w:line="263" w:lineRule="auto"/>
        <w:tabs>
          <w:tab w:leader="none" w:pos="960" w:val="left"/>
        </w:tabs>
        <w:numPr>
          <w:ilvl w:val="0"/>
          <w:numId w:val="2"/>
        </w:numPr>
        <w:rPr>
          <w:rFonts w:ascii="Arial" w:cs="Arial" w:eastAsia="Arial" w:hAnsi="Arial"/>
          <w:sz w:val="18"/>
          <w:szCs w:val="18"/>
          <w:color w:val="auto"/>
        </w:rPr>
      </w:pPr>
      <w:r>
        <w:rPr>
          <w:rFonts w:ascii="Arial" w:cs="Arial" w:eastAsia="Arial" w:hAnsi="Arial"/>
          <w:sz w:val="18"/>
          <w:szCs w:val="18"/>
          <w:color w:val="auto"/>
        </w:rPr>
        <w:t>adjustments for the merger (the “merger”) of BellRing Merger Sub Corporation, a wholly-owned subsidiary of New BellRing, with and into Old BellRing, as a result of which, Old BellRing became a direct, wholly owned subsidiary of New BellRing, with New BellRing as the new public parent company of Old BellRing and the successor registrant to Old BellRing.</w:t>
      </w:r>
    </w:p>
    <w:p>
      <w:pPr>
        <w:spacing w:after="0" w:line="184" w:lineRule="exact"/>
        <w:rPr>
          <w:sz w:val="20"/>
          <w:szCs w:val="20"/>
          <w:color w:val="auto"/>
        </w:rPr>
      </w:pPr>
    </w:p>
    <w:p>
      <w:pPr>
        <w:ind w:right="80"/>
        <w:spacing w:after="0" w:line="277" w:lineRule="auto"/>
        <w:rPr>
          <w:sz w:val="20"/>
          <w:szCs w:val="20"/>
          <w:color w:val="auto"/>
        </w:rPr>
      </w:pPr>
      <w:r>
        <w:rPr>
          <w:rFonts w:ascii="Arial" w:cs="Arial" w:eastAsia="Arial" w:hAnsi="Arial"/>
          <w:sz w:val="18"/>
          <w:szCs w:val="18"/>
          <w:color w:val="auto"/>
        </w:rPr>
        <w:t>Autonomous entity adjustments of incremental expense or other changes necessary to reflect the operations and financial position of Old BellRing as an autonomous entity when Old BellRing was previously part of Post include the following adjustments:</w:t>
      </w:r>
    </w:p>
    <w:p>
      <w:pPr>
        <w:spacing w:after="0" w:line="76" w:lineRule="exact"/>
        <w:rPr>
          <w:sz w:val="20"/>
          <w:szCs w:val="20"/>
          <w:color w:val="auto"/>
        </w:rPr>
      </w:pPr>
    </w:p>
    <w:p>
      <w:pPr>
        <w:ind w:left="960" w:right="620" w:hanging="424"/>
        <w:spacing w:after="0" w:line="277" w:lineRule="auto"/>
        <w:tabs>
          <w:tab w:leader="none" w:pos="960" w:val="left"/>
        </w:tabs>
        <w:numPr>
          <w:ilvl w:val="0"/>
          <w:numId w:val="3"/>
        </w:numPr>
        <w:rPr>
          <w:rFonts w:ascii="Arial" w:cs="Arial" w:eastAsia="Arial" w:hAnsi="Arial"/>
          <w:sz w:val="18"/>
          <w:szCs w:val="18"/>
          <w:color w:val="auto"/>
        </w:rPr>
      </w:pPr>
      <w:r>
        <w:rPr>
          <w:rFonts w:ascii="Arial" w:cs="Arial" w:eastAsia="Arial" w:hAnsi="Arial"/>
          <w:sz w:val="18"/>
          <w:szCs w:val="18"/>
          <w:color w:val="auto"/>
        </w:rPr>
        <w:t>adjustments for incremental costs expected to be incurred under the amended and restated master services agreement between New BellRing and Post; and</w:t>
      </w:r>
    </w:p>
    <w:p>
      <w:pPr>
        <w:spacing w:after="0" w:line="75" w:lineRule="exact"/>
        <w:rPr>
          <w:rFonts w:ascii="Arial" w:cs="Arial" w:eastAsia="Arial" w:hAnsi="Arial"/>
          <w:sz w:val="18"/>
          <w:szCs w:val="18"/>
          <w:color w:val="auto"/>
        </w:rPr>
      </w:pPr>
    </w:p>
    <w:p>
      <w:pPr>
        <w:ind w:left="960" w:right="40" w:hanging="424"/>
        <w:spacing w:after="0" w:line="277" w:lineRule="auto"/>
        <w:tabs>
          <w:tab w:leader="none" w:pos="960" w:val="left"/>
        </w:tabs>
        <w:numPr>
          <w:ilvl w:val="0"/>
          <w:numId w:val="3"/>
        </w:numPr>
        <w:rPr>
          <w:rFonts w:ascii="Arial" w:cs="Arial" w:eastAsia="Arial" w:hAnsi="Arial"/>
          <w:sz w:val="18"/>
          <w:szCs w:val="18"/>
          <w:color w:val="auto"/>
        </w:rPr>
      </w:pPr>
      <w:r>
        <w:rPr>
          <w:rFonts w:ascii="Arial" w:cs="Arial" w:eastAsia="Arial" w:hAnsi="Arial"/>
          <w:sz w:val="18"/>
          <w:szCs w:val="18"/>
          <w:color w:val="auto"/>
        </w:rPr>
        <w:t>adjustments to deferred taxes related to the anticipated termination of BellRing LLC’s partnership structure for U.S. federal, state and local income tax purposes.</w:t>
      </w:r>
    </w:p>
    <w:p>
      <w:pPr>
        <w:spacing w:after="0" w:line="170" w:lineRule="exact"/>
        <w:rPr>
          <w:sz w:val="20"/>
          <w:szCs w:val="20"/>
          <w:color w:val="auto"/>
        </w:rPr>
      </w:pPr>
    </w:p>
    <w:p>
      <w:pPr>
        <w:ind w:right="140"/>
        <w:spacing w:after="0" w:line="257" w:lineRule="auto"/>
        <w:rPr>
          <w:sz w:val="20"/>
          <w:szCs w:val="20"/>
          <w:color w:val="auto"/>
        </w:rPr>
      </w:pPr>
      <w:r>
        <w:rPr>
          <w:rFonts w:ascii="Arial" w:cs="Arial" w:eastAsia="Arial" w:hAnsi="Arial"/>
          <w:sz w:val="18"/>
          <w:szCs w:val="18"/>
          <w:color w:val="auto"/>
        </w:rPr>
        <w:t>The unaudited pro forma combined condensed financial statements should be read in conjunction with the accompanying notes to the unaudited pro forma combined condensed financial statements and Old BellRing’s “Management’s Discussion and Analysis of Financial Condition and Results of Operations” in Old BellRing’s Annual Report on Form 10-K and Quarterly Report on Form 10-Q for the corresponding periods, which are available at the SEC’s website at www.sec.gov. In addition, the unaudited pro forma combined condensed financial statements were based on and should be read in conjunction with the separate unaudited condensed</w:t>
      </w:r>
    </w:p>
    <w:p>
      <w:pPr>
        <w:sectPr>
          <w:pgSz w:w="11900" w:h="16838" w:orient="portrait"/>
          <w:cols w:equalWidth="0" w:num="1">
            <w:col w:w="11020"/>
          </w:cols>
          <w:pgMar w:left="440" w:top="121" w:right="439" w:bottom="1440" w:gutter="0" w:footer="0" w:header="0"/>
        </w:sectPr>
      </w:pPr>
    </w:p>
    <w:bookmarkStart w:id="4" w:name="page5"/>
    <w:bookmarkEnd w:id="4"/>
    <w:p>
      <w:pPr>
        <w:ind w:right="200"/>
        <w:spacing w:after="0" w:line="259"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74865" cy="38735"/>
                    </a:xfrm>
                    <a:prstGeom prst="rect">
                      <a:avLst/>
                    </a:prstGeom>
                    <a:noFill/>
                  </pic:spPr>
                </pic:pic>
              </a:graphicData>
            </a:graphic>
          </wp:anchor>
        </w:drawing>
        <w:t>consolidated financial statements of Old BellRing as of December 31, 2021 and 2020 and for the quarters ended December 31, 2021 and 2020, the separate audited consolidated financial statements of Old BellRing as of September 30, 2021 and 2020 and for the years ended September 30, 2021, 2020 and 2019, and the related notes, in each case, in Old BellRing’s Annual Report on Form 10-K and Quarterly Report on Form 10-Q for the corresponding periods, which are available at the SEC’s website at www.sec.gov.</w:t>
      </w:r>
    </w:p>
    <w:p>
      <w:pPr>
        <w:spacing w:after="0" w:line="187" w:lineRule="exact"/>
        <w:rPr>
          <w:sz w:val="20"/>
          <w:szCs w:val="20"/>
          <w:color w:val="auto"/>
        </w:rPr>
      </w:pPr>
    </w:p>
    <w:p>
      <w:pPr>
        <w:spacing w:after="0" w:line="254" w:lineRule="auto"/>
        <w:rPr>
          <w:sz w:val="20"/>
          <w:szCs w:val="20"/>
          <w:color w:val="auto"/>
        </w:rPr>
      </w:pPr>
      <w:r>
        <w:rPr>
          <w:rFonts w:ascii="Arial" w:cs="Arial" w:eastAsia="Arial" w:hAnsi="Arial"/>
          <w:sz w:val="18"/>
          <w:szCs w:val="18"/>
          <w:color w:val="auto"/>
        </w:rPr>
        <w:t>The unaudited pro forma combined condensed financial statements have been presented for informational purposes only. The pro forma information is not necessarily indicative of what New BellRing’s financial position or results of operations actually would have been had the transactions been completed as of the dates indicated. In addition, the unaudited pro forma combined condensed financial statements do not purport to project New BellRing’s future financial position or operating results. In addition, the unaudited pro forma combined condensed financial statements include adjustments which are preliminary and have been made solely for the purpose of providing unaudited pro forma combined condensed financial statements prepared in accordance with the rules and regulations of the SEC. There can be no assurance that such revisions will not result in material changes.</w:t>
      </w:r>
    </w:p>
    <w:p>
      <w:pPr>
        <w:spacing w:after="0" w:line="195" w:lineRule="exact"/>
        <w:rPr>
          <w:sz w:val="20"/>
          <w:szCs w:val="20"/>
          <w:color w:val="auto"/>
        </w:rPr>
      </w:pPr>
    </w:p>
    <w:p>
      <w:pPr>
        <w:spacing w:after="0" w:line="301" w:lineRule="auto"/>
        <w:rPr>
          <w:sz w:val="20"/>
          <w:szCs w:val="20"/>
          <w:color w:val="auto"/>
        </w:rPr>
      </w:pPr>
      <w:r>
        <w:rPr>
          <w:rFonts w:ascii="Arial" w:cs="Arial" w:eastAsia="Arial" w:hAnsi="Arial"/>
          <w:sz w:val="16"/>
          <w:szCs w:val="16"/>
          <w:color w:val="auto"/>
        </w:rPr>
        <w:t>The unaudited pro forma combined condensed financial statements may not reflect all cost savings, operating synergies or revenue enhancements that New BellRing may achieve as a result of the transactions or the costs necessary to achieve these cost savings, operating synergies and revenue enhancements. The unaudited pro forma combined condensed financial statements also do not reflect all future costs that may be incurred in the future as a result of these transactions or the costs to transition certain corporate functions from Post to New BellRing.</w:t>
      </w:r>
    </w:p>
    <w:p>
      <w:pPr>
        <w:sectPr>
          <w:pgSz w:w="11900" w:h="16838" w:orient="portrait"/>
          <w:cols w:equalWidth="0" w:num="1">
            <w:col w:w="10840"/>
          </w:cols>
          <w:pgMar w:left="440" w:top="274" w:right="619" w:bottom="1440" w:gutter="0" w:footer="0" w:header="0"/>
        </w:sectPr>
      </w:pPr>
    </w:p>
    <w:bookmarkStart w:id="5" w:name="page6"/>
    <w:bookmarkEnd w:id="5"/>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74865" cy="38735"/>
                    </a:xfrm>
                    <a:prstGeom prst="rect">
                      <a:avLst/>
                    </a:prstGeom>
                    <a:noFill/>
                  </pic:spPr>
                </pic:pic>
              </a:graphicData>
            </a:graphic>
          </wp:anchor>
        </w:drawing>
        <w:t>Unaudited pro forma combined condensed statement of operations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For the three months ended December 31, 2021</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 millions, except per share data)</w:t>
      </w:r>
    </w:p>
    <w:p>
      <w:pPr>
        <w:spacing w:after="0" w:line="23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3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60" w:type="dxa"/>
            <w:vAlign w:val="bottom"/>
            <w:gridSpan w:val="2"/>
            <w:vMerge w:val="restart"/>
          </w:tcPr>
          <w:p>
            <w:pPr>
              <w:jc w:val="center"/>
              <w:ind w:right="520"/>
              <w:spacing w:after="0"/>
              <w:rPr>
                <w:sz w:val="20"/>
                <w:szCs w:val="20"/>
                <w:color w:val="auto"/>
              </w:rPr>
            </w:pPr>
            <w:r>
              <w:rPr>
                <w:rFonts w:ascii="Arial" w:cs="Arial" w:eastAsia="Arial" w:hAnsi="Arial"/>
                <w:sz w:val="14"/>
                <w:szCs w:val="14"/>
                <w:b w:val="1"/>
                <w:bCs w:val="1"/>
                <w:color w:val="auto"/>
                <w:w w:val="94"/>
              </w:rPr>
              <w:t>Old</w:t>
            </w:r>
          </w:p>
        </w:tc>
        <w:tc>
          <w:tcPr>
            <w:tcW w:w="1220" w:type="dxa"/>
            <w:vAlign w:val="bottom"/>
            <w:gridSpan w:val="3"/>
            <w:vMerge w:val="restart"/>
          </w:tcPr>
          <w:p>
            <w:pPr>
              <w:ind w:left="20"/>
              <w:spacing w:after="0"/>
              <w:rPr>
                <w:sz w:val="20"/>
                <w:szCs w:val="20"/>
                <w:color w:val="auto"/>
              </w:rPr>
            </w:pPr>
            <w:r>
              <w:rPr>
                <w:rFonts w:ascii="Arial" w:cs="Arial" w:eastAsia="Arial" w:hAnsi="Arial"/>
                <w:sz w:val="14"/>
                <w:szCs w:val="14"/>
                <w:b w:val="1"/>
                <w:bCs w:val="1"/>
                <w:color w:val="auto"/>
              </w:rPr>
              <w:t>Transaction</w:t>
            </w:r>
          </w:p>
        </w:tc>
        <w:tc>
          <w:tcPr>
            <w:tcW w:w="200" w:type="dxa"/>
            <w:vAlign w:val="bottom"/>
          </w:tcPr>
          <w:p>
            <w:pPr>
              <w:spacing w:after="0"/>
              <w:rPr>
                <w:sz w:val="14"/>
                <w:szCs w:val="14"/>
                <w:color w:val="auto"/>
              </w:rPr>
            </w:pPr>
          </w:p>
        </w:tc>
        <w:tc>
          <w:tcPr>
            <w:tcW w:w="142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Autonomous</w:t>
            </w:r>
          </w:p>
        </w:tc>
        <w:tc>
          <w:tcPr>
            <w:tcW w:w="120" w:type="dxa"/>
            <w:vAlign w:val="bottom"/>
          </w:tcPr>
          <w:p>
            <w:pPr>
              <w:spacing w:after="0"/>
              <w:rPr>
                <w:sz w:val="14"/>
                <w:szCs w:val="14"/>
                <w:color w:val="auto"/>
              </w:rPr>
            </w:pPr>
          </w:p>
        </w:tc>
        <w:tc>
          <w:tcPr>
            <w:tcW w:w="480" w:type="dxa"/>
            <w:vAlign w:val="bottom"/>
            <w:gridSpan w:val="2"/>
          </w:tcPr>
          <w:p>
            <w:pPr>
              <w:jc w:val="center"/>
              <w:ind w:right="180"/>
              <w:spacing w:after="0"/>
              <w:rPr>
                <w:sz w:val="20"/>
                <w:szCs w:val="20"/>
                <w:color w:val="auto"/>
              </w:rPr>
            </w:pPr>
            <w:r>
              <w:rPr>
                <w:rFonts w:ascii="Arial" w:cs="Arial" w:eastAsia="Arial" w:hAnsi="Arial"/>
                <w:sz w:val="14"/>
                <w:szCs w:val="14"/>
                <w:b w:val="1"/>
                <w:bCs w:val="1"/>
                <w:color w:val="auto"/>
                <w:w w:val="90"/>
              </w:rPr>
              <w:t>New</w:t>
            </w:r>
          </w:p>
        </w:tc>
        <w:tc>
          <w:tcPr>
            <w:tcW w:w="0" w:type="dxa"/>
            <w:vAlign w:val="bottom"/>
          </w:tcPr>
          <w:p>
            <w:pPr>
              <w:spacing w:after="0"/>
              <w:rPr>
                <w:sz w:val="1"/>
                <w:szCs w:val="1"/>
                <w:color w:val="auto"/>
              </w:rPr>
            </w:pPr>
          </w:p>
        </w:tc>
      </w:tr>
      <w:tr>
        <w:trPr>
          <w:trHeight w:val="148"/>
        </w:trPr>
        <w:tc>
          <w:tcPr>
            <w:tcW w:w="63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60" w:type="dxa"/>
            <w:vAlign w:val="bottom"/>
            <w:gridSpan w:val="2"/>
            <w:vMerge w:val="continue"/>
          </w:tcPr>
          <w:p>
            <w:pPr>
              <w:spacing w:after="0"/>
              <w:rPr>
                <w:sz w:val="12"/>
                <w:szCs w:val="12"/>
                <w:color w:val="auto"/>
              </w:rPr>
            </w:pPr>
          </w:p>
        </w:tc>
        <w:tc>
          <w:tcPr>
            <w:tcW w:w="1220" w:type="dxa"/>
            <w:vAlign w:val="bottom"/>
            <w:gridSpan w:val="3"/>
            <w:vMerge w:val="continue"/>
          </w:tcPr>
          <w:p>
            <w:pPr>
              <w:spacing w:after="0"/>
              <w:rPr>
                <w:sz w:val="12"/>
                <w:szCs w:val="12"/>
                <w:color w:val="auto"/>
              </w:rPr>
            </w:pPr>
          </w:p>
        </w:tc>
        <w:tc>
          <w:tcPr>
            <w:tcW w:w="200" w:type="dxa"/>
            <w:vAlign w:val="bottom"/>
          </w:tcPr>
          <w:p>
            <w:pPr>
              <w:spacing w:after="0"/>
              <w:rPr>
                <w:sz w:val="12"/>
                <w:szCs w:val="12"/>
                <w:color w:val="auto"/>
              </w:rPr>
            </w:pPr>
          </w:p>
        </w:tc>
        <w:tc>
          <w:tcPr>
            <w:tcW w:w="1420" w:type="dxa"/>
            <w:vAlign w:val="bottom"/>
            <w:gridSpan w:val="3"/>
            <w:vMerge w:val="continue"/>
          </w:tcPr>
          <w:p>
            <w:pPr>
              <w:spacing w:after="0"/>
              <w:rPr>
                <w:sz w:val="12"/>
                <w:szCs w:val="12"/>
                <w:color w:val="auto"/>
              </w:rPr>
            </w:pPr>
          </w:p>
        </w:tc>
        <w:tc>
          <w:tcPr>
            <w:tcW w:w="600" w:type="dxa"/>
            <w:vAlign w:val="bottom"/>
            <w:gridSpan w:val="3"/>
          </w:tcPr>
          <w:p>
            <w:pPr>
              <w:spacing w:after="0" w:line="149" w:lineRule="exact"/>
              <w:rPr>
                <w:sz w:val="20"/>
                <w:szCs w:val="20"/>
                <w:color w:val="auto"/>
              </w:rPr>
            </w:pPr>
            <w:r>
              <w:rPr>
                <w:rFonts w:ascii="Arial" w:cs="Arial" w:eastAsia="Arial" w:hAnsi="Arial"/>
                <w:sz w:val="14"/>
                <w:szCs w:val="14"/>
                <w:b w:val="1"/>
                <w:bCs w:val="1"/>
                <w:color w:val="auto"/>
              </w:rPr>
              <w:t>BellRing</w:t>
            </w:r>
          </w:p>
        </w:tc>
        <w:tc>
          <w:tcPr>
            <w:tcW w:w="0" w:type="dxa"/>
            <w:vAlign w:val="bottom"/>
          </w:tcPr>
          <w:p>
            <w:pPr>
              <w:spacing w:after="0"/>
              <w:rPr>
                <w:sz w:val="1"/>
                <w:szCs w:val="1"/>
                <w:color w:val="auto"/>
              </w:rPr>
            </w:pPr>
          </w:p>
        </w:tc>
      </w:tr>
      <w:tr>
        <w:trPr>
          <w:trHeight w:val="148"/>
        </w:trPr>
        <w:tc>
          <w:tcPr>
            <w:tcW w:w="63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980" w:type="dxa"/>
            <w:vAlign w:val="bottom"/>
            <w:gridSpan w:val="3"/>
          </w:tcPr>
          <w:p>
            <w:pPr>
              <w:jc w:val="center"/>
              <w:ind w:right="400"/>
              <w:spacing w:after="0" w:line="149" w:lineRule="exact"/>
              <w:rPr>
                <w:sz w:val="20"/>
                <w:szCs w:val="20"/>
                <w:color w:val="auto"/>
              </w:rPr>
            </w:pPr>
            <w:r>
              <w:rPr>
                <w:rFonts w:ascii="Arial" w:cs="Arial" w:eastAsia="Arial" w:hAnsi="Arial"/>
                <w:sz w:val="14"/>
                <w:szCs w:val="14"/>
                <w:b w:val="1"/>
                <w:bCs w:val="1"/>
                <w:color w:val="auto"/>
                <w:w w:val="95"/>
              </w:rPr>
              <w:t>BellRing</w:t>
            </w:r>
          </w:p>
        </w:tc>
        <w:tc>
          <w:tcPr>
            <w:tcW w:w="1220" w:type="dxa"/>
            <w:vAlign w:val="bottom"/>
            <w:gridSpan w:val="3"/>
          </w:tcPr>
          <w:p>
            <w:pPr>
              <w:jc w:val="right"/>
              <w:ind w:right="500"/>
              <w:spacing w:after="0" w:line="149" w:lineRule="exact"/>
              <w:rPr>
                <w:sz w:val="20"/>
                <w:szCs w:val="20"/>
                <w:color w:val="auto"/>
              </w:rPr>
            </w:pPr>
            <w:r>
              <w:rPr>
                <w:rFonts w:ascii="Arial" w:cs="Arial" w:eastAsia="Arial" w:hAnsi="Arial"/>
                <w:sz w:val="14"/>
                <w:szCs w:val="14"/>
                <w:b w:val="1"/>
                <w:bCs w:val="1"/>
                <w:color w:val="auto"/>
                <w:w w:val="93"/>
              </w:rPr>
              <w:t>accounting</w:t>
            </w:r>
          </w:p>
        </w:tc>
        <w:tc>
          <w:tcPr>
            <w:tcW w:w="2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60" w:type="dxa"/>
            <w:vAlign w:val="bottom"/>
            <w:gridSpan w:val="2"/>
          </w:tcPr>
          <w:p>
            <w:pPr>
              <w:jc w:val="right"/>
              <w:ind w:right="840"/>
              <w:spacing w:after="0" w:line="149" w:lineRule="exact"/>
              <w:rPr>
                <w:sz w:val="20"/>
                <w:szCs w:val="20"/>
                <w:color w:val="auto"/>
              </w:rPr>
            </w:pPr>
            <w:r>
              <w:rPr>
                <w:rFonts w:ascii="Arial" w:cs="Arial" w:eastAsia="Arial" w:hAnsi="Arial"/>
                <w:sz w:val="14"/>
                <w:szCs w:val="14"/>
                <w:b w:val="1"/>
                <w:bCs w:val="1"/>
                <w:color w:val="auto"/>
              </w:rPr>
              <w:t>entity</w:t>
            </w:r>
          </w:p>
        </w:tc>
        <w:tc>
          <w:tcPr>
            <w:tcW w:w="120" w:type="dxa"/>
            <w:vAlign w:val="bottom"/>
          </w:tcPr>
          <w:p>
            <w:pPr>
              <w:spacing w:after="0"/>
              <w:rPr>
                <w:sz w:val="12"/>
                <w:szCs w:val="12"/>
                <w:color w:val="auto"/>
              </w:rPr>
            </w:pPr>
          </w:p>
        </w:tc>
        <w:tc>
          <w:tcPr>
            <w:tcW w:w="480" w:type="dxa"/>
            <w:vAlign w:val="bottom"/>
            <w:gridSpan w:val="2"/>
          </w:tcPr>
          <w:p>
            <w:pPr>
              <w:jc w:val="center"/>
              <w:ind w:right="180"/>
              <w:spacing w:after="0" w:line="149" w:lineRule="exact"/>
              <w:rPr>
                <w:sz w:val="20"/>
                <w:szCs w:val="20"/>
                <w:color w:val="auto"/>
              </w:rPr>
            </w:pPr>
            <w:r>
              <w:rPr>
                <w:rFonts w:ascii="Arial" w:cs="Arial" w:eastAsia="Arial" w:hAnsi="Arial"/>
                <w:sz w:val="14"/>
                <w:szCs w:val="14"/>
                <w:b w:val="1"/>
                <w:bCs w:val="1"/>
                <w:color w:val="auto"/>
                <w:w w:val="97"/>
              </w:rPr>
              <w:t>pro</w:t>
            </w:r>
          </w:p>
        </w:tc>
        <w:tc>
          <w:tcPr>
            <w:tcW w:w="0" w:type="dxa"/>
            <w:vAlign w:val="bottom"/>
          </w:tcPr>
          <w:p>
            <w:pPr>
              <w:spacing w:after="0"/>
              <w:rPr>
                <w:sz w:val="1"/>
                <w:szCs w:val="1"/>
                <w:color w:val="auto"/>
              </w:rPr>
            </w:pPr>
          </w:p>
        </w:tc>
      </w:tr>
      <w:tr>
        <w:trPr>
          <w:trHeight w:val="171"/>
        </w:trPr>
        <w:tc>
          <w:tcPr>
            <w:tcW w:w="63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980" w:type="dxa"/>
            <w:vAlign w:val="bottom"/>
            <w:gridSpan w:val="3"/>
          </w:tcPr>
          <w:p>
            <w:pPr>
              <w:spacing w:after="0"/>
              <w:rPr>
                <w:sz w:val="20"/>
                <w:szCs w:val="20"/>
                <w:color w:val="auto"/>
              </w:rPr>
            </w:pPr>
            <w:r>
              <w:rPr>
                <w:rFonts w:ascii="Arial" w:cs="Arial" w:eastAsia="Arial" w:hAnsi="Arial"/>
                <w:sz w:val="14"/>
                <w:szCs w:val="14"/>
                <w:b w:val="1"/>
                <w:bCs w:val="1"/>
                <w:color w:val="auto"/>
              </w:rPr>
              <w:t>historical</w:t>
            </w:r>
          </w:p>
        </w:tc>
        <w:tc>
          <w:tcPr>
            <w:tcW w:w="1220" w:type="dxa"/>
            <w:vAlign w:val="bottom"/>
            <w:gridSpan w:val="3"/>
          </w:tcPr>
          <w:p>
            <w:pPr>
              <w:spacing w:after="0"/>
              <w:rPr>
                <w:sz w:val="20"/>
                <w:szCs w:val="20"/>
                <w:color w:val="auto"/>
              </w:rPr>
            </w:pPr>
            <w:r>
              <w:rPr>
                <w:rFonts w:ascii="Arial" w:cs="Arial" w:eastAsia="Arial" w:hAnsi="Arial"/>
                <w:sz w:val="14"/>
                <w:szCs w:val="14"/>
                <w:b w:val="1"/>
                <w:bCs w:val="1"/>
                <w:color w:val="auto"/>
              </w:rPr>
              <w:t>adjustments</w:t>
            </w:r>
          </w:p>
        </w:tc>
        <w:tc>
          <w:tcPr>
            <w:tcW w:w="200" w:type="dxa"/>
            <w:vAlign w:val="bottom"/>
          </w:tcPr>
          <w:p>
            <w:pPr>
              <w:spacing w:after="0"/>
              <w:rPr>
                <w:sz w:val="14"/>
                <w:szCs w:val="14"/>
                <w:color w:val="auto"/>
              </w:rPr>
            </w:pPr>
          </w:p>
        </w:tc>
        <w:tc>
          <w:tcPr>
            <w:tcW w:w="1420" w:type="dxa"/>
            <w:vAlign w:val="bottom"/>
            <w:gridSpan w:val="3"/>
          </w:tcPr>
          <w:p>
            <w:pPr>
              <w:ind w:left="20"/>
              <w:spacing w:after="0"/>
              <w:rPr>
                <w:sz w:val="20"/>
                <w:szCs w:val="20"/>
                <w:color w:val="auto"/>
              </w:rPr>
            </w:pPr>
            <w:r>
              <w:rPr>
                <w:rFonts w:ascii="Arial" w:cs="Arial" w:eastAsia="Arial" w:hAnsi="Arial"/>
                <w:sz w:val="14"/>
                <w:szCs w:val="14"/>
                <w:b w:val="1"/>
                <w:bCs w:val="1"/>
                <w:color w:val="auto"/>
              </w:rPr>
              <w:t>adjustments</w:t>
            </w:r>
          </w:p>
        </w:tc>
        <w:tc>
          <w:tcPr>
            <w:tcW w:w="600" w:type="dxa"/>
            <w:vAlign w:val="bottom"/>
            <w:gridSpan w:val="3"/>
          </w:tcPr>
          <w:p>
            <w:pPr>
              <w:jc w:val="center"/>
              <w:ind w:right="60"/>
              <w:spacing w:after="0"/>
              <w:rPr>
                <w:sz w:val="20"/>
                <w:szCs w:val="20"/>
                <w:color w:val="auto"/>
              </w:rPr>
            </w:pPr>
            <w:r>
              <w:rPr>
                <w:rFonts w:ascii="Arial" w:cs="Arial" w:eastAsia="Arial" w:hAnsi="Arial"/>
                <w:sz w:val="14"/>
                <w:szCs w:val="14"/>
                <w:b w:val="1"/>
                <w:bCs w:val="1"/>
                <w:color w:val="auto"/>
                <w:w w:val="97"/>
              </w:rPr>
              <w:t>forma</w:t>
            </w:r>
          </w:p>
        </w:tc>
        <w:tc>
          <w:tcPr>
            <w:tcW w:w="0" w:type="dxa"/>
            <w:vAlign w:val="bottom"/>
          </w:tcPr>
          <w:p>
            <w:pPr>
              <w:spacing w:after="0"/>
              <w:rPr>
                <w:sz w:val="1"/>
                <w:szCs w:val="1"/>
                <w:color w:val="auto"/>
              </w:rPr>
            </w:pPr>
          </w:p>
        </w:tc>
      </w:tr>
      <w:tr>
        <w:trPr>
          <w:trHeight w:val="209"/>
        </w:trPr>
        <w:tc>
          <w:tcPr>
            <w:tcW w:w="636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rPr>
              <w:t>Net Sales</w:t>
            </w:r>
          </w:p>
        </w:tc>
        <w:tc>
          <w:tcPr>
            <w:tcW w:w="24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w w:val="99"/>
              </w:rPr>
              <w:t>$</w:t>
            </w:r>
          </w:p>
        </w:tc>
        <w:tc>
          <w:tcPr>
            <w:tcW w:w="4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7"/>
              </w:rPr>
              <w:t>306.5</w:t>
            </w:r>
          </w:p>
        </w:tc>
        <w:tc>
          <w:tcPr>
            <w:tcW w:w="40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520" w:type="dxa"/>
            <w:vAlign w:val="bottom"/>
            <w:tcBorders>
              <w:top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46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640" w:type="dxa"/>
            <w:vAlign w:val="bottom"/>
            <w:tcBorders>
              <w:top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w:t>
            </w:r>
          </w:p>
        </w:tc>
        <w:tc>
          <w:tcPr>
            <w:tcW w:w="62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w w:val="99"/>
              </w:rPr>
              <w:t>$</w:t>
            </w:r>
          </w:p>
        </w:tc>
        <w:tc>
          <w:tcPr>
            <w:tcW w:w="4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8"/>
              </w:rPr>
              <w:t>306.5</w:t>
            </w:r>
          </w:p>
        </w:tc>
        <w:tc>
          <w:tcPr>
            <w:tcW w:w="6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6360" w:type="dxa"/>
            <w:vAlign w:val="bottom"/>
          </w:tcPr>
          <w:p>
            <w:pPr>
              <w:spacing w:after="0"/>
              <w:rPr>
                <w:sz w:val="20"/>
                <w:szCs w:val="20"/>
                <w:color w:val="auto"/>
              </w:rPr>
            </w:pPr>
            <w:r>
              <w:rPr>
                <w:rFonts w:ascii="Arial" w:cs="Arial" w:eastAsia="Arial" w:hAnsi="Arial"/>
                <w:sz w:val="18"/>
                <w:szCs w:val="18"/>
                <w:color w:val="auto"/>
              </w:rPr>
              <w:t>Cost of goods sold</w:t>
            </w:r>
          </w:p>
        </w:tc>
        <w:tc>
          <w:tcPr>
            <w:tcW w:w="24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4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7"/>
              </w:rPr>
              <w:t>214.2</w:t>
            </w:r>
          </w:p>
        </w:tc>
        <w:tc>
          <w:tcPr>
            <w:tcW w:w="400" w:type="dxa"/>
            <w:vAlign w:val="bottom"/>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5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w:t>
            </w:r>
          </w:p>
        </w:tc>
        <w:tc>
          <w:tcPr>
            <w:tcW w:w="4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640" w:type="dxa"/>
            <w:vAlign w:val="bottom"/>
            <w:tcBorders>
              <w:bottom w:val="single" w:sz="8" w:color="auto"/>
            </w:tcBorders>
          </w:tcPr>
          <w:p>
            <w:pPr>
              <w:jc w:val="right"/>
              <w:ind w:right="11"/>
              <w:spacing w:after="0"/>
              <w:rPr>
                <w:sz w:val="20"/>
                <w:szCs w:val="20"/>
                <w:color w:val="auto"/>
              </w:rPr>
            </w:pPr>
            <w:r>
              <w:rPr>
                <w:rFonts w:ascii="Arial" w:cs="Arial" w:eastAsia="Arial" w:hAnsi="Arial"/>
                <w:sz w:val="18"/>
                <w:szCs w:val="18"/>
                <w:color w:val="auto"/>
              </w:rPr>
              <w:t>—</w:t>
            </w:r>
          </w:p>
        </w:tc>
        <w:tc>
          <w:tcPr>
            <w:tcW w:w="62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4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88"/>
              </w:rPr>
              <w:t>214.2</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63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Gross Profit</w:t>
            </w:r>
          </w:p>
        </w:tc>
        <w:tc>
          <w:tcPr>
            <w:tcW w:w="2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92.3</w:t>
            </w:r>
          </w:p>
        </w:tc>
        <w:tc>
          <w:tcPr>
            <w:tcW w:w="2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56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72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4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92.3</w:t>
            </w:r>
          </w:p>
        </w:tc>
        <w:tc>
          <w:tcPr>
            <w:tcW w:w="0" w:type="dxa"/>
            <w:vAlign w:val="bottom"/>
          </w:tcPr>
          <w:p>
            <w:pPr>
              <w:spacing w:after="0"/>
              <w:rPr>
                <w:sz w:val="1"/>
                <w:szCs w:val="1"/>
                <w:color w:val="auto"/>
              </w:rPr>
            </w:pPr>
          </w:p>
        </w:tc>
      </w:tr>
      <w:tr>
        <w:trPr>
          <w:trHeight w:val="216"/>
        </w:trPr>
        <w:tc>
          <w:tcPr>
            <w:tcW w:w="6360" w:type="dxa"/>
            <w:vAlign w:val="bottom"/>
          </w:tcPr>
          <w:p>
            <w:pPr>
              <w:spacing w:after="0"/>
              <w:rPr>
                <w:sz w:val="20"/>
                <w:szCs w:val="20"/>
                <w:color w:val="auto"/>
              </w:rPr>
            </w:pPr>
            <w:r>
              <w:rPr>
                <w:rFonts w:ascii="Arial" w:cs="Arial" w:eastAsia="Arial" w:hAnsi="Arial"/>
                <w:sz w:val="18"/>
                <w:szCs w:val="18"/>
                <w:color w:val="auto"/>
              </w:rPr>
              <w:t>Selling, general and administrative expenses</w:t>
            </w: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60" w:type="dxa"/>
            <w:vAlign w:val="bottom"/>
            <w:gridSpan w:val="2"/>
          </w:tcPr>
          <w:p>
            <w:pPr>
              <w:jc w:val="right"/>
              <w:ind w:right="400"/>
              <w:spacing w:after="0"/>
              <w:rPr>
                <w:sz w:val="20"/>
                <w:szCs w:val="20"/>
                <w:color w:val="auto"/>
              </w:rPr>
            </w:pPr>
            <w:r>
              <w:rPr>
                <w:rFonts w:ascii="Arial" w:cs="Arial" w:eastAsia="Arial" w:hAnsi="Arial"/>
                <w:sz w:val="18"/>
                <w:szCs w:val="18"/>
                <w:color w:val="auto"/>
              </w:rPr>
              <w:t>36.8</w:t>
            </w:r>
          </w:p>
        </w:tc>
        <w:tc>
          <w:tcPr>
            <w:tcW w:w="240" w:type="dxa"/>
            <w:vAlign w:val="bottom"/>
          </w:tcPr>
          <w:p>
            <w:pPr>
              <w:spacing w:after="0"/>
              <w:rPr>
                <w:sz w:val="18"/>
                <w:szCs w:val="18"/>
                <w:color w:val="auto"/>
              </w:rPr>
            </w:pPr>
          </w:p>
        </w:tc>
        <w:tc>
          <w:tcPr>
            <w:tcW w:w="980" w:type="dxa"/>
            <w:vAlign w:val="bottom"/>
            <w:gridSpan w:val="2"/>
          </w:tcPr>
          <w:p>
            <w:pPr>
              <w:jc w:val="right"/>
              <w:ind w:right="200"/>
              <w:spacing w:after="0"/>
              <w:rPr>
                <w:sz w:val="20"/>
                <w:szCs w:val="20"/>
                <w:color w:val="auto"/>
              </w:rPr>
            </w:pPr>
            <w:r>
              <w:rPr>
                <w:rFonts w:ascii="Arial" w:cs="Arial" w:eastAsia="Arial" w:hAnsi="Arial"/>
                <w:sz w:val="18"/>
                <w:szCs w:val="18"/>
                <w:color w:val="auto"/>
              </w:rPr>
              <w:t>(2.0)(h)</w:t>
            </w: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60" w:type="dxa"/>
            <w:vAlign w:val="bottom"/>
            <w:gridSpan w:val="2"/>
          </w:tcPr>
          <w:p>
            <w:pPr>
              <w:jc w:val="right"/>
              <w:ind w:right="420"/>
              <w:spacing w:after="0"/>
              <w:rPr>
                <w:sz w:val="20"/>
                <w:szCs w:val="20"/>
                <w:color w:val="auto"/>
              </w:rPr>
            </w:pPr>
            <w:r>
              <w:rPr>
                <w:rFonts w:ascii="Arial" w:cs="Arial" w:eastAsia="Arial" w:hAnsi="Arial"/>
                <w:sz w:val="18"/>
                <w:szCs w:val="18"/>
                <w:color w:val="auto"/>
              </w:rPr>
              <w:t>0.7(k)</w:t>
            </w:r>
          </w:p>
        </w:tc>
        <w:tc>
          <w:tcPr>
            <w:tcW w:w="120" w:type="dxa"/>
            <w:vAlign w:val="bottom"/>
          </w:tcPr>
          <w:p>
            <w:pPr>
              <w:spacing w:after="0"/>
              <w:rPr>
                <w:sz w:val="18"/>
                <w:szCs w:val="18"/>
                <w:color w:val="auto"/>
              </w:rPr>
            </w:pPr>
          </w:p>
        </w:tc>
        <w:tc>
          <w:tcPr>
            <w:tcW w:w="480" w:type="dxa"/>
            <w:vAlign w:val="bottom"/>
            <w:gridSpan w:val="2"/>
          </w:tcPr>
          <w:p>
            <w:pPr>
              <w:jc w:val="right"/>
              <w:ind w:right="60"/>
              <w:spacing w:after="0"/>
              <w:rPr>
                <w:sz w:val="20"/>
                <w:szCs w:val="20"/>
                <w:color w:val="auto"/>
              </w:rPr>
            </w:pPr>
            <w:r>
              <w:rPr>
                <w:rFonts w:ascii="Arial" w:cs="Arial" w:eastAsia="Arial" w:hAnsi="Arial"/>
                <w:sz w:val="18"/>
                <w:szCs w:val="18"/>
                <w:color w:val="auto"/>
              </w:rPr>
              <w:t>35.5</w:t>
            </w:r>
          </w:p>
        </w:tc>
        <w:tc>
          <w:tcPr>
            <w:tcW w:w="0" w:type="dxa"/>
            <w:vAlign w:val="bottom"/>
          </w:tcPr>
          <w:p>
            <w:pPr>
              <w:spacing w:after="0"/>
              <w:rPr>
                <w:sz w:val="1"/>
                <w:szCs w:val="1"/>
                <w:color w:val="auto"/>
              </w:rPr>
            </w:pPr>
          </w:p>
        </w:tc>
      </w:tr>
      <w:tr>
        <w:trPr>
          <w:trHeight w:val="216"/>
        </w:trPr>
        <w:tc>
          <w:tcPr>
            <w:tcW w:w="6360" w:type="dxa"/>
            <w:vAlign w:val="bottom"/>
            <w:shd w:val="clear" w:color="auto" w:fill="CCEEFF"/>
          </w:tcPr>
          <w:p>
            <w:pPr>
              <w:spacing w:after="0"/>
              <w:rPr>
                <w:sz w:val="20"/>
                <w:szCs w:val="20"/>
                <w:color w:val="auto"/>
              </w:rPr>
            </w:pPr>
            <w:r>
              <w:rPr>
                <w:rFonts w:ascii="Arial" w:cs="Arial" w:eastAsia="Arial" w:hAnsi="Arial"/>
                <w:sz w:val="18"/>
                <w:szCs w:val="18"/>
                <w:color w:val="auto"/>
              </w:rPr>
              <w:t>Amortization of intangible assets</w:t>
            </w:r>
          </w:p>
        </w:tc>
        <w:tc>
          <w:tcPr>
            <w:tcW w:w="2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4.9</w:t>
            </w:r>
          </w:p>
        </w:tc>
        <w:tc>
          <w:tcPr>
            <w:tcW w:w="2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56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72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4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4.9</w:t>
            </w:r>
          </w:p>
        </w:tc>
        <w:tc>
          <w:tcPr>
            <w:tcW w:w="0" w:type="dxa"/>
            <w:vAlign w:val="bottom"/>
          </w:tcPr>
          <w:p>
            <w:pPr>
              <w:spacing w:after="0"/>
              <w:rPr>
                <w:sz w:val="1"/>
                <w:szCs w:val="1"/>
                <w:color w:val="auto"/>
              </w:rPr>
            </w:pPr>
          </w:p>
        </w:tc>
      </w:tr>
      <w:tr>
        <w:trPr>
          <w:trHeight w:val="223"/>
        </w:trPr>
        <w:tc>
          <w:tcPr>
            <w:tcW w:w="6360" w:type="dxa"/>
            <w:vAlign w:val="bottom"/>
          </w:tcPr>
          <w:p>
            <w:pPr>
              <w:spacing w:after="0"/>
              <w:rPr>
                <w:sz w:val="20"/>
                <w:szCs w:val="20"/>
                <w:color w:val="auto"/>
              </w:rPr>
            </w:pPr>
            <w:r>
              <w:rPr>
                <w:rFonts w:ascii="Arial" w:cs="Arial" w:eastAsia="Arial" w:hAnsi="Arial"/>
                <w:sz w:val="18"/>
                <w:szCs w:val="18"/>
                <w:b w:val="1"/>
                <w:bCs w:val="1"/>
                <w:color w:val="auto"/>
              </w:rPr>
              <w:t>Operating Profit</w:t>
            </w:r>
          </w:p>
        </w:tc>
        <w:tc>
          <w:tcPr>
            <w:tcW w:w="240" w:type="dxa"/>
            <w:vAlign w:val="bottom"/>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4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50.6</w:t>
            </w:r>
          </w:p>
        </w:tc>
        <w:tc>
          <w:tcPr>
            <w:tcW w:w="400" w:type="dxa"/>
            <w:vAlign w:val="bottom"/>
          </w:tcPr>
          <w:p>
            <w:pPr>
              <w:spacing w:after="0"/>
              <w:rPr>
                <w:sz w:val="19"/>
                <w:szCs w:val="19"/>
                <w:color w:val="auto"/>
              </w:rPr>
            </w:pPr>
          </w:p>
        </w:tc>
        <w:tc>
          <w:tcPr>
            <w:tcW w:w="240" w:type="dxa"/>
            <w:vAlign w:val="bottom"/>
            <w:tcBorders>
              <w:top w:val="single" w:sz="8" w:color="auto"/>
            </w:tcBorders>
          </w:tcPr>
          <w:p>
            <w:pPr>
              <w:spacing w:after="0"/>
              <w:rPr>
                <w:sz w:val="19"/>
                <w:szCs w:val="19"/>
                <w:color w:val="auto"/>
              </w:rPr>
            </w:pPr>
          </w:p>
        </w:tc>
        <w:tc>
          <w:tcPr>
            <w:tcW w:w="5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2.0</w:t>
            </w:r>
          </w:p>
        </w:tc>
        <w:tc>
          <w:tcPr>
            <w:tcW w:w="4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60" w:type="dxa"/>
            <w:vAlign w:val="bottom"/>
            <w:tcBorders>
              <w:top w:val="single" w:sz="8" w:color="auto"/>
            </w:tcBorders>
          </w:tcPr>
          <w:p>
            <w:pPr>
              <w:spacing w:after="0"/>
              <w:rPr>
                <w:sz w:val="19"/>
                <w:szCs w:val="19"/>
                <w:color w:val="auto"/>
              </w:rPr>
            </w:pPr>
          </w:p>
        </w:tc>
        <w:tc>
          <w:tcPr>
            <w:tcW w:w="6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(0.7)</w:t>
            </w:r>
          </w:p>
        </w:tc>
        <w:tc>
          <w:tcPr>
            <w:tcW w:w="620" w:type="dxa"/>
            <w:vAlign w:val="bottom"/>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4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51.9</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6360" w:type="dxa"/>
            <w:vAlign w:val="bottom"/>
            <w:shd w:val="clear" w:color="auto" w:fill="CCEEFF"/>
          </w:tcPr>
          <w:p>
            <w:pPr>
              <w:spacing w:after="0"/>
              <w:rPr>
                <w:sz w:val="20"/>
                <w:szCs w:val="20"/>
                <w:color w:val="auto"/>
              </w:rPr>
            </w:pPr>
            <w:r>
              <w:rPr>
                <w:rFonts w:ascii="Arial" w:cs="Arial" w:eastAsia="Arial" w:hAnsi="Arial"/>
                <w:sz w:val="18"/>
                <w:szCs w:val="18"/>
                <w:color w:val="auto"/>
              </w:rPr>
              <w:t>Interest expense, net</w:t>
            </w:r>
          </w:p>
        </w:tc>
        <w:tc>
          <w:tcPr>
            <w:tcW w:w="2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8.4</w:t>
            </w:r>
          </w:p>
        </w:tc>
        <w:tc>
          <w:tcPr>
            <w:tcW w:w="2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7.8(i)</w:t>
            </w:r>
          </w:p>
        </w:tc>
        <w:tc>
          <w:tcPr>
            <w:tcW w:w="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72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4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16.2</w:t>
            </w:r>
          </w:p>
        </w:tc>
        <w:tc>
          <w:tcPr>
            <w:tcW w:w="0" w:type="dxa"/>
            <w:vAlign w:val="bottom"/>
          </w:tcPr>
          <w:p>
            <w:pPr>
              <w:spacing w:after="0"/>
              <w:rPr>
                <w:sz w:val="1"/>
                <w:szCs w:val="1"/>
                <w:color w:val="auto"/>
              </w:rPr>
            </w:pPr>
          </w:p>
        </w:tc>
      </w:tr>
      <w:tr>
        <w:trPr>
          <w:trHeight w:val="223"/>
        </w:trPr>
        <w:tc>
          <w:tcPr>
            <w:tcW w:w="6360" w:type="dxa"/>
            <w:vAlign w:val="bottom"/>
          </w:tcPr>
          <w:p>
            <w:pPr>
              <w:spacing w:after="0"/>
              <w:rPr>
                <w:sz w:val="20"/>
                <w:szCs w:val="20"/>
                <w:color w:val="auto"/>
              </w:rPr>
            </w:pPr>
            <w:r>
              <w:rPr>
                <w:rFonts w:ascii="Arial" w:cs="Arial" w:eastAsia="Arial" w:hAnsi="Arial"/>
                <w:sz w:val="18"/>
                <w:szCs w:val="18"/>
                <w:b w:val="1"/>
                <w:bCs w:val="1"/>
                <w:color w:val="auto"/>
              </w:rPr>
              <w:t>Earnings before Income Taxes</w:t>
            </w:r>
          </w:p>
        </w:tc>
        <w:tc>
          <w:tcPr>
            <w:tcW w:w="240" w:type="dxa"/>
            <w:vAlign w:val="bottom"/>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4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42.2</w:t>
            </w:r>
          </w:p>
        </w:tc>
        <w:tc>
          <w:tcPr>
            <w:tcW w:w="400" w:type="dxa"/>
            <w:vAlign w:val="bottom"/>
          </w:tcPr>
          <w:p>
            <w:pPr>
              <w:spacing w:after="0"/>
              <w:rPr>
                <w:sz w:val="19"/>
                <w:szCs w:val="19"/>
                <w:color w:val="auto"/>
              </w:rPr>
            </w:pPr>
          </w:p>
        </w:tc>
        <w:tc>
          <w:tcPr>
            <w:tcW w:w="240" w:type="dxa"/>
            <w:vAlign w:val="bottom"/>
            <w:tcBorders>
              <w:top w:val="single" w:sz="8" w:color="auto"/>
            </w:tcBorders>
          </w:tcPr>
          <w:p>
            <w:pPr>
              <w:spacing w:after="0"/>
              <w:rPr>
                <w:sz w:val="19"/>
                <w:szCs w:val="19"/>
                <w:color w:val="auto"/>
              </w:rPr>
            </w:pPr>
          </w:p>
        </w:tc>
        <w:tc>
          <w:tcPr>
            <w:tcW w:w="5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(5.8)</w:t>
            </w:r>
          </w:p>
        </w:tc>
        <w:tc>
          <w:tcPr>
            <w:tcW w:w="4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60" w:type="dxa"/>
            <w:vAlign w:val="bottom"/>
            <w:tcBorders>
              <w:top w:val="single" w:sz="8" w:color="auto"/>
            </w:tcBorders>
          </w:tcPr>
          <w:p>
            <w:pPr>
              <w:spacing w:after="0"/>
              <w:rPr>
                <w:sz w:val="19"/>
                <w:szCs w:val="19"/>
                <w:color w:val="auto"/>
              </w:rPr>
            </w:pPr>
          </w:p>
        </w:tc>
        <w:tc>
          <w:tcPr>
            <w:tcW w:w="6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(0.7)</w:t>
            </w:r>
          </w:p>
        </w:tc>
        <w:tc>
          <w:tcPr>
            <w:tcW w:w="620" w:type="dxa"/>
            <w:vAlign w:val="bottom"/>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4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35.7</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6360" w:type="dxa"/>
            <w:vAlign w:val="bottom"/>
            <w:shd w:val="clear" w:color="auto" w:fill="CCEEFF"/>
          </w:tcPr>
          <w:p>
            <w:pPr>
              <w:spacing w:after="0"/>
              <w:rPr>
                <w:sz w:val="20"/>
                <w:szCs w:val="20"/>
                <w:color w:val="auto"/>
              </w:rPr>
            </w:pPr>
            <w:r>
              <w:rPr>
                <w:rFonts w:ascii="Arial" w:cs="Arial" w:eastAsia="Arial" w:hAnsi="Arial"/>
                <w:sz w:val="18"/>
                <w:szCs w:val="18"/>
                <w:color w:val="auto"/>
              </w:rPr>
              <w:t>Income tax expense</w:t>
            </w:r>
          </w:p>
        </w:tc>
        <w:tc>
          <w:tcPr>
            <w:tcW w:w="2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2.9</w:t>
            </w:r>
          </w:p>
        </w:tc>
        <w:tc>
          <w:tcPr>
            <w:tcW w:w="2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5.8(d)</w:t>
            </w:r>
          </w:p>
        </w:tc>
        <w:tc>
          <w:tcPr>
            <w:tcW w:w="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(0.2)(l)</w:t>
            </w:r>
          </w:p>
        </w:tc>
        <w:tc>
          <w:tcPr>
            <w:tcW w:w="120" w:type="dxa"/>
            <w:vAlign w:val="bottom"/>
            <w:shd w:val="clear" w:color="auto" w:fill="CCEEFF"/>
          </w:tcPr>
          <w:p>
            <w:pPr>
              <w:spacing w:after="0"/>
              <w:rPr>
                <w:sz w:val="18"/>
                <w:szCs w:val="18"/>
                <w:color w:val="auto"/>
              </w:rPr>
            </w:pPr>
          </w:p>
        </w:tc>
        <w:tc>
          <w:tcPr>
            <w:tcW w:w="4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8.5</w:t>
            </w:r>
          </w:p>
        </w:tc>
        <w:tc>
          <w:tcPr>
            <w:tcW w:w="0" w:type="dxa"/>
            <w:vAlign w:val="bottom"/>
          </w:tcPr>
          <w:p>
            <w:pPr>
              <w:spacing w:after="0"/>
              <w:rPr>
                <w:sz w:val="1"/>
                <w:szCs w:val="1"/>
                <w:color w:val="auto"/>
              </w:rPr>
            </w:pPr>
          </w:p>
        </w:tc>
      </w:tr>
      <w:tr>
        <w:trPr>
          <w:trHeight w:val="223"/>
        </w:trPr>
        <w:tc>
          <w:tcPr>
            <w:tcW w:w="6360" w:type="dxa"/>
            <w:vAlign w:val="bottom"/>
          </w:tcPr>
          <w:p>
            <w:pPr>
              <w:spacing w:after="0"/>
              <w:rPr>
                <w:sz w:val="20"/>
                <w:szCs w:val="20"/>
                <w:color w:val="auto"/>
              </w:rPr>
            </w:pPr>
            <w:r>
              <w:rPr>
                <w:rFonts w:ascii="Arial" w:cs="Arial" w:eastAsia="Arial" w:hAnsi="Arial"/>
                <w:sz w:val="18"/>
                <w:szCs w:val="18"/>
                <w:b w:val="1"/>
                <w:bCs w:val="1"/>
                <w:color w:val="auto"/>
              </w:rPr>
              <w:t>Net Earnings Including Redeemable Noncontrolling Interest</w:t>
            </w:r>
          </w:p>
        </w:tc>
        <w:tc>
          <w:tcPr>
            <w:tcW w:w="240" w:type="dxa"/>
            <w:vAlign w:val="bottom"/>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4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39.3</w:t>
            </w:r>
          </w:p>
        </w:tc>
        <w:tc>
          <w:tcPr>
            <w:tcW w:w="400" w:type="dxa"/>
            <w:vAlign w:val="bottom"/>
          </w:tcPr>
          <w:p>
            <w:pPr>
              <w:spacing w:after="0"/>
              <w:rPr>
                <w:sz w:val="19"/>
                <w:szCs w:val="19"/>
                <w:color w:val="auto"/>
              </w:rPr>
            </w:pPr>
          </w:p>
        </w:tc>
        <w:tc>
          <w:tcPr>
            <w:tcW w:w="240" w:type="dxa"/>
            <w:vAlign w:val="bottom"/>
            <w:tcBorders>
              <w:top w:val="single" w:sz="8" w:color="auto"/>
            </w:tcBorders>
          </w:tcPr>
          <w:p>
            <w:pPr>
              <w:spacing w:after="0"/>
              <w:rPr>
                <w:sz w:val="19"/>
                <w:szCs w:val="19"/>
                <w:color w:val="auto"/>
              </w:rPr>
            </w:pPr>
          </w:p>
        </w:tc>
        <w:tc>
          <w:tcPr>
            <w:tcW w:w="5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(11.6)</w:t>
            </w:r>
          </w:p>
        </w:tc>
        <w:tc>
          <w:tcPr>
            <w:tcW w:w="4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60" w:type="dxa"/>
            <w:vAlign w:val="bottom"/>
            <w:tcBorders>
              <w:top w:val="single" w:sz="8" w:color="auto"/>
            </w:tcBorders>
          </w:tcPr>
          <w:p>
            <w:pPr>
              <w:spacing w:after="0"/>
              <w:rPr>
                <w:sz w:val="19"/>
                <w:szCs w:val="19"/>
                <w:color w:val="auto"/>
              </w:rPr>
            </w:pPr>
          </w:p>
        </w:tc>
        <w:tc>
          <w:tcPr>
            <w:tcW w:w="6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(0.5)</w:t>
            </w:r>
          </w:p>
        </w:tc>
        <w:tc>
          <w:tcPr>
            <w:tcW w:w="620" w:type="dxa"/>
            <w:vAlign w:val="bottom"/>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4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27.2</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6360" w:type="dxa"/>
            <w:vAlign w:val="bottom"/>
            <w:shd w:val="clear" w:color="auto" w:fill="CCEEFF"/>
          </w:tcPr>
          <w:p>
            <w:pPr>
              <w:spacing w:after="0"/>
              <w:rPr>
                <w:sz w:val="20"/>
                <w:szCs w:val="20"/>
                <w:color w:val="auto"/>
              </w:rPr>
            </w:pPr>
            <w:r>
              <w:rPr>
                <w:rFonts w:ascii="Arial" w:cs="Arial" w:eastAsia="Arial" w:hAnsi="Arial"/>
                <w:sz w:val="18"/>
                <w:szCs w:val="18"/>
                <w:color w:val="auto"/>
              </w:rPr>
              <w:t>Less: Net earnings attributable to noncontrolling interest</w:t>
            </w:r>
          </w:p>
        </w:tc>
        <w:tc>
          <w:tcPr>
            <w:tcW w:w="2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31.1</w:t>
            </w:r>
          </w:p>
        </w:tc>
        <w:tc>
          <w:tcPr>
            <w:tcW w:w="2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(31.1)(e)</w:t>
            </w:r>
          </w:p>
        </w:tc>
        <w:tc>
          <w:tcPr>
            <w:tcW w:w="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72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48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6360" w:type="dxa"/>
            <w:vAlign w:val="bottom"/>
          </w:tcPr>
          <w:p>
            <w:pPr>
              <w:spacing w:after="0"/>
              <w:rPr>
                <w:sz w:val="20"/>
                <w:szCs w:val="20"/>
                <w:color w:val="auto"/>
              </w:rPr>
            </w:pPr>
            <w:r>
              <w:rPr>
                <w:rFonts w:ascii="Arial" w:cs="Arial" w:eastAsia="Arial" w:hAnsi="Arial"/>
                <w:sz w:val="18"/>
                <w:szCs w:val="18"/>
                <w:b w:val="1"/>
                <w:bCs w:val="1"/>
                <w:color w:val="auto"/>
              </w:rPr>
              <w:t>Net Earnings Available to Old BellRing Class A Common Stockholders</w:t>
            </w:r>
          </w:p>
        </w:tc>
        <w:tc>
          <w:tcPr>
            <w:tcW w:w="240" w:type="dxa"/>
            <w:vAlign w:val="bottom"/>
          </w:tcPr>
          <w:p>
            <w:pPr>
              <w:spacing w:after="0"/>
              <w:rPr>
                <w:sz w:val="20"/>
                <w:szCs w:val="20"/>
                <w:color w:val="auto"/>
              </w:rPr>
            </w:pPr>
          </w:p>
        </w:tc>
        <w:tc>
          <w:tcPr>
            <w:tcW w:w="12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w w:val="99"/>
              </w:rPr>
              <w:t>$</w:t>
            </w:r>
          </w:p>
        </w:tc>
        <w:tc>
          <w:tcPr>
            <w:tcW w:w="4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8.2</w:t>
            </w:r>
          </w:p>
        </w:tc>
        <w:tc>
          <w:tcPr>
            <w:tcW w:w="400" w:type="dxa"/>
            <w:vAlign w:val="bottom"/>
          </w:tcPr>
          <w:p>
            <w:pPr>
              <w:spacing w:after="0"/>
              <w:rPr>
                <w:sz w:val="20"/>
                <w:szCs w:val="20"/>
                <w:color w:val="auto"/>
              </w:rPr>
            </w:pPr>
          </w:p>
        </w:tc>
        <w:tc>
          <w:tcPr>
            <w:tcW w:w="24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5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19.5</w:t>
            </w:r>
          </w:p>
        </w:tc>
        <w:tc>
          <w:tcPr>
            <w:tcW w:w="4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6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6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(0.5)</w:t>
            </w:r>
          </w:p>
        </w:tc>
        <w:tc>
          <w:tcPr>
            <w:tcW w:w="620" w:type="dxa"/>
            <w:vAlign w:val="bottom"/>
          </w:tcPr>
          <w:p>
            <w:pPr>
              <w:spacing w:after="0"/>
              <w:rPr>
                <w:sz w:val="20"/>
                <w:szCs w:val="20"/>
                <w:color w:val="auto"/>
              </w:rPr>
            </w:pPr>
          </w:p>
        </w:tc>
        <w:tc>
          <w:tcPr>
            <w:tcW w:w="12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w w:val="99"/>
              </w:rPr>
              <w:t>$</w:t>
            </w:r>
          </w:p>
        </w:tc>
        <w:tc>
          <w:tcPr>
            <w:tcW w:w="4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27.2</w:t>
            </w: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63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Earnings per Share of Old BellRing Class A Common Stock:</w:t>
            </w:r>
          </w:p>
        </w:tc>
        <w:tc>
          <w:tcPr>
            <w:tcW w:w="2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360" w:type="dxa"/>
            <w:vAlign w:val="bottom"/>
          </w:tcPr>
          <w:p>
            <w:pPr>
              <w:spacing w:after="0"/>
              <w:rPr>
                <w:sz w:val="20"/>
                <w:szCs w:val="20"/>
                <w:color w:val="auto"/>
              </w:rPr>
            </w:pPr>
            <w:r>
              <w:rPr>
                <w:rFonts w:ascii="Arial" w:cs="Arial" w:eastAsia="Arial" w:hAnsi="Arial"/>
                <w:sz w:val="18"/>
                <w:szCs w:val="18"/>
                <w:color w:val="auto"/>
              </w:rPr>
              <w:t>Basic</w:t>
            </w:r>
          </w:p>
        </w:tc>
        <w:tc>
          <w:tcPr>
            <w:tcW w:w="360" w:type="dxa"/>
            <w:vAlign w:val="bottom"/>
            <w:gridSpan w:val="2"/>
          </w:tcPr>
          <w:p>
            <w:pPr>
              <w:ind w:left="240"/>
              <w:spacing w:after="0"/>
              <w:rPr>
                <w:sz w:val="20"/>
                <w:szCs w:val="20"/>
                <w:color w:val="auto"/>
              </w:rPr>
            </w:pPr>
            <w:r>
              <w:rPr>
                <w:rFonts w:ascii="Arial" w:cs="Arial" w:eastAsia="Arial" w:hAnsi="Arial"/>
                <w:sz w:val="18"/>
                <w:szCs w:val="18"/>
                <w:color w:val="auto"/>
                <w:w w:val="99"/>
              </w:rPr>
              <w:t>$</w:t>
            </w:r>
          </w:p>
        </w:tc>
        <w:tc>
          <w:tcPr>
            <w:tcW w:w="860" w:type="dxa"/>
            <w:vAlign w:val="bottom"/>
            <w:gridSpan w:val="2"/>
          </w:tcPr>
          <w:p>
            <w:pPr>
              <w:jc w:val="right"/>
              <w:ind w:right="400"/>
              <w:spacing w:after="0"/>
              <w:rPr>
                <w:sz w:val="20"/>
                <w:szCs w:val="20"/>
                <w:color w:val="auto"/>
              </w:rPr>
            </w:pPr>
            <w:r>
              <w:rPr>
                <w:rFonts w:ascii="Arial" w:cs="Arial" w:eastAsia="Arial" w:hAnsi="Arial"/>
                <w:sz w:val="18"/>
                <w:szCs w:val="18"/>
                <w:color w:val="auto"/>
              </w:rPr>
              <w:t>0.21</w:t>
            </w:r>
          </w:p>
        </w:tc>
        <w:tc>
          <w:tcPr>
            <w:tcW w:w="240" w:type="dxa"/>
            <w:vAlign w:val="bottom"/>
          </w:tcPr>
          <w:p>
            <w:pPr>
              <w:spacing w:after="0"/>
              <w:rPr>
                <w:sz w:val="18"/>
                <w:szCs w:val="18"/>
                <w:color w:val="auto"/>
              </w:rPr>
            </w:pPr>
          </w:p>
        </w:tc>
        <w:tc>
          <w:tcPr>
            <w:tcW w:w="980" w:type="dxa"/>
            <w:vAlign w:val="bottom"/>
            <w:gridSpan w:val="2"/>
          </w:tcPr>
          <w:p>
            <w:pPr>
              <w:jc w:val="right"/>
              <w:ind w:right="56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60" w:type="dxa"/>
            <w:vAlign w:val="bottom"/>
            <w:gridSpan w:val="2"/>
          </w:tcPr>
          <w:p>
            <w:pPr>
              <w:jc w:val="right"/>
              <w:ind w:right="72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0"/>
                <w:szCs w:val="20"/>
                <w:color w:val="auto"/>
              </w:rPr>
            </w:pPr>
            <w:r>
              <w:rPr>
                <w:rFonts w:ascii="Arial" w:cs="Arial" w:eastAsia="Arial" w:hAnsi="Arial"/>
                <w:sz w:val="18"/>
                <w:szCs w:val="18"/>
                <w:color w:val="auto"/>
                <w:w w:val="99"/>
              </w:rPr>
              <w:t>$</w:t>
            </w:r>
          </w:p>
        </w:tc>
        <w:tc>
          <w:tcPr>
            <w:tcW w:w="480" w:type="dxa"/>
            <w:vAlign w:val="bottom"/>
            <w:gridSpan w:val="2"/>
          </w:tcPr>
          <w:p>
            <w:pPr>
              <w:jc w:val="right"/>
              <w:ind w:right="60"/>
              <w:spacing w:after="0"/>
              <w:rPr>
                <w:sz w:val="20"/>
                <w:szCs w:val="20"/>
                <w:color w:val="auto"/>
              </w:rPr>
            </w:pPr>
            <w:r>
              <w:rPr>
                <w:rFonts w:ascii="Arial" w:cs="Arial" w:eastAsia="Arial" w:hAnsi="Arial"/>
                <w:sz w:val="18"/>
                <w:szCs w:val="18"/>
                <w:color w:val="auto"/>
              </w:rPr>
              <w:t>0.20</w:t>
            </w:r>
          </w:p>
        </w:tc>
        <w:tc>
          <w:tcPr>
            <w:tcW w:w="0" w:type="dxa"/>
            <w:vAlign w:val="bottom"/>
          </w:tcPr>
          <w:p>
            <w:pPr>
              <w:spacing w:after="0"/>
              <w:rPr>
                <w:sz w:val="1"/>
                <w:szCs w:val="1"/>
                <w:color w:val="auto"/>
              </w:rPr>
            </w:pPr>
          </w:p>
        </w:tc>
      </w:tr>
      <w:tr>
        <w:trPr>
          <w:trHeight w:val="216"/>
        </w:trPr>
        <w:tc>
          <w:tcPr>
            <w:tcW w:w="6360" w:type="dxa"/>
            <w:vAlign w:val="bottom"/>
            <w:shd w:val="clear" w:color="auto" w:fill="CCEEFF"/>
          </w:tcPr>
          <w:p>
            <w:pPr>
              <w:spacing w:after="0"/>
              <w:rPr>
                <w:sz w:val="20"/>
                <w:szCs w:val="20"/>
                <w:color w:val="auto"/>
              </w:rPr>
            </w:pPr>
            <w:r>
              <w:rPr>
                <w:rFonts w:ascii="Arial" w:cs="Arial" w:eastAsia="Arial" w:hAnsi="Arial"/>
                <w:sz w:val="18"/>
                <w:szCs w:val="18"/>
                <w:color w:val="auto"/>
              </w:rPr>
              <w:t>Diluted</w:t>
            </w:r>
          </w:p>
        </w:tc>
        <w:tc>
          <w:tcPr>
            <w:tcW w:w="360" w:type="dxa"/>
            <w:vAlign w:val="bottom"/>
            <w:gridSpan w:val="2"/>
            <w:shd w:val="clear" w:color="auto" w:fill="CCEEFF"/>
          </w:tcPr>
          <w:p>
            <w:pPr>
              <w:ind w:left="240"/>
              <w:spacing w:after="0"/>
              <w:rPr>
                <w:sz w:val="20"/>
                <w:szCs w:val="20"/>
                <w:color w:val="auto"/>
              </w:rPr>
            </w:pPr>
            <w:r>
              <w:rPr>
                <w:rFonts w:ascii="Arial" w:cs="Arial" w:eastAsia="Arial" w:hAnsi="Arial"/>
                <w:sz w:val="18"/>
                <w:szCs w:val="18"/>
                <w:color w:val="auto"/>
                <w:w w:val="99"/>
              </w:rPr>
              <w:t>$</w:t>
            </w:r>
          </w:p>
        </w:tc>
        <w:tc>
          <w:tcPr>
            <w:tcW w:w="86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0.21</w:t>
            </w:r>
          </w:p>
        </w:tc>
        <w:tc>
          <w:tcPr>
            <w:tcW w:w="2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56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72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20"/>
                <w:szCs w:val="20"/>
                <w:color w:val="auto"/>
              </w:rPr>
            </w:pPr>
            <w:r>
              <w:rPr>
                <w:rFonts w:ascii="Arial" w:cs="Arial" w:eastAsia="Arial" w:hAnsi="Arial"/>
                <w:sz w:val="18"/>
                <w:szCs w:val="18"/>
                <w:color w:val="auto"/>
                <w:w w:val="99"/>
              </w:rPr>
              <w:t>$</w:t>
            </w:r>
          </w:p>
        </w:tc>
        <w:tc>
          <w:tcPr>
            <w:tcW w:w="4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0.20</w:t>
            </w:r>
          </w:p>
        </w:tc>
        <w:tc>
          <w:tcPr>
            <w:tcW w:w="0" w:type="dxa"/>
            <w:vAlign w:val="bottom"/>
          </w:tcPr>
          <w:p>
            <w:pPr>
              <w:spacing w:after="0"/>
              <w:rPr>
                <w:sz w:val="1"/>
                <w:szCs w:val="1"/>
                <w:color w:val="auto"/>
              </w:rPr>
            </w:pPr>
          </w:p>
        </w:tc>
      </w:tr>
      <w:tr>
        <w:trPr>
          <w:trHeight w:val="216"/>
        </w:trPr>
        <w:tc>
          <w:tcPr>
            <w:tcW w:w="6360" w:type="dxa"/>
            <w:vAlign w:val="bottom"/>
          </w:tcPr>
          <w:p>
            <w:pPr>
              <w:spacing w:after="0"/>
              <w:rPr>
                <w:sz w:val="20"/>
                <w:szCs w:val="20"/>
                <w:color w:val="auto"/>
              </w:rPr>
            </w:pPr>
            <w:r>
              <w:rPr>
                <w:rFonts w:ascii="Arial" w:cs="Arial" w:eastAsia="Arial" w:hAnsi="Arial"/>
                <w:sz w:val="18"/>
                <w:szCs w:val="18"/>
                <w:b w:val="1"/>
                <w:bCs w:val="1"/>
                <w:color w:val="auto"/>
                <w:w w:val="93"/>
              </w:rPr>
              <w:t>Weighted-average Shares of Old BellRing Class A Common Stock Outstanding:</w:t>
            </w: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360" w:type="dxa"/>
            <w:vAlign w:val="bottom"/>
            <w:shd w:val="clear" w:color="auto" w:fill="CCEEFF"/>
          </w:tcPr>
          <w:p>
            <w:pPr>
              <w:spacing w:after="0"/>
              <w:rPr>
                <w:sz w:val="20"/>
                <w:szCs w:val="20"/>
                <w:color w:val="auto"/>
              </w:rPr>
            </w:pPr>
            <w:r>
              <w:rPr>
                <w:rFonts w:ascii="Arial" w:cs="Arial" w:eastAsia="Arial" w:hAnsi="Arial"/>
                <w:sz w:val="18"/>
                <w:szCs w:val="18"/>
                <w:color w:val="auto"/>
              </w:rPr>
              <w:t>Basic</w:t>
            </w:r>
          </w:p>
        </w:tc>
        <w:tc>
          <w:tcPr>
            <w:tcW w:w="2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39.4</w:t>
            </w:r>
          </w:p>
        </w:tc>
        <w:tc>
          <w:tcPr>
            <w:tcW w:w="2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97.4(j)</w:t>
            </w:r>
          </w:p>
        </w:tc>
        <w:tc>
          <w:tcPr>
            <w:tcW w:w="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72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4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w w:val="88"/>
              </w:rPr>
              <w:t>136.8</w:t>
            </w:r>
          </w:p>
        </w:tc>
        <w:tc>
          <w:tcPr>
            <w:tcW w:w="0" w:type="dxa"/>
            <w:vAlign w:val="bottom"/>
          </w:tcPr>
          <w:p>
            <w:pPr>
              <w:spacing w:after="0"/>
              <w:rPr>
                <w:sz w:val="1"/>
                <w:szCs w:val="1"/>
                <w:color w:val="auto"/>
              </w:rPr>
            </w:pPr>
          </w:p>
        </w:tc>
      </w:tr>
      <w:tr>
        <w:trPr>
          <w:trHeight w:val="230"/>
        </w:trPr>
        <w:tc>
          <w:tcPr>
            <w:tcW w:w="6360" w:type="dxa"/>
            <w:vAlign w:val="bottom"/>
          </w:tcPr>
          <w:p>
            <w:pPr>
              <w:spacing w:after="0"/>
              <w:rPr>
                <w:sz w:val="20"/>
                <w:szCs w:val="20"/>
                <w:color w:val="auto"/>
              </w:rPr>
            </w:pPr>
            <w:r>
              <w:rPr>
                <w:rFonts w:ascii="Arial" w:cs="Arial" w:eastAsia="Arial" w:hAnsi="Arial"/>
                <w:sz w:val="18"/>
                <w:szCs w:val="18"/>
                <w:color w:val="auto"/>
              </w:rPr>
              <w:t>Diluted</w:t>
            </w:r>
          </w:p>
        </w:tc>
        <w:tc>
          <w:tcPr>
            <w:tcW w:w="2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60" w:type="dxa"/>
            <w:vAlign w:val="bottom"/>
            <w:gridSpan w:val="2"/>
          </w:tcPr>
          <w:p>
            <w:pPr>
              <w:jc w:val="right"/>
              <w:ind w:right="400"/>
              <w:spacing w:after="0"/>
              <w:rPr>
                <w:sz w:val="20"/>
                <w:szCs w:val="20"/>
                <w:color w:val="auto"/>
              </w:rPr>
            </w:pPr>
            <w:r>
              <w:rPr>
                <w:rFonts w:ascii="Arial" w:cs="Arial" w:eastAsia="Arial" w:hAnsi="Arial"/>
                <w:sz w:val="18"/>
                <w:szCs w:val="18"/>
                <w:color w:val="auto"/>
              </w:rPr>
              <w:t>39.6</w:t>
            </w:r>
          </w:p>
        </w:tc>
        <w:tc>
          <w:tcPr>
            <w:tcW w:w="240" w:type="dxa"/>
            <w:vAlign w:val="bottom"/>
          </w:tcPr>
          <w:p>
            <w:pPr>
              <w:spacing w:after="0"/>
              <w:rPr>
                <w:sz w:val="20"/>
                <w:szCs w:val="20"/>
                <w:color w:val="auto"/>
              </w:rPr>
            </w:pPr>
          </w:p>
        </w:tc>
        <w:tc>
          <w:tcPr>
            <w:tcW w:w="980" w:type="dxa"/>
            <w:vAlign w:val="bottom"/>
            <w:gridSpan w:val="2"/>
          </w:tcPr>
          <w:p>
            <w:pPr>
              <w:jc w:val="right"/>
              <w:ind w:right="300"/>
              <w:spacing w:after="0"/>
              <w:rPr>
                <w:sz w:val="20"/>
                <w:szCs w:val="20"/>
                <w:color w:val="auto"/>
              </w:rPr>
            </w:pPr>
            <w:r>
              <w:rPr>
                <w:rFonts w:ascii="Arial" w:cs="Arial" w:eastAsia="Arial" w:hAnsi="Arial"/>
                <w:sz w:val="18"/>
                <w:szCs w:val="18"/>
                <w:color w:val="auto"/>
              </w:rPr>
              <w:t>97.4(j)</w:t>
            </w:r>
          </w:p>
        </w:tc>
        <w:tc>
          <w:tcPr>
            <w:tcW w:w="2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60" w:type="dxa"/>
            <w:vAlign w:val="bottom"/>
            <w:gridSpan w:val="2"/>
          </w:tcPr>
          <w:p>
            <w:pPr>
              <w:jc w:val="right"/>
              <w:ind w:right="72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0"/>
                <w:szCs w:val="20"/>
                <w:color w:val="auto"/>
              </w:rPr>
            </w:pPr>
          </w:p>
        </w:tc>
        <w:tc>
          <w:tcPr>
            <w:tcW w:w="480" w:type="dxa"/>
            <w:vAlign w:val="bottom"/>
            <w:gridSpan w:val="2"/>
          </w:tcPr>
          <w:p>
            <w:pPr>
              <w:jc w:val="right"/>
              <w:ind w:right="60"/>
              <w:spacing w:after="0"/>
              <w:rPr>
                <w:sz w:val="20"/>
                <w:szCs w:val="20"/>
                <w:color w:val="auto"/>
              </w:rPr>
            </w:pPr>
            <w:r>
              <w:rPr>
                <w:rFonts w:ascii="Arial" w:cs="Arial" w:eastAsia="Arial" w:hAnsi="Arial"/>
                <w:sz w:val="18"/>
                <w:szCs w:val="18"/>
                <w:color w:val="auto"/>
                <w:w w:val="88"/>
              </w:rPr>
              <w:t>137.0</w:t>
            </w:r>
          </w:p>
        </w:tc>
        <w:tc>
          <w:tcPr>
            <w:tcW w:w="0" w:type="dxa"/>
            <w:vAlign w:val="bottom"/>
          </w:tcPr>
          <w:p>
            <w:pPr>
              <w:spacing w:after="0"/>
              <w:rPr>
                <w:sz w:val="1"/>
                <w:szCs w:val="1"/>
                <w:color w:val="auto"/>
              </w:rPr>
            </w:pPr>
          </w:p>
        </w:tc>
      </w:tr>
    </w:tbl>
    <w:p>
      <w:pPr>
        <w:spacing w:after="0" w:line="18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See accompanying notes to unaudited pro forma combined condensed financial information.</w:t>
      </w:r>
    </w:p>
    <w:p>
      <w:pPr>
        <w:sectPr>
          <w:pgSz w:w="11900" w:h="16838" w:orient="portrait"/>
          <w:cols w:equalWidth="0" w:num="1">
            <w:col w:w="11020"/>
          </w:cols>
          <w:pgMar w:left="440" w:top="270" w:right="439" w:bottom="1440" w:gutter="0" w:footer="0" w:header="0"/>
        </w:sectPr>
      </w:pPr>
    </w:p>
    <w:bookmarkStart w:id="6" w:name="page7"/>
    <w:bookmarkEnd w:id="6"/>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74865" cy="38100"/>
                    </a:xfrm>
                    <a:prstGeom prst="rect">
                      <a:avLst/>
                    </a:prstGeom>
                    <a:noFill/>
                  </pic:spPr>
                </pic:pic>
              </a:graphicData>
            </a:graphic>
          </wp:anchor>
        </w:drawing>
        <w:t>Unaudited pro forma combined condensed statement of operations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For the year ended September 30, 2021</w:t>
      </w:r>
    </w:p>
    <w:p>
      <w:pPr>
        <w:spacing w:after="0" w:line="9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 millions, except per share data)</w:t>
      </w:r>
    </w:p>
    <w:p>
      <w:pPr>
        <w:spacing w:after="0" w:line="23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7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120" w:type="dxa"/>
            <w:vAlign w:val="bottom"/>
            <w:gridSpan w:val="3"/>
            <w:vMerge w:val="restart"/>
          </w:tcPr>
          <w:p>
            <w:pPr>
              <w:ind w:left="20"/>
              <w:spacing w:after="0"/>
              <w:rPr>
                <w:sz w:val="20"/>
                <w:szCs w:val="20"/>
                <w:color w:val="auto"/>
              </w:rPr>
            </w:pPr>
            <w:r>
              <w:rPr>
                <w:rFonts w:ascii="Arial" w:cs="Arial" w:eastAsia="Arial" w:hAnsi="Arial"/>
                <w:sz w:val="14"/>
                <w:szCs w:val="14"/>
                <w:b w:val="1"/>
                <w:bCs w:val="1"/>
                <w:color w:val="auto"/>
              </w:rPr>
              <w:t>Transaction</w:t>
            </w:r>
          </w:p>
        </w:tc>
        <w:tc>
          <w:tcPr>
            <w:tcW w:w="100" w:type="dxa"/>
            <w:vAlign w:val="bottom"/>
          </w:tcPr>
          <w:p>
            <w:pPr>
              <w:spacing w:after="0"/>
              <w:rPr>
                <w:sz w:val="14"/>
                <w:szCs w:val="14"/>
                <w:color w:val="auto"/>
              </w:rPr>
            </w:pPr>
          </w:p>
        </w:tc>
        <w:tc>
          <w:tcPr>
            <w:tcW w:w="1140" w:type="dxa"/>
            <w:vAlign w:val="bottom"/>
            <w:gridSpan w:val="3"/>
            <w:vMerge w:val="restart"/>
          </w:tcPr>
          <w:p>
            <w:pPr>
              <w:ind w:left="20"/>
              <w:spacing w:after="0"/>
              <w:rPr>
                <w:sz w:val="20"/>
                <w:szCs w:val="20"/>
                <w:color w:val="auto"/>
              </w:rPr>
            </w:pPr>
            <w:r>
              <w:rPr>
                <w:rFonts w:ascii="Arial" w:cs="Arial" w:eastAsia="Arial" w:hAnsi="Arial"/>
                <w:sz w:val="14"/>
                <w:szCs w:val="14"/>
                <w:b w:val="1"/>
                <w:bCs w:val="1"/>
                <w:color w:val="auto"/>
              </w:rPr>
              <w:t>Autonomous</w:t>
            </w: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6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w w:val="90"/>
              </w:rPr>
              <w:t>New</w:t>
            </w:r>
          </w:p>
        </w:tc>
        <w:tc>
          <w:tcPr>
            <w:tcW w:w="0" w:type="dxa"/>
            <w:vAlign w:val="bottom"/>
          </w:tcPr>
          <w:p>
            <w:pPr>
              <w:spacing w:after="0"/>
              <w:rPr>
                <w:sz w:val="1"/>
                <w:szCs w:val="1"/>
                <w:color w:val="auto"/>
              </w:rPr>
            </w:pPr>
          </w:p>
        </w:tc>
      </w:tr>
      <w:tr>
        <w:trPr>
          <w:trHeight w:val="149"/>
        </w:trPr>
        <w:tc>
          <w:tcPr>
            <w:tcW w:w="6720" w:type="dxa"/>
            <w:vAlign w:val="bottom"/>
          </w:tcPr>
          <w:p>
            <w:pPr>
              <w:spacing w:after="0"/>
              <w:rPr>
                <w:sz w:val="12"/>
                <w:szCs w:val="12"/>
                <w:color w:val="auto"/>
              </w:rPr>
            </w:pPr>
          </w:p>
        </w:tc>
        <w:tc>
          <w:tcPr>
            <w:tcW w:w="108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Old BellRing</w:t>
            </w:r>
          </w:p>
        </w:tc>
        <w:tc>
          <w:tcPr>
            <w:tcW w:w="1120" w:type="dxa"/>
            <w:vAlign w:val="bottom"/>
            <w:gridSpan w:val="3"/>
            <w:vMerge w:val="continue"/>
          </w:tcPr>
          <w:p>
            <w:pPr>
              <w:spacing w:after="0"/>
              <w:rPr>
                <w:sz w:val="12"/>
                <w:szCs w:val="12"/>
                <w:color w:val="auto"/>
              </w:rPr>
            </w:pPr>
          </w:p>
        </w:tc>
        <w:tc>
          <w:tcPr>
            <w:tcW w:w="100" w:type="dxa"/>
            <w:vAlign w:val="bottom"/>
          </w:tcPr>
          <w:p>
            <w:pPr>
              <w:spacing w:after="0"/>
              <w:rPr>
                <w:sz w:val="12"/>
                <w:szCs w:val="12"/>
                <w:color w:val="auto"/>
              </w:rPr>
            </w:pPr>
          </w:p>
        </w:tc>
        <w:tc>
          <w:tcPr>
            <w:tcW w:w="1140" w:type="dxa"/>
            <w:vAlign w:val="bottom"/>
            <w:gridSpan w:val="3"/>
            <w:vMerge w:val="continue"/>
          </w:tcPr>
          <w:p>
            <w:pPr>
              <w:spacing w:after="0"/>
              <w:rPr>
                <w:sz w:val="12"/>
                <w:szCs w:val="12"/>
                <w:color w:val="auto"/>
              </w:rPr>
            </w:pPr>
          </w:p>
        </w:tc>
        <w:tc>
          <w:tcPr>
            <w:tcW w:w="100" w:type="dxa"/>
            <w:vAlign w:val="bottom"/>
          </w:tcPr>
          <w:p>
            <w:pPr>
              <w:spacing w:after="0"/>
              <w:rPr>
                <w:sz w:val="12"/>
                <w:szCs w:val="12"/>
                <w:color w:val="auto"/>
              </w:rPr>
            </w:pPr>
          </w:p>
        </w:tc>
        <w:tc>
          <w:tcPr>
            <w:tcW w:w="760" w:type="dxa"/>
            <w:vAlign w:val="bottom"/>
            <w:gridSpan w:val="3"/>
          </w:tcPr>
          <w:p>
            <w:pPr>
              <w:jc w:val="center"/>
              <w:ind w:right="100"/>
              <w:spacing w:after="0" w:line="149" w:lineRule="exact"/>
              <w:rPr>
                <w:sz w:val="20"/>
                <w:szCs w:val="20"/>
                <w:color w:val="auto"/>
              </w:rPr>
            </w:pPr>
            <w:r>
              <w:rPr>
                <w:rFonts w:ascii="Arial" w:cs="Arial" w:eastAsia="Arial" w:hAnsi="Arial"/>
                <w:sz w:val="14"/>
                <w:szCs w:val="14"/>
                <w:b w:val="1"/>
                <w:bCs w:val="1"/>
                <w:color w:val="auto"/>
                <w:w w:val="95"/>
              </w:rPr>
              <w:t>BellRing</w:t>
            </w:r>
          </w:p>
        </w:tc>
        <w:tc>
          <w:tcPr>
            <w:tcW w:w="0" w:type="dxa"/>
            <w:vAlign w:val="bottom"/>
          </w:tcPr>
          <w:p>
            <w:pPr>
              <w:spacing w:after="0"/>
              <w:rPr>
                <w:sz w:val="1"/>
                <w:szCs w:val="1"/>
                <w:color w:val="auto"/>
              </w:rPr>
            </w:pPr>
          </w:p>
        </w:tc>
      </w:tr>
      <w:tr>
        <w:trPr>
          <w:trHeight w:val="148"/>
        </w:trPr>
        <w:tc>
          <w:tcPr>
            <w:tcW w:w="6720" w:type="dxa"/>
            <w:vAlign w:val="bottom"/>
          </w:tcPr>
          <w:p>
            <w:pPr>
              <w:spacing w:after="0"/>
              <w:rPr>
                <w:sz w:val="12"/>
                <w:szCs w:val="12"/>
                <w:color w:val="auto"/>
              </w:rPr>
            </w:pPr>
          </w:p>
        </w:tc>
        <w:tc>
          <w:tcPr>
            <w:tcW w:w="1080" w:type="dxa"/>
            <w:vAlign w:val="bottom"/>
            <w:gridSpan w:val="3"/>
            <w:vMerge w:val="continue"/>
          </w:tcPr>
          <w:p>
            <w:pPr>
              <w:spacing w:after="0"/>
              <w:rPr>
                <w:sz w:val="12"/>
                <w:szCs w:val="12"/>
                <w:color w:val="auto"/>
              </w:rPr>
            </w:pPr>
          </w:p>
        </w:tc>
        <w:tc>
          <w:tcPr>
            <w:tcW w:w="1120" w:type="dxa"/>
            <w:vAlign w:val="bottom"/>
            <w:gridSpan w:val="3"/>
          </w:tcPr>
          <w:p>
            <w:pPr>
              <w:jc w:val="right"/>
              <w:ind w:right="400"/>
              <w:spacing w:after="0" w:line="149" w:lineRule="exact"/>
              <w:rPr>
                <w:sz w:val="20"/>
                <w:szCs w:val="20"/>
                <w:color w:val="auto"/>
              </w:rPr>
            </w:pPr>
            <w:r>
              <w:rPr>
                <w:rFonts w:ascii="Arial" w:cs="Arial" w:eastAsia="Arial" w:hAnsi="Arial"/>
                <w:sz w:val="14"/>
                <w:szCs w:val="14"/>
                <w:b w:val="1"/>
                <w:bCs w:val="1"/>
                <w:color w:val="auto"/>
                <w:w w:val="93"/>
              </w:rPr>
              <w:t>accounting</w:t>
            </w: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80" w:type="dxa"/>
            <w:vAlign w:val="bottom"/>
            <w:gridSpan w:val="2"/>
          </w:tcPr>
          <w:p>
            <w:pPr>
              <w:jc w:val="right"/>
              <w:ind w:right="560"/>
              <w:spacing w:after="0" w:line="149" w:lineRule="exact"/>
              <w:rPr>
                <w:sz w:val="20"/>
                <w:szCs w:val="20"/>
                <w:color w:val="auto"/>
              </w:rPr>
            </w:pPr>
            <w:r>
              <w:rPr>
                <w:rFonts w:ascii="Arial" w:cs="Arial" w:eastAsia="Arial" w:hAnsi="Arial"/>
                <w:sz w:val="14"/>
                <w:szCs w:val="14"/>
                <w:b w:val="1"/>
                <w:bCs w:val="1"/>
                <w:color w:val="auto"/>
              </w:rPr>
              <w:t>entity</w:t>
            </w: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60" w:type="dxa"/>
            <w:vAlign w:val="bottom"/>
            <w:gridSpan w:val="2"/>
          </w:tcPr>
          <w:p>
            <w:pPr>
              <w:jc w:val="center"/>
              <w:ind w:right="200"/>
              <w:spacing w:after="0" w:line="149" w:lineRule="exact"/>
              <w:rPr>
                <w:sz w:val="20"/>
                <w:szCs w:val="20"/>
                <w:color w:val="auto"/>
              </w:rPr>
            </w:pPr>
            <w:r>
              <w:rPr>
                <w:rFonts w:ascii="Arial" w:cs="Arial" w:eastAsia="Arial" w:hAnsi="Arial"/>
                <w:sz w:val="14"/>
                <w:szCs w:val="14"/>
                <w:b w:val="1"/>
                <w:bCs w:val="1"/>
                <w:color w:val="auto"/>
                <w:w w:val="97"/>
              </w:rPr>
              <w:t>pro</w:t>
            </w:r>
          </w:p>
        </w:tc>
        <w:tc>
          <w:tcPr>
            <w:tcW w:w="0" w:type="dxa"/>
            <w:vAlign w:val="bottom"/>
          </w:tcPr>
          <w:p>
            <w:pPr>
              <w:spacing w:after="0"/>
              <w:rPr>
                <w:sz w:val="1"/>
                <w:szCs w:val="1"/>
                <w:color w:val="auto"/>
              </w:rPr>
            </w:pPr>
          </w:p>
        </w:tc>
      </w:tr>
      <w:tr>
        <w:trPr>
          <w:trHeight w:val="171"/>
        </w:trPr>
        <w:tc>
          <w:tcPr>
            <w:tcW w:w="67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80" w:type="dxa"/>
            <w:vAlign w:val="bottom"/>
            <w:gridSpan w:val="2"/>
          </w:tcPr>
          <w:p>
            <w:pPr>
              <w:jc w:val="right"/>
              <w:ind w:right="380"/>
              <w:spacing w:after="0"/>
              <w:rPr>
                <w:sz w:val="20"/>
                <w:szCs w:val="20"/>
                <w:color w:val="auto"/>
              </w:rPr>
            </w:pPr>
            <w:r>
              <w:rPr>
                <w:rFonts w:ascii="Arial" w:cs="Arial" w:eastAsia="Arial" w:hAnsi="Arial"/>
                <w:sz w:val="14"/>
                <w:szCs w:val="14"/>
                <w:b w:val="1"/>
                <w:bCs w:val="1"/>
                <w:color w:val="auto"/>
                <w:w w:val="93"/>
              </w:rPr>
              <w:t>historical</w:t>
            </w:r>
          </w:p>
        </w:tc>
        <w:tc>
          <w:tcPr>
            <w:tcW w:w="1120" w:type="dxa"/>
            <w:vAlign w:val="bottom"/>
            <w:gridSpan w:val="3"/>
          </w:tcPr>
          <w:p>
            <w:pPr>
              <w:spacing w:after="0"/>
              <w:rPr>
                <w:sz w:val="20"/>
                <w:szCs w:val="20"/>
                <w:color w:val="auto"/>
              </w:rPr>
            </w:pPr>
            <w:r>
              <w:rPr>
                <w:rFonts w:ascii="Arial" w:cs="Arial" w:eastAsia="Arial" w:hAnsi="Arial"/>
                <w:sz w:val="14"/>
                <w:szCs w:val="14"/>
                <w:b w:val="1"/>
                <w:bCs w:val="1"/>
                <w:color w:val="auto"/>
              </w:rPr>
              <w:t>adjustments</w:t>
            </w:r>
          </w:p>
        </w:tc>
        <w:tc>
          <w:tcPr>
            <w:tcW w:w="100" w:type="dxa"/>
            <w:vAlign w:val="bottom"/>
          </w:tcPr>
          <w:p>
            <w:pPr>
              <w:spacing w:after="0"/>
              <w:rPr>
                <w:sz w:val="14"/>
                <w:szCs w:val="14"/>
                <w:color w:val="auto"/>
              </w:rPr>
            </w:pPr>
          </w:p>
        </w:tc>
        <w:tc>
          <w:tcPr>
            <w:tcW w:w="1140" w:type="dxa"/>
            <w:vAlign w:val="bottom"/>
            <w:gridSpan w:val="3"/>
          </w:tcPr>
          <w:p>
            <w:pPr>
              <w:ind w:left="40"/>
              <w:spacing w:after="0"/>
              <w:rPr>
                <w:sz w:val="20"/>
                <w:szCs w:val="20"/>
                <w:color w:val="auto"/>
              </w:rPr>
            </w:pPr>
            <w:r>
              <w:rPr>
                <w:rFonts w:ascii="Arial" w:cs="Arial" w:eastAsia="Arial" w:hAnsi="Arial"/>
                <w:sz w:val="14"/>
                <w:szCs w:val="14"/>
                <w:b w:val="1"/>
                <w:bCs w:val="1"/>
                <w:color w:val="auto"/>
              </w:rPr>
              <w:t>adjustments</w:t>
            </w: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6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w w:val="97"/>
              </w:rPr>
              <w:t>forma</w:t>
            </w:r>
          </w:p>
        </w:tc>
        <w:tc>
          <w:tcPr>
            <w:tcW w:w="0" w:type="dxa"/>
            <w:vAlign w:val="bottom"/>
          </w:tcPr>
          <w:p>
            <w:pPr>
              <w:spacing w:after="0"/>
              <w:rPr>
                <w:sz w:val="1"/>
                <w:szCs w:val="1"/>
                <w:color w:val="auto"/>
              </w:rPr>
            </w:pPr>
          </w:p>
        </w:tc>
      </w:tr>
      <w:tr>
        <w:trPr>
          <w:trHeight w:val="210"/>
        </w:trPr>
        <w:tc>
          <w:tcPr>
            <w:tcW w:w="672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rPr>
              <w:t>Net Sales</w:t>
            </w:r>
          </w:p>
        </w:tc>
        <w:tc>
          <w:tcPr>
            <w:tcW w:w="10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w w:val="79"/>
              </w:rPr>
              <w:t>$</w:t>
            </w:r>
          </w:p>
        </w:tc>
        <w:tc>
          <w:tcPr>
            <w:tcW w:w="7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1,247.1</w:t>
            </w:r>
          </w:p>
        </w:tc>
        <w:tc>
          <w:tcPr>
            <w:tcW w:w="28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520" w:type="dxa"/>
            <w:vAlign w:val="bottom"/>
            <w:tcBorders>
              <w:top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36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6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34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5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6"/>
              </w:rPr>
              <w:t>1,247.1</w:t>
            </w:r>
          </w:p>
        </w:tc>
        <w:tc>
          <w:tcPr>
            <w:tcW w:w="12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720" w:type="dxa"/>
            <w:vAlign w:val="bottom"/>
          </w:tcPr>
          <w:p>
            <w:pPr>
              <w:spacing w:after="0"/>
              <w:rPr>
                <w:sz w:val="20"/>
                <w:szCs w:val="20"/>
                <w:color w:val="auto"/>
              </w:rPr>
            </w:pPr>
            <w:r>
              <w:rPr>
                <w:rFonts w:ascii="Arial" w:cs="Arial" w:eastAsia="Arial" w:hAnsi="Arial"/>
                <w:sz w:val="18"/>
                <w:szCs w:val="18"/>
                <w:color w:val="auto"/>
              </w:rPr>
              <w:t>Cost of goods sold</w:t>
            </w:r>
          </w:p>
        </w:tc>
        <w:tc>
          <w:tcPr>
            <w:tcW w:w="100" w:type="dxa"/>
            <w:vAlign w:val="bottom"/>
          </w:tcPr>
          <w:p>
            <w:pPr>
              <w:spacing w:after="0"/>
              <w:rPr>
                <w:sz w:val="18"/>
                <w:szCs w:val="18"/>
                <w:color w:val="auto"/>
              </w:rPr>
            </w:pPr>
          </w:p>
        </w:tc>
        <w:tc>
          <w:tcPr>
            <w:tcW w:w="980" w:type="dxa"/>
            <w:vAlign w:val="bottom"/>
            <w:gridSpan w:val="2"/>
          </w:tcPr>
          <w:p>
            <w:pPr>
              <w:jc w:val="right"/>
              <w:ind w:right="280"/>
              <w:spacing w:after="0"/>
              <w:rPr>
                <w:sz w:val="20"/>
                <w:szCs w:val="20"/>
                <w:color w:val="auto"/>
              </w:rPr>
            </w:pPr>
            <w:r>
              <w:rPr>
                <w:rFonts w:ascii="Arial" w:cs="Arial" w:eastAsia="Arial" w:hAnsi="Arial"/>
                <w:sz w:val="18"/>
                <w:szCs w:val="18"/>
                <w:color w:val="auto"/>
              </w:rPr>
              <w:t>860.9</w:t>
            </w:r>
          </w:p>
        </w:tc>
        <w:tc>
          <w:tcPr>
            <w:tcW w:w="240" w:type="dxa"/>
            <w:vAlign w:val="bottom"/>
          </w:tcPr>
          <w:p>
            <w:pPr>
              <w:spacing w:after="0"/>
              <w:rPr>
                <w:sz w:val="18"/>
                <w:szCs w:val="18"/>
                <w:color w:val="auto"/>
              </w:rPr>
            </w:pPr>
          </w:p>
        </w:tc>
        <w:tc>
          <w:tcPr>
            <w:tcW w:w="880" w:type="dxa"/>
            <w:vAlign w:val="bottom"/>
            <w:gridSpan w:val="2"/>
          </w:tcPr>
          <w:p>
            <w:pPr>
              <w:jc w:val="right"/>
              <w:ind w:right="46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80" w:type="dxa"/>
            <w:vAlign w:val="bottom"/>
            <w:gridSpan w:val="2"/>
          </w:tcPr>
          <w:p>
            <w:pPr>
              <w:jc w:val="right"/>
              <w:ind w:right="42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gridSpan w:val="2"/>
          </w:tcPr>
          <w:p>
            <w:pPr>
              <w:jc w:val="right"/>
              <w:ind w:right="120"/>
              <w:spacing w:after="0"/>
              <w:rPr>
                <w:sz w:val="20"/>
                <w:szCs w:val="20"/>
                <w:color w:val="auto"/>
              </w:rPr>
            </w:pPr>
            <w:r>
              <w:rPr>
                <w:rFonts w:ascii="Arial" w:cs="Arial" w:eastAsia="Arial" w:hAnsi="Arial"/>
                <w:sz w:val="18"/>
                <w:szCs w:val="18"/>
                <w:color w:val="auto"/>
              </w:rPr>
              <w:t>860.9</w:t>
            </w:r>
          </w:p>
        </w:tc>
        <w:tc>
          <w:tcPr>
            <w:tcW w:w="0" w:type="dxa"/>
            <w:vAlign w:val="bottom"/>
          </w:tcPr>
          <w:p>
            <w:pPr>
              <w:spacing w:after="0"/>
              <w:rPr>
                <w:sz w:val="1"/>
                <w:szCs w:val="1"/>
                <w:color w:val="auto"/>
              </w:rPr>
            </w:pPr>
          </w:p>
        </w:tc>
      </w:tr>
      <w:tr>
        <w:trPr>
          <w:trHeight w:val="27"/>
        </w:trPr>
        <w:tc>
          <w:tcPr>
            <w:tcW w:w="67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520" w:type="dxa"/>
            <w:vAlign w:val="bottom"/>
            <w:shd w:val="clear" w:color="auto" w:fill="000000"/>
          </w:tcPr>
          <w:p>
            <w:pPr>
              <w:spacing w:after="0"/>
              <w:rPr>
                <w:sz w:val="2"/>
                <w:szCs w:val="2"/>
                <w:color w:val="auto"/>
              </w:rPr>
            </w:pPr>
          </w:p>
        </w:tc>
        <w:tc>
          <w:tcPr>
            <w:tcW w:w="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67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Gross Profit</w:t>
            </w:r>
          </w:p>
        </w:tc>
        <w:tc>
          <w:tcPr>
            <w:tcW w:w="10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386.2</w:t>
            </w:r>
          </w:p>
        </w:tc>
        <w:tc>
          <w:tcPr>
            <w:tcW w:w="24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386.2</w:t>
            </w:r>
          </w:p>
        </w:tc>
        <w:tc>
          <w:tcPr>
            <w:tcW w:w="0" w:type="dxa"/>
            <w:vAlign w:val="bottom"/>
          </w:tcPr>
          <w:p>
            <w:pPr>
              <w:spacing w:after="0"/>
              <w:rPr>
                <w:sz w:val="1"/>
                <w:szCs w:val="1"/>
                <w:color w:val="auto"/>
              </w:rPr>
            </w:pPr>
          </w:p>
        </w:tc>
      </w:tr>
      <w:tr>
        <w:trPr>
          <w:trHeight w:val="216"/>
        </w:trPr>
        <w:tc>
          <w:tcPr>
            <w:tcW w:w="6720" w:type="dxa"/>
            <w:vAlign w:val="bottom"/>
          </w:tcPr>
          <w:p>
            <w:pPr>
              <w:spacing w:after="0"/>
              <w:rPr>
                <w:sz w:val="20"/>
                <w:szCs w:val="20"/>
                <w:color w:val="auto"/>
              </w:rPr>
            </w:pPr>
            <w:r>
              <w:rPr>
                <w:rFonts w:ascii="Arial" w:cs="Arial" w:eastAsia="Arial" w:hAnsi="Arial"/>
                <w:sz w:val="18"/>
                <w:szCs w:val="18"/>
                <w:color w:val="auto"/>
              </w:rPr>
              <w:t>Selling, general and administrative expenses</w:t>
            </w:r>
          </w:p>
        </w:tc>
        <w:tc>
          <w:tcPr>
            <w:tcW w:w="100" w:type="dxa"/>
            <w:vAlign w:val="bottom"/>
          </w:tcPr>
          <w:p>
            <w:pPr>
              <w:spacing w:after="0"/>
              <w:rPr>
                <w:sz w:val="18"/>
                <w:szCs w:val="18"/>
                <w:color w:val="auto"/>
              </w:rPr>
            </w:pPr>
          </w:p>
        </w:tc>
        <w:tc>
          <w:tcPr>
            <w:tcW w:w="980" w:type="dxa"/>
            <w:vAlign w:val="bottom"/>
            <w:gridSpan w:val="2"/>
          </w:tcPr>
          <w:p>
            <w:pPr>
              <w:jc w:val="right"/>
              <w:ind w:right="280"/>
              <w:spacing w:after="0"/>
              <w:rPr>
                <w:sz w:val="20"/>
                <w:szCs w:val="20"/>
                <w:color w:val="auto"/>
              </w:rPr>
            </w:pPr>
            <w:r>
              <w:rPr>
                <w:rFonts w:ascii="Arial" w:cs="Arial" w:eastAsia="Arial" w:hAnsi="Arial"/>
                <w:sz w:val="18"/>
                <w:szCs w:val="18"/>
                <w:color w:val="auto"/>
              </w:rPr>
              <w:t>167.1</w:t>
            </w:r>
          </w:p>
        </w:tc>
        <w:tc>
          <w:tcPr>
            <w:tcW w:w="240" w:type="dxa"/>
            <w:vAlign w:val="bottom"/>
          </w:tcPr>
          <w:p>
            <w:pPr>
              <w:spacing w:after="0"/>
              <w:rPr>
                <w:sz w:val="18"/>
                <w:szCs w:val="18"/>
                <w:color w:val="auto"/>
              </w:rPr>
            </w:pPr>
          </w:p>
        </w:tc>
        <w:tc>
          <w:tcPr>
            <w:tcW w:w="880" w:type="dxa"/>
            <w:vAlign w:val="bottom"/>
            <w:gridSpan w:val="2"/>
          </w:tcPr>
          <w:p>
            <w:pPr>
              <w:jc w:val="right"/>
              <w:ind w:right="160"/>
              <w:spacing w:after="0"/>
              <w:rPr>
                <w:sz w:val="20"/>
                <w:szCs w:val="20"/>
                <w:color w:val="auto"/>
              </w:rPr>
            </w:pPr>
            <w:r>
              <w:rPr>
                <w:rFonts w:ascii="Arial" w:cs="Arial" w:eastAsia="Arial" w:hAnsi="Arial"/>
                <w:sz w:val="18"/>
                <w:szCs w:val="18"/>
                <w:color w:val="auto"/>
              </w:rPr>
              <w:t>13.3(h)</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80" w:type="dxa"/>
            <w:vAlign w:val="bottom"/>
            <w:gridSpan w:val="2"/>
          </w:tcPr>
          <w:p>
            <w:pPr>
              <w:jc w:val="right"/>
              <w:ind w:right="120"/>
              <w:spacing w:after="0"/>
              <w:rPr>
                <w:sz w:val="20"/>
                <w:szCs w:val="20"/>
                <w:color w:val="auto"/>
              </w:rPr>
            </w:pPr>
            <w:r>
              <w:rPr>
                <w:rFonts w:ascii="Arial" w:cs="Arial" w:eastAsia="Arial" w:hAnsi="Arial"/>
                <w:sz w:val="18"/>
                <w:szCs w:val="18"/>
                <w:color w:val="auto"/>
              </w:rPr>
              <w:t>2.8(k)</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gridSpan w:val="2"/>
          </w:tcPr>
          <w:p>
            <w:pPr>
              <w:jc w:val="right"/>
              <w:ind w:right="120"/>
              <w:spacing w:after="0"/>
              <w:rPr>
                <w:sz w:val="20"/>
                <w:szCs w:val="20"/>
                <w:color w:val="auto"/>
              </w:rPr>
            </w:pPr>
            <w:r>
              <w:rPr>
                <w:rFonts w:ascii="Arial" w:cs="Arial" w:eastAsia="Arial" w:hAnsi="Arial"/>
                <w:sz w:val="18"/>
                <w:szCs w:val="18"/>
                <w:color w:val="auto"/>
              </w:rPr>
              <w:t>183.2</w:t>
            </w:r>
          </w:p>
        </w:tc>
        <w:tc>
          <w:tcPr>
            <w:tcW w:w="0" w:type="dxa"/>
            <w:vAlign w:val="bottom"/>
          </w:tcPr>
          <w:p>
            <w:pPr>
              <w:spacing w:after="0"/>
              <w:rPr>
                <w:sz w:val="1"/>
                <w:szCs w:val="1"/>
                <w:color w:val="auto"/>
              </w:rPr>
            </w:pPr>
          </w:p>
        </w:tc>
      </w:tr>
      <w:tr>
        <w:trPr>
          <w:trHeight w:val="216"/>
        </w:trPr>
        <w:tc>
          <w:tcPr>
            <w:tcW w:w="6720" w:type="dxa"/>
            <w:vAlign w:val="bottom"/>
            <w:shd w:val="clear" w:color="auto" w:fill="CCEEFF"/>
          </w:tcPr>
          <w:p>
            <w:pPr>
              <w:spacing w:after="0"/>
              <w:rPr>
                <w:sz w:val="20"/>
                <w:szCs w:val="20"/>
                <w:color w:val="auto"/>
              </w:rPr>
            </w:pPr>
            <w:r>
              <w:rPr>
                <w:rFonts w:ascii="Arial" w:cs="Arial" w:eastAsia="Arial" w:hAnsi="Arial"/>
                <w:sz w:val="18"/>
                <w:szCs w:val="18"/>
                <w:color w:val="auto"/>
              </w:rPr>
              <w:t>Amortization of intangible assets</w:t>
            </w:r>
          </w:p>
        </w:tc>
        <w:tc>
          <w:tcPr>
            <w:tcW w:w="10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51.2</w:t>
            </w:r>
          </w:p>
        </w:tc>
        <w:tc>
          <w:tcPr>
            <w:tcW w:w="24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51.2</w:t>
            </w:r>
          </w:p>
        </w:tc>
        <w:tc>
          <w:tcPr>
            <w:tcW w:w="0" w:type="dxa"/>
            <w:vAlign w:val="bottom"/>
          </w:tcPr>
          <w:p>
            <w:pPr>
              <w:spacing w:after="0"/>
              <w:rPr>
                <w:sz w:val="1"/>
                <w:szCs w:val="1"/>
                <w:color w:val="auto"/>
              </w:rPr>
            </w:pPr>
          </w:p>
        </w:tc>
      </w:tr>
      <w:tr>
        <w:trPr>
          <w:trHeight w:val="216"/>
        </w:trPr>
        <w:tc>
          <w:tcPr>
            <w:tcW w:w="6720" w:type="dxa"/>
            <w:vAlign w:val="bottom"/>
          </w:tcPr>
          <w:p>
            <w:pPr>
              <w:spacing w:after="0"/>
              <w:rPr>
                <w:sz w:val="20"/>
                <w:szCs w:val="20"/>
                <w:color w:val="auto"/>
              </w:rPr>
            </w:pPr>
            <w:r>
              <w:rPr>
                <w:rFonts w:ascii="Arial" w:cs="Arial" w:eastAsia="Arial" w:hAnsi="Arial"/>
                <w:sz w:val="18"/>
                <w:szCs w:val="18"/>
                <w:color w:val="auto"/>
              </w:rPr>
              <w:t>Other operating expenses, net</w:t>
            </w:r>
          </w:p>
        </w:tc>
        <w:tc>
          <w:tcPr>
            <w:tcW w:w="100" w:type="dxa"/>
            <w:vAlign w:val="bottom"/>
          </w:tcPr>
          <w:p>
            <w:pPr>
              <w:spacing w:after="0"/>
              <w:rPr>
                <w:sz w:val="18"/>
                <w:szCs w:val="18"/>
                <w:color w:val="auto"/>
              </w:rPr>
            </w:pPr>
          </w:p>
        </w:tc>
        <w:tc>
          <w:tcPr>
            <w:tcW w:w="980" w:type="dxa"/>
            <w:vAlign w:val="bottom"/>
            <w:gridSpan w:val="2"/>
          </w:tcPr>
          <w:p>
            <w:pPr>
              <w:jc w:val="right"/>
              <w:ind w:right="220"/>
              <w:spacing w:after="0"/>
              <w:rPr>
                <w:sz w:val="20"/>
                <w:szCs w:val="20"/>
                <w:color w:val="auto"/>
              </w:rPr>
            </w:pPr>
            <w:r>
              <w:rPr>
                <w:rFonts w:ascii="Arial" w:cs="Arial" w:eastAsia="Arial" w:hAnsi="Arial"/>
                <w:sz w:val="18"/>
                <w:szCs w:val="18"/>
                <w:color w:val="auto"/>
              </w:rPr>
              <w:t>(0.1)</w:t>
            </w:r>
          </w:p>
        </w:tc>
        <w:tc>
          <w:tcPr>
            <w:tcW w:w="240" w:type="dxa"/>
            <w:vAlign w:val="bottom"/>
          </w:tcPr>
          <w:p>
            <w:pPr>
              <w:spacing w:after="0"/>
              <w:rPr>
                <w:sz w:val="18"/>
                <w:szCs w:val="18"/>
                <w:color w:val="auto"/>
              </w:rPr>
            </w:pPr>
          </w:p>
        </w:tc>
        <w:tc>
          <w:tcPr>
            <w:tcW w:w="880" w:type="dxa"/>
            <w:vAlign w:val="bottom"/>
            <w:gridSpan w:val="2"/>
          </w:tcPr>
          <w:p>
            <w:pPr>
              <w:jc w:val="right"/>
              <w:ind w:right="46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80" w:type="dxa"/>
            <w:vAlign w:val="bottom"/>
            <w:gridSpan w:val="2"/>
          </w:tcPr>
          <w:p>
            <w:pPr>
              <w:jc w:val="right"/>
              <w:ind w:right="42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gridSpan w:val="2"/>
          </w:tcPr>
          <w:p>
            <w:pPr>
              <w:jc w:val="right"/>
              <w:ind w:right="60"/>
              <w:spacing w:after="0"/>
              <w:rPr>
                <w:sz w:val="20"/>
                <w:szCs w:val="20"/>
                <w:color w:val="auto"/>
              </w:rPr>
            </w:pPr>
            <w:r>
              <w:rPr>
                <w:rFonts w:ascii="Arial" w:cs="Arial" w:eastAsia="Arial" w:hAnsi="Arial"/>
                <w:sz w:val="18"/>
                <w:szCs w:val="18"/>
                <w:color w:val="auto"/>
              </w:rPr>
              <w:t>(0.1)</w:t>
            </w:r>
          </w:p>
        </w:tc>
        <w:tc>
          <w:tcPr>
            <w:tcW w:w="0" w:type="dxa"/>
            <w:vAlign w:val="bottom"/>
          </w:tcPr>
          <w:p>
            <w:pPr>
              <w:spacing w:after="0"/>
              <w:rPr>
                <w:sz w:val="1"/>
                <w:szCs w:val="1"/>
                <w:color w:val="auto"/>
              </w:rPr>
            </w:pPr>
          </w:p>
        </w:tc>
      </w:tr>
      <w:tr>
        <w:trPr>
          <w:trHeight w:val="27"/>
        </w:trPr>
        <w:tc>
          <w:tcPr>
            <w:tcW w:w="67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520" w:type="dxa"/>
            <w:vAlign w:val="bottom"/>
            <w:shd w:val="clear" w:color="auto" w:fill="000000"/>
          </w:tcPr>
          <w:p>
            <w:pPr>
              <w:spacing w:after="0"/>
              <w:rPr>
                <w:sz w:val="2"/>
                <w:szCs w:val="2"/>
                <w:color w:val="auto"/>
              </w:rPr>
            </w:pPr>
          </w:p>
        </w:tc>
        <w:tc>
          <w:tcPr>
            <w:tcW w:w="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67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Operating Profit</w:t>
            </w:r>
          </w:p>
        </w:tc>
        <w:tc>
          <w:tcPr>
            <w:tcW w:w="10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168.0</w:t>
            </w:r>
          </w:p>
        </w:tc>
        <w:tc>
          <w:tcPr>
            <w:tcW w:w="24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(13.3)</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(2.8)</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151.9</w:t>
            </w:r>
          </w:p>
        </w:tc>
        <w:tc>
          <w:tcPr>
            <w:tcW w:w="0" w:type="dxa"/>
            <w:vAlign w:val="bottom"/>
          </w:tcPr>
          <w:p>
            <w:pPr>
              <w:spacing w:after="0"/>
              <w:rPr>
                <w:sz w:val="1"/>
                <w:szCs w:val="1"/>
                <w:color w:val="auto"/>
              </w:rPr>
            </w:pPr>
          </w:p>
        </w:tc>
      </w:tr>
      <w:tr>
        <w:trPr>
          <w:trHeight w:val="216"/>
        </w:trPr>
        <w:tc>
          <w:tcPr>
            <w:tcW w:w="6720" w:type="dxa"/>
            <w:vAlign w:val="bottom"/>
          </w:tcPr>
          <w:p>
            <w:pPr>
              <w:spacing w:after="0"/>
              <w:rPr>
                <w:sz w:val="20"/>
                <w:szCs w:val="20"/>
                <w:color w:val="auto"/>
              </w:rPr>
            </w:pPr>
            <w:r>
              <w:rPr>
                <w:rFonts w:ascii="Arial" w:cs="Arial" w:eastAsia="Arial" w:hAnsi="Arial"/>
                <w:sz w:val="18"/>
                <w:szCs w:val="18"/>
                <w:color w:val="auto"/>
              </w:rPr>
              <w:t>Interest expense, net</w:t>
            </w:r>
          </w:p>
        </w:tc>
        <w:tc>
          <w:tcPr>
            <w:tcW w:w="100" w:type="dxa"/>
            <w:vAlign w:val="bottom"/>
          </w:tcPr>
          <w:p>
            <w:pPr>
              <w:spacing w:after="0"/>
              <w:rPr>
                <w:sz w:val="18"/>
                <w:szCs w:val="18"/>
                <w:color w:val="auto"/>
              </w:rPr>
            </w:pPr>
          </w:p>
        </w:tc>
        <w:tc>
          <w:tcPr>
            <w:tcW w:w="980" w:type="dxa"/>
            <w:vAlign w:val="bottom"/>
            <w:gridSpan w:val="2"/>
          </w:tcPr>
          <w:p>
            <w:pPr>
              <w:jc w:val="right"/>
              <w:ind w:right="280"/>
              <w:spacing w:after="0"/>
              <w:rPr>
                <w:sz w:val="20"/>
                <w:szCs w:val="20"/>
                <w:color w:val="auto"/>
              </w:rPr>
            </w:pPr>
            <w:r>
              <w:rPr>
                <w:rFonts w:ascii="Arial" w:cs="Arial" w:eastAsia="Arial" w:hAnsi="Arial"/>
                <w:sz w:val="18"/>
                <w:szCs w:val="18"/>
                <w:color w:val="auto"/>
              </w:rPr>
              <w:t>43.2</w:t>
            </w:r>
          </w:p>
        </w:tc>
        <w:tc>
          <w:tcPr>
            <w:tcW w:w="240" w:type="dxa"/>
            <w:vAlign w:val="bottom"/>
          </w:tcPr>
          <w:p>
            <w:pPr>
              <w:spacing w:after="0"/>
              <w:rPr>
                <w:sz w:val="18"/>
                <w:szCs w:val="18"/>
                <w:color w:val="auto"/>
              </w:rPr>
            </w:pPr>
          </w:p>
        </w:tc>
        <w:tc>
          <w:tcPr>
            <w:tcW w:w="880" w:type="dxa"/>
            <w:vAlign w:val="bottom"/>
            <w:gridSpan w:val="2"/>
          </w:tcPr>
          <w:p>
            <w:pPr>
              <w:jc w:val="right"/>
              <w:ind w:right="200"/>
              <w:spacing w:after="0"/>
              <w:rPr>
                <w:sz w:val="20"/>
                <w:szCs w:val="20"/>
                <w:color w:val="auto"/>
              </w:rPr>
            </w:pPr>
            <w:r>
              <w:rPr>
                <w:rFonts w:ascii="Arial" w:cs="Arial" w:eastAsia="Arial" w:hAnsi="Arial"/>
                <w:sz w:val="18"/>
                <w:szCs w:val="18"/>
                <w:color w:val="auto"/>
              </w:rPr>
              <w:t>21.6(i)</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80" w:type="dxa"/>
            <w:vAlign w:val="bottom"/>
            <w:gridSpan w:val="2"/>
          </w:tcPr>
          <w:p>
            <w:pPr>
              <w:jc w:val="right"/>
              <w:ind w:right="42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gridSpan w:val="2"/>
          </w:tcPr>
          <w:p>
            <w:pPr>
              <w:jc w:val="right"/>
              <w:ind w:right="120"/>
              <w:spacing w:after="0"/>
              <w:rPr>
                <w:sz w:val="20"/>
                <w:szCs w:val="20"/>
                <w:color w:val="auto"/>
              </w:rPr>
            </w:pPr>
            <w:r>
              <w:rPr>
                <w:rFonts w:ascii="Arial" w:cs="Arial" w:eastAsia="Arial" w:hAnsi="Arial"/>
                <w:sz w:val="18"/>
                <w:szCs w:val="18"/>
                <w:color w:val="auto"/>
              </w:rPr>
              <w:t>64.8</w:t>
            </w:r>
          </w:p>
        </w:tc>
        <w:tc>
          <w:tcPr>
            <w:tcW w:w="0" w:type="dxa"/>
            <w:vAlign w:val="bottom"/>
          </w:tcPr>
          <w:p>
            <w:pPr>
              <w:spacing w:after="0"/>
              <w:rPr>
                <w:sz w:val="1"/>
                <w:szCs w:val="1"/>
                <w:color w:val="auto"/>
              </w:rPr>
            </w:pPr>
          </w:p>
        </w:tc>
      </w:tr>
      <w:tr>
        <w:trPr>
          <w:trHeight w:val="216"/>
        </w:trPr>
        <w:tc>
          <w:tcPr>
            <w:tcW w:w="6720" w:type="dxa"/>
            <w:vAlign w:val="bottom"/>
            <w:shd w:val="clear" w:color="auto" w:fill="CCEEFF"/>
          </w:tcPr>
          <w:p>
            <w:pPr>
              <w:spacing w:after="0"/>
              <w:rPr>
                <w:sz w:val="20"/>
                <w:szCs w:val="20"/>
                <w:color w:val="auto"/>
              </w:rPr>
            </w:pPr>
            <w:r>
              <w:rPr>
                <w:rFonts w:ascii="Arial" w:cs="Arial" w:eastAsia="Arial" w:hAnsi="Arial"/>
                <w:sz w:val="18"/>
                <w:szCs w:val="18"/>
                <w:color w:val="auto"/>
              </w:rPr>
              <w:t>Loss on refinancing of debt</w:t>
            </w:r>
          </w:p>
        </w:tc>
        <w:tc>
          <w:tcPr>
            <w:tcW w:w="10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1.6</w:t>
            </w:r>
          </w:p>
        </w:tc>
        <w:tc>
          <w:tcPr>
            <w:tcW w:w="24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1.6</w:t>
            </w:r>
          </w:p>
        </w:tc>
        <w:tc>
          <w:tcPr>
            <w:tcW w:w="0" w:type="dxa"/>
            <w:vAlign w:val="bottom"/>
          </w:tcPr>
          <w:p>
            <w:pPr>
              <w:spacing w:after="0"/>
              <w:rPr>
                <w:sz w:val="1"/>
                <w:szCs w:val="1"/>
                <w:color w:val="auto"/>
              </w:rPr>
            </w:pPr>
          </w:p>
        </w:tc>
      </w:tr>
      <w:tr>
        <w:trPr>
          <w:trHeight w:val="223"/>
        </w:trPr>
        <w:tc>
          <w:tcPr>
            <w:tcW w:w="6720" w:type="dxa"/>
            <w:vAlign w:val="bottom"/>
          </w:tcPr>
          <w:p>
            <w:pPr>
              <w:spacing w:after="0"/>
              <w:rPr>
                <w:sz w:val="20"/>
                <w:szCs w:val="20"/>
                <w:color w:val="auto"/>
              </w:rPr>
            </w:pPr>
            <w:r>
              <w:rPr>
                <w:rFonts w:ascii="Arial" w:cs="Arial" w:eastAsia="Arial" w:hAnsi="Arial"/>
                <w:sz w:val="18"/>
                <w:szCs w:val="18"/>
                <w:b w:val="1"/>
                <w:bCs w:val="1"/>
                <w:color w:val="auto"/>
              </w:rPr>
              <w:t>Earnings before Income Taxes</w:t>
            </w:r>
          </w:p>
        </w:tc>
        <w:tc>
          <w:tcPr>
            <w:tcW w:w="100" w:type="dxa"/>
            <w:vAlign w:val="bottom"/>
            <w:tcBorders>
              <w:top w:val="single" w:sz="8" w:color="auto"/>
            </w:tcBorders>
          </w:tcPr>
          <w:p>
            <w:pPr>
              <w:spacing w:after="0"/>
              <w:rPr>
                <w:sz w:val="19"/>
                <w:szCs w:val="19"/>
                <w:color w:val="auto"/>
              </w:rPr>
            </w:pPr>
          </w:p>
        </w:tc>
        <w:tc>
          <w:tcPr>
            <w:tcW w:w="7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123.2</w:t>
            </w:r>
          </w:p>
        </w:tc>
        <w:tc>
          <w:tcPr>
            <w:tcW w:w="280" w:type="dxa"/>
            <w:vAlign w:val="bottom"/>
          </w:tcPr>
          <w:p>
            <w:pPr>
              <w:spacing w:after="0"/>
              <w:rPr>
                <w:sz w:val="19"/>
                <w:szCs w:val="19"/>
                <w:color w:val="auto"/>
              </w:rPr>
            </w:pPr>
          </w:p>
        </w:tc>
        <w:tc>
          <w:tcPr>
            <w:tcW w:w="240" w:type="dxa"/>
            <w:vAlign w:val="bottom"/>
            <w:tcBorders>
              <w:top w:val="single" w:sz="8" w:color="auto"/>
            </w:tcBorders>
          </w:tcPr>
          <w:p>
            <w:pPr>
              <w:spacing w:after="0"/>
              <w:rPr>
                <w:sz w:val="19"/>
                <w:szCs w:val="19"/>
                <w:color w:val="auto"/>
              </w:rPr>
            </w:pPr>
          </w:p>
        </w:tc>
        <w:tc>
          <w:tcPr>
            <w:tcW w:w="5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(34.9)</w:t>
            </w:r>
          </w:p>
        </w:tc>
        <w:tc>
          <w:tcPr>
            <w:tcW w:w="3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Borders>
              <w:top w:val="single" w:sz="8" w:color="auto"/>
            </w:tcBorders>
          </w:tcPr>
          <w:p>
            <w:pPr>
              <w:spacing w:after="0"/>
              <w:rPr>
                <w:sz w:val="19"/>
                <w:szCs w:val="19"/>
                <w:color w:val="auto"/>
              </w:rPr>
            </w:pPr>
          </w:p>
        </w:tc>
        <w:tc>
          <w:tcPr>
            <w:tcW w:w="6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(2.8)</w:t>
            </w:r>
          </w:p>
        </w:tc>
        <w:tc>
          <w:tcPr>
            <w:tcW w:w="3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5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85.5</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6720" w:type="dxa"/>
            <w:vAlign w:val="bottom"/>
            <w:shd w:val="clear" w:color="auto" w:fill="CCEEFF"/>
          </w:tcPr>
          <w:p>
            <w:pPr>
              <w:spacing w:after="0"/>
              <w:rPr>
                <w:sz w:val="20"/>
                <w:szCs w:val="20"/>
                <w:color w:val="auto"/>
              </w:rPr>
            </w:pPr>
            <w:r>
              <w:rPr>
                <w:rFonts w:ascii="Arial" w:cs="Arial" w:eastAsia="Arial" w:hAnsi="Arial"/>
                <w:sz w:val="18"/>
                <w:szCs w:val="18"/>
                <w:color w:val="auto"/>
              </w:rPr>
              <w:t>Income tax expense</w:t>
            </w:r>
          </w:p>
        </w:tc>
        <w:tc>
          <w:tcPr>
            <w:tcW w:w="10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8.8</w:t>
            </w:r>
          </w:p>
        </w:tc>
        <w:tc>
          <w:tcPr>
            <w:tcW w:w="24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13.9(d)</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(1.3)(l)</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21.4</w:t>
            </w:r>
          </w:p>
        </w:tc>
        <w:tc>
          <w:tcPr>
            <w:tcW w:w="0" w:type="dxa"/>
            <w:vAlign w:val="bottom"/>
          </w:tcPr>
          <w:p>
            <w:pPr>
              <w:spacing w:after="0"/>
              <w:rPr>
                <w:sz w:val="1"/>
                <w:szCs w:val="1"/>
                <w:color w:val="auto"/>
              </w:rPr>
            </w:pPr>
          </w:p>
        </w:tc>
      </w:tr>
      <w:tr>
        <w:trPr>
          <w:trHeight w:val="223"/>
        </w:trPr>
        <w:tc>
          <w:tcPr>
            <w:tcW w:w="6720" w:type="dxa"/>
            <w:vAlign w:val="bottom"/>
          </w:tcPr>
          <w:p>
            <w:pPr>
              <w:spacing w:after="0"/>
              <w:rPr>
                <w:sz w:val="20"/>
                <w:szCs w:val="20"/>
                <w:color w:val="auto"/>
              </w:rPr>
            </w:pPr>
            <w:r>
              <w:rPr>
                <w:rFonts w:ascii="Arial" w:cs="Arial" w:eastAsia="Arial" w:hAnsi="Arial"/>
                <w:sz w:val="18"/>
                <w:szCs w:val="18"/>
                <w:b w:val="1"/>
                <w:bCs w:val="1"/>
                <w:color w:val="auto"/>
              </w:rPr>
              <w:t>Net Earnings Including Redeemable Noncontrolling Interest</w:t>
            </w:r>
          </w:p>
        </w:tc>
        <w:tc>
          <w:tcPr>
            <w:tcW w:w="100" w:type="dxa"/>
            <w:vAlign w:val="bottom"/>
            <w:tcBorders>
              <w:top w:val="single" w:sz="8" w:color="auto"/>
            </w:tcBorders>
          </w:tcPr>
          <w:p>
            <w:pPr>
              <w:spacing w:after="0"/>
              <w:rPr>
                <w:sz w:val="19"/>
                <w:szCs w:val="19"/>
                <w:color w:val="auto"/>
              </w:rPr>
            </w:pPr>
          </w:p>
        </w:tc>
        <w:tc>
          <w:tcPr>
            <w:tcW w:w="7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114.4</w:t>
            </w:r>
          </w:p>
        </w:tc>
        <w:tc>
          <w:tcPr>
            <w:tcW w:w="280" w:type="dxa"/>
            <w:vAlign w:val="bottom"/>
          </w:tcPr>
          <w:p>
            <w:pPr>
              <w:spacing w:after="0"/>
              <w:rPr>
                <w:sz w:val="19"/>
                <w:szCs w:val="19"/>
                <w:color w:val="auto"/>
              </w:rPr>
            </w:pPr>
          </w:p>
        </w:tc>
        <w:tc>
          <w:tcPr>
            <w:tcW w:w="240" w:type="dxa"/>
            <w:vAlign w:val="bottom"/>
            <w:tcBorders>
              <w:top w:val="single" w:sz="8" w:color="auto"/>
            </w:tcBorders>
          </w:tcPr>
          <w:p>
            <w:pPr>
              <w:spacing w:after="0"/>
              <w:rPr>
                <w:sz w:val="19"/>
                <w:szCs w:val="19"/>
                <w:color w:val="auto"/>
              </w:rPr>
            </w:pPr>
          </w:p>
        </w:tc>
        <w:tc>
          <w:tcPr>
            <w:tcW w:w="5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(48.8)</w:t>
            </w:r>
          </w:p>
        </w:tc>
        <w:tc>
          <w:tcPr>
            <w:tcW w:w="3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Borders>
              <w:top w:val="single" w:sz="8" w:color="auto"/>
            </w:tcBorders>
          </w:tcPr>
          <w:p>
            <w:pPr>
              <w:spacing w:after="0"/>
              <w:rPr>
                <w:sz w:val="19"/>
                <w:szCs w:val="19"/>
                <w:color w:val="auto"/>
              </w:rPr>
            </w:pPr>
          </w:p>
        </w:tc>
        <w:tc>
          <w:tcPr>
            <w:tcW w:w="6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(1.5)</w:t>
            </w:r>
          </w:p>
        </w:tc>
        <w:tc>
          <w:tcPr>
            <w:tcW w:w="3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5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64.1</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6720" w:type="dxa"/>
            <w:vAlign w:val="bottom"/>
            <w:shd w:val="clear" w:color="auto" w:fill="CCEEFF"/>
          </w:tcPr>
          <w:p>
            <w:pPr>
              <w:spacing w:after="0"/>
              <w:rPr>
                <w:sz w:val="20"/>
                <w:szCs w:val="20"/>
                <w:color w:val="auto"/>
              </w:rPr>
            </w:pPr>
            <w:r>
              <w:rPr>
                <w:rFonts w:ascii="Arial" w:cs="Arial" w:eastAsia="Arial" w:hAnsi="Arial"/>
                <w:sz w:val="18"/>
                <w:szCs w:val="18"/>
                <w:color w:val="auto"/>
              </w:rPr>
              <w:t>Less: Net earnings attributable to noncontrolling interest</w:t>
            </w:r>
          </w:p>
        </w:tc>
        <w:tc>
          <w:tcPr>
            <w:tcW w:w="10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86.8</w:t>
            </w:r>
          </w:p>
        </w:tc>
        <w:tc>
          <w:tcPr>
            <w:tcW w:w="24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(86.8)(e)</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6720" w:type="dxa"/>
            <w:vAlign w:val="bottom"/>
          </w:tcPr>
          <w:p>
            <w:pPr>
              <w:spacing w:after="0"/>
              <w:rPr>
                <w:sz w:val="20"/>
                <w:szCs w:val="20"/>
                <w:color w:val="auto"/>
              </w:rPr>
            </w:pPr>
            <w:r>
              <w:rPr>
                <w:rFonts w:ascii="Arial" w:cs="Arial" w:eastAsia="Arial" w:hAnsi="Arial"/>
                <w:sz w:val="18"/>
                <w:szCs w:val="18"/>
                <w:b w:val="1"/>
                <w:bCs w:val="1"/>
                <w:color w:val="auto"/>
              </w:rPr>
              <w:t>Net Earnings Available to Old BellRing Class A Common Stockholders</w:t>
            </w:r>
          </w:p>
        </w:tc>
        <w:tc>
          <w:tcPr>
            <w:tcW w:w="10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w w:val="79"/>
              </w:rPr>
              <w:t>$</w:t>
            </w:r>
          </w:p>
        </w:tc>
        <w:tc>
          <w:tcPr>
            <w:tcW w:w="7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27.6</w:t>
            </w:r>
          </w:p>
        </w:tc>
        <w:tc>
          <w:tcPr>
            <w:tcW w:w="280" w:type="dxa"/>
            <w:vAlign w:val="bottom"/>
          </w:tcPr>
          <w:p>
            <w:pPr>
              <w:spacing w:after="0"/>
              <w:rPr>
                <w:sz w:val="20"/>
                <w:szCs w:val="20"/>
                <w:color w:val="auto"/>
              </w:rPr>
            </w:pPr>
          </w:p>
        </w:tc>
        <w:tc>
          <w:tcPr>
            <w:tcW w:w="24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5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38.0</w:t>
            </w:r>
          </w:p>
        </w:tc>
        <w:tc>
          <w:tcPr>
            <w:tcW w:w="3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6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(1.5)</w:t>
            </w:r>
          </w:p>
        </w:tc>
        <w:tc>
          <w:tcPr>
            <w:tcW w:w="3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5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64.1</w:t>
            </w: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67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Earnings per Share of Old BellRing Class A Common Stock:</w:t>
            </w: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720" w:type="dxa"/>
            <w:vAlign w:val="bottom"/>
          </w:tcPr>
          <w:p>
            <w:pPr>
              <w:spacing w:after="0"/>
              <w:rPr>
                <w:sz w:val="20"/>
                <w:szCs w:val="20"/>
                <w:color w:val="auto"/>
              </w:rPr>
            </w:pPr>
            <w:r>
              <w:rPr>
                <w:rFonts w:ascii="Arial" w:cs="Arial" w:eastAsia="Arial" w:hAnsi="Arial"/>
                <w:sz w:val="18"/>
                <w:szCs w:val="18"/>
                <w:color w:val="auto"/>
              </w:rPr>
              <w:t>Basic</w:t>
            </w:r>
          </w:p>
        </w:tc>
        <w:tc>
          <w:tcPr>
            <w:tcW w:w="100" w:type="dxa"/>
            <w:vAlign w:val="bottom"/>
          </w:tcPr>
          <w:p>
            <w:pPr>
              <w:spacing w:after="0"/>
              <w:rPr>
                <w:sz w:val="20"/>
                <w:szCs w:val="20"/>
                <w:color w:val="auto"/>
              </w:rPr>
            </w:pPr>
            <w:r>
              <w:rPr>
                <w:rFonts w:ascii="Arial" w:cs="Arial" w:eastAsia="Arial" w:hAnsi="Arial"/>
                <w:sz w:val="18"/>
                <w:szCs w:val="18"/>
                <w:color w:val="auto"/>
                <w:w w:val="79"/>
              </w:rPr>
              <w:t>$</w:t>
            </w:r>
          </w:p>
        </w:tc>
        <w:tc>
          <w:tcPr>
            <w:tcW w:w="980" w:type="dxa"/>
            <w:vAlign w:val="bottom"/>
            <w:gridSpan w:val="2"/>
          </w:tcPr>
          <w:p>
            <w:pPr>
              <w:jc w:val="right"/>
              <w:ind w:right="280"/>
              <w:spacing w:after="0"/>
              <w:rPr>
                <w:sz w:val="20"/>
                <w:szCs w:val="20"/>
                <w:color w:val="auto"/>
              </w:rPr>
            </w:pPr>
            <w:r>
              <w:rPr>
                <w:rFonts w:ascii="Arial" w:cs="Arial" w:eastAsia="Arial" w:hAnsi="Arial"/>
                <w:sz w:val="18"/>
                <w:szCs w:val="18"/>
                <w:color w:val="auto"/>
              </w:rPr>
              <w:t>0.70</w:t>
            </w:r>
          </w:p>
        </w:tc>
        <w:tc>
          <w:tcPr>
            <w:tcW w:w="240" w:type="dxa"/>
            <w:vAlign w:val="bottom"/>
          </w:tcPr>
          <w:p>
            <w:pPr>
              <w:spacing w:after="0"/>
              <w:rPr>
                <w:sz w:val="18"/>
                <w:szCs w:val="18"/>
                <w:color w:val="auto"/>
              </w:rPr>
            </w:pPr>
          </w:p>
        </w:tc>
        <w:tc>
          <w:tcPr>
            <w:tcW w:w="880" w:type="dxa"/>
            <w:vAlign w:val="bottom"/>
            <w:gridSpan w:val="2"/>
          </w:tcPr>
          <w:p>
            <w:pPr>
              <w:jc w:val="right"/>
              <w:ind w:right="46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80" w:type="dxa"/>
            <w:vAlign w:val="bottom"/>
            <w:gridSpan w:val="2"/>
          </w:tcPr>
          <w:p>
            <w:pPr>
              <w:jc w:val="right"/>
              <w:ind w:right="420"/>
              <w:spacing w:after="0"/>
              <w:rPr>
                <w:sz w:val="20"/>
                <w:szCs w:val="20"/>
                <w:color w:val="auto"/>
              </w:rPr>
            </w:pPr>
            <w:r>
              <w:rPr>
                <w:rFonts w:ascii="Arial" w:cs="Arial" w:eastAsia="Arial" w:hAnsi="Arial"/>
                <w:sz w:val="18"/>
                <w:szCs w:val="18"/>
                <w:color w:val="auto"/>
              </w:rPr>
              <w:t>—</w:t>
            </w:r>
          </w:p>
        </w:tc>
        <w:tc>
          <w:tcPr>
            <w:tcW w:w="2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60" w:type="dxa"/>
            <w:vAlign w:val="bottom"/>
            <w:gridSpan w:val="2"/>
          </w:tcPr>
          <w:p>
            <w:pPr>
              <w:jc w:val="right"/>
              <w:ind w:right="120"/>
              <w:spacing w:after="0"/>
              <w:rPr>
                <w:sz w:val="20"/>
                <w:szCs w:val="20"/>
                <w:color w:val="auto"/>
              </w:rPr>
            </w:pPr>
            <w:r>
              <w:rPr>
                <w:rFonts w:ascii="Arial" w:cs="Arial" w:eastAsia="Arial" w:hAnsi="Arial"/>
                <w:sz w:val="18"/>
                <w:szCs w:val="18"/>
                <w:color w:val="auto"/>
              </w:rPr>
              <w:t>0.47</w:t>
            </w:r>
          </w:p>
        </w:tc>
        <w:tc>
          <w:tcPr>
            <w:tcW w:w="0" w:type="dxa"/>
            <w:vAlign w:val="bottom"/>
          </w:tcPr>
          <w:p>
            <w:pPr>
              <w:spacing w:after="0"/>
              <w:rPr>
                <w:sz w:val="1"/>
                <w:szCs w:val="1"/>
                <w:color w:val="auto"/>
              </w:rPr>
            </w:pPr>
          </w:p>
        </w:tc>
      </w:tr>
      <w:tr>
        <w:trPr>
          <w:trHeight w:val="216"/>
        </w:trPr>
        <w:tc>
          <w:tcPr>
            <w:tcW w:w="6720" w:type="dxa"/>
            <w:vAlign w:val="bottom"/>
            <w:shd w:val="clear" w:color="auto" w:fill="CCEEFF"/>
          </w:tcPr>
          <w:p>
            <w:pPr>
              <w:spacing w:after="0"/>
              <w:rPr>
                <w:sz w:val="20"/>
                <w:szCs w:val="20"/>
                <w:color w:val="auto"/>
              </w:rPr>
            </w:pPr>
            <w:r>
              <w:rPr>
                <w:rFonts w:ascii="Arial" w:cs="Arial" w:eastAsia="Arial" w:hAnsi="Arial"/>
                <w:sz w:val="18"/>
                <w:szCs w:val="18"/>
                <w:color w:val="auto"/>
              </w:rPr>
              <w:t>Diluted</w:t>
            </w: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9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0.70</w:t>
            </w:r>
          </w:p>
        </w:tc>
        <w:tc>
          <w:tcPr>
            <w:tcW w:w="24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w:t>
            </w:r>
          </w:p>
        </w:tc>
        <w:tc>
          <w:tcPr>
            <w:tcW w:w="2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0.47</w:t>
            </w:r>
          </w:p>
        </w:tc>
        <w:tc>
          <w:tcPr>
            <w:tcW w:w="0" w:type="dxa"/>
            <w:vAlign w:val="bottom"/>
          </w:tcPr>
          <w:p>
            <w:pPr>
              <w:spacing w:after="0"/>
              <w:rPr>
                <w:sz w:val="1"/>
                <w:szCs w:val="1"/>
                <w:color w:val="auto"/>
              </w:rPr>
            </w:pPr>
          </w:p>
        </w:tc>
      </w:tr>
      <w:tr>
        <w:trPr>
          <w:trHeight w:val="216"/>
        </w:trPr>
        <w:tc>
          <w:tcPr>
            <w:tcW w:w="6720" w:type="dxa"/>
            <w:vAlign w:val="bottom"/>
          </w:tcPr>
          <w:p>
            <w:pPr>
              <w:spacing w:after="0"/>
              <w:rPr>
                <w:sz w:val="20"/>
                <w:szCs w:val="20"/>
                <w:color w:val="auto"/>
              </w:rPr>
            </w:pPr>
            <w:r>
              <w:rPr>
                <w:rFonts w:ascii="Arial" w:cs="Arial" w:eastAsia="Arial" w:hAnsi="Arial"/>
                <w:sz w:val="18"/>
                <w:szCs w:val="18"/>
                <w:b w:val="1"/>
                <w:bCs w:val="1"/>
                <w:color w:val="auto"/>
                <w:w w:val="98"/>
              </w:rPr>
              <w:t>Weighted-average Shares of Old BellRing Class A Common Stock Outstanding:</w:t>
            </w:r>
          </w:p>
        </w:tc>
        <w:tc>
          <w:tcPr>
            <w:tcW w:w="1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720" w:type="dxa"/>
            <w:vAlign w:val="bottom"/>
            <w:shd w:val="clear" w:color="auto" w:fill="CCEEFF"/>
          </w:tcPr>
          <w:p>
            <w:pPr>
              <w:spacing w:after="0"/>
              <w:rPr>
                <w:sz w:val="20"/>
                <w:szCs w:val="20"/>
                <w:color w:val="auto"/>
              </w:rPr>
            </w:pPr>
            <w:r>
              <w:rPr>
                <w:rFonts w:ascii="Arial" w:cs="Arial" w:eastAsia="Arial" w:hAnsi="Arial"/>
                <w:sz w:val="18"/>
                <w:szCs w:val="18"/>
                <w:color w:val="auto"/>
              </w:rPr>
              <w:t>Basic</w:t>
            </w:r>
          </w:p>
        </w:tc>
        <w:tc>
          <w:tcPr>
            <w:tcW w:w="10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39.5</w:t>
            </w:r>
          </w:p>
        </w:tc>
        <w:tc>
          <w:tcPr>
            <w:tcW w:w="24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97.5(j)</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137.0</w:t>
            </w:r>
          </w:p>
        </w:tc>
        <w:tc>
          <w:tcPr>
            <w:tcW w:w="0" w:type="dxa"/>
            <w:vAlign w:val="bottom"/>
          </w:tcPr>
          <w:p>
            <w:pPr>
              <w:spacing w:after="0"/>
              <w:rPr>
                <w:sz w:val="1"/>
                <w:szCs w:val="1"/>
                <w:color w:val="auto"/>
              </w:rPr>
            </w:pPr>
          </w:p>
        </w:tc>
      </w:tr>
      <w:tr>
        <w:trPr>
          <w:trHeight w:val="230"/>
        </w:trPr>
        <w:tc>
          <w:tcPr>
            <w:tcW w:w="6720" w:type="dxa"/>
            <w:vAlign w:val="bottom"/>
          </w:tcPr>
          <w:p>
            <w:pPr>
              <w:spacing w:after="0"/>
              <w:rPr>
                <w:sz w:val="20"/>
                <w:szCs w:val="20"/>
                <w:color w:val="auto"/>
              </w:rPr>
            </w:pPr>
            <w:r>
              <w:rPr>
                <w:rFonts w:ascii="Arial" w:cs="Arial" w:eastAsia="Arial" w:hAnsi="Arial"/>
                <w:sz w:val="18"/>
                <w:szCs w:val="18"/>
                <w:color w:val="auto"/>
              </w:rPr>
              <w:t>Diluted</w:t>
            </w:r>
          </w:p>
        </w:tc>
        <w:tc>
          <w:tcPr>
            <w:tcW w:w="100" w:type="dxa"/>
            <w:vAlign w:val="bottom"/>
          </w:tcPr>
          <w:p>
            <w:pPr>
              <w:spacing w:after="0"/>
              <w:rPr>
                <w:sz w:val="20"/>
                <w:szCs w:val="20"/>
                <w:color w:val="auto"/>
              </w:rPr>
            </w:pPr>
          </w:p>
        </w:tc>
        <w:tc>
          <w:tcPr>
            <w:tcW w:w="980" w:type="dxa"/>
            <w:vAlign w:val="bottom"/>
            <w:gridSpan w:val="2"/>
          </w:tcPr>
          <w:p>
            <w:pPr>
              <w:jc w:val="right"/>
              <w:ind w:right="280"/>
              <w:spacing w:after="0"/>
              <w:rPr>
                <w:sz w:val="20"/>
                <w:szCs w:val="20"/>
                <w:color w:val="auto"/>
              </w:rPr>
            </w:pPr>
            <w:r>
              <w:rPr>
                <w:rFonts w:ascii="Arial" w:cs="Arial" w:eastAsia="Arial" w:hAnsi="Arial"/>
                <w:sz w:val="18"/>
                <w:szCs w:val="18"/>
                <w:color w:val="auto"/>
              </w:rPr>
              <w:t>39.7</w:t>
            </w:r>
          </w:p>
        </w:tc>
        <w:tc>
          <w:tcPr>
            <w:tcW w:w="240" w:type="dxa"/>
            <w:vAlign w:val="bottom"/>
          </w:tcPr>
          <w:p>
            <w:pPr>
              <w:spacing w:after="0"/>
              <w:rPr>
                <w:sz w:val="20"/>
                <w:szCs w:val="20"/>
                <w:color w:val="auto"/>
              </w:rPr>
            </w:pPr>
          </w:p>
        </w:tc>
        <w:tc>
          <w:tcPr>
            <w:tcW w:w="880" w:type="dxa"/>
            <w:vAlign w:val="bottom"/>
            <w:gridSpan w:val="2"/>
          </w:tcPr>
          <w:p>
            <w:pPr>
              <w:jc w:val="right"/>
              <w:ind w:right="200"/>
              <w:spacing w:after="0"/>
              <w:rPr>
                <w:sz w:val="20"/>
                <w:szCs w:val="20"/>
                <w:color w:val="auto"/>
              </w:rPr>
            </w:pPr>
            <w:r>
              <w:rPr>
                <w:rFonts w:ascii="Arial" w:cs="Arial" w:eastAsia="Arial" w:hAnsi="Arial"/>
                <w:sz w:val="18"/>
                <w:szCs w:val="18"/>
                <w:color w:val="auto"/>
              </w:rPr>
              <w:t>97.5(j)</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80" w:type="dxa"/>
            <w:vAlign w:val="bottom"/>
            <w:gridSpan w:val="2"/>
          </w:tcPr>
          <w:p>
            <w:pPr>
              <w:jc w:val="right"/>
              <w:ind w:right="42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60" w:type="dxa"/>
            <w:vAlign w:val="bottom"/>
            <w:gridSpan w:val="2"/>
          </w:tcPr>
          <w:p>
            <w:pPr>
              <w:jc w:val="right"/>
              <w:ind w:right="120"/>
              <w:spacing w:after="0"/>
              <w:rPr>
                <w:sz w:val="20"/>
                <w:szCs w:val="20"/>
                <w:color w:val="auto"/>
              </w:rPr>
            </w:pPr>
            <w:r>
              <w:rPr>
                <w:rFonts w:ascii="Arial" w:cs="Arial" w:eastAsia="Arial" w:hAnsi="Arial"/>
                <w:sz w:val="18"/>
                <w:szCs w:val="18"/>
                <w:color w:val="auto"/>
              </w:rPr>
              <w:t>137.2</w:t>
            </w:r>
          </w:p>
        </w:tc>
        <w:tc>
          <w:tcPr>
            <w:tcW w:w="0" w:type="dxa"/>
            <w:vAlign w:val="bottom"/>
          </w:tcPr>
          <w:p>
            <w:pPr>
              <w:spacing w:after="0"/>
              <w:rPr>
                <w:sz w:val="1"/>
                <w:szCs w:val="1"/>
                <w:color w:val="auto"/>
              </w:rPr>
            </w:pPr>
          </w:p>
        </w:tc>
      </w:tr>
    </w:tbl>
    <w:p>
      <w:pPr>
        <w:spacing w:after="0" w:line="18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See accompanying notes to unaudited pro forma combined condensed financial information.</w:t>
      </w:r>
    </w:p>
    <w:p>
      <w:pPr>
        <w:sectPr>
          <w:pgSz w:w="11900" w:h="16838" w:orient="portrait"/>
          <w:cols w:equalWidth="0" w:num="1">
            <w:col w:w="11020"/>
          </w:cols>
          <w:pgMar w:left="440" w:top="270" w:right="439" w:bottom="1440" w:gutter="0" w:footer="0" w:header="0"/>
        </w:sectPr>
      </w:pPr>
    </w:p>
    <w:bookmarkStart w:id="7" w:name="page8"/>
    <w:bookmarkEnd w:id="7"/>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74865" cy="38100"/>
                    </a:xfrm>
                    <a:prstGeom prst="rect">
                      <a:avLst/>
                    </a:prstGeom>
                    <a:noFill/>
                  </pic:spPr>
                </pic:pic>
              </a:graphicData>
            </a:graphic>
          </wp:anchor>
        </w:drawing>
        <w:t>Unaudited pro forma combined condensed balance sheet</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of December 31, 2021</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 millions, except per share data)</w:t>
      </w:r>
    </w:p>
    <w:p>
      <w:pPr>
        <w:spacing w:after="0" w:line="23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24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26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Old BellRing</w:t>
            </w:r>
          </w:p>
        </w:tc>
        <w:tc>
          <w:tcPr>
            <w:tcW w:w="2240" w:type="dxa"/>
            <w:vAlign w:val="bottom"/>
            <w:gridSpan w:val="3"/>
          </w:tcPr>
          <w:p>
            <w:pPr>
              <w:spacing w:after="0"/>
              <w:rPr>
                <w:sz w:val="20"/>
                <w:szCs w:val="20"/>
                <w:color w:val="auto"/>
              </w:rPr>
            </w:pPr>
            <w:r>
              <w:rPr>
                <w:rFonts w:ascii="Arial" w:cs="Arial" w:eastAsia="Arial" w:hAnsi="Arial"/>
                <w:sz w:val="14"/>
                <w:szCs w:val="14"/>
                <w:b w:val="1"/>
                <w:bCs w:val="1"/>
                <w:color w:val="auto"/>
              </w:rPr>
              <w:t>Transaction</w:t>
            </w:r>
          </w:p>
        </w:tc>
        <w:tc>
          <w:tcPr>
            <w:tcW w:w="1220" w:type="dxa"/>
            <w:vAlign w:val="bottom"/>
            <w:gridSpan w:val="3"/>
          </w:tcPr>
          <w:p>
            <w:pPr>
              <w:spacing w:after="0"/>
              <w:rPr>
                <w:sz w:val="20"/>
                <w:szCs w:val="20"/>
                <w:color w:val="auto"/>
              </w:rPr>
            </w:pPr>
            <w:r>
              <w:rPr>
                <w:rFonts w:ascii="Arial" w:cs="Arial" w:eastAsia="Arial" w:hAnsi="Arial"/>
                <w:sz w:val="14"/>
                <w:szCs w:val="14"/>
                <w:b w:val="1"/>
                <w:bCs w:val="1"/>
                <w:color w:val="auto"/>
              </w:rPr>
              <w:t>Autonomous</w:t>
            </w:r>
          </w:p>
        </w:tc>
        <w:tc>
          <w:tcPr>
            <w:tcW w:w="200" w:type="dxa"/>
            <w:vAlign w:val="bottom"/>
          </w:tcPr>
          <w:p>
            <w:pPr>
              <w:spacing w:after="0"/>
              <w:rPr>
                <w:sz w:val="14"/>
                <w:szCs w:val="14"/>
                <w:color w:val="auto"/>
              </w:rPr>
            </w:pPr>
          </w:p>
        </w:tc>
        <w:tc>
          <w:tcPr>
            <w:tcW w:w="960" w:type="dxa"/>
            <w:vAlign w:val="bottom"/>
            <w:gridSpan w:val="3"/>
          </w:tcPr>
          <w:p>
            <w:pPr>
              <w:spacing w:after="0"/>
              <w:rPr>
                <w:sz w:val="20"/>
                <w:szCs w:val="20"/>
                <w:color w:val="auto"/>
              </w:rPr>
            </w:pPr>
            <w:r>
              <w:rPr>
                <w:rFonts w:ascii="Arial" w:cs="Arial" w:eastAsia="Arial" w:hAnsi="Arial"/>
                <w:sz w:val="14"/>
                <w:szCs w:val="14"/>
                <w:b w:val="1"/>
                <w:bCs w:val="1"/>
                <w:color w:val="auto"/>
              </w:rPr>
              <w:t>New BellRing</w:t>
            </w:r>
          </w:p>
        </w:tc>
        <w:tc>
          <w:tcPr>
            <w:tcW w:w="0" w:type="dxa"/>
            <w:vAlign w:val="bottom"/>
          </w:tcPr>
          <w:p>
            <w:pPr>
              <w:spacing w:after="0"/>
              <w:rPr>
                <w:sz w:val="1"/>
                <w:szCs w:val="1"/>
                <w:color w:val="auto"/>
              </w:rPr>
            </w:pPr>
          </w:p>
        </w:tc>
      </w:tr>
      <w:tr>
        <w:trPr>
          <w:trHeight w:val="148"/>
        </w:trPr>
        <w:tc>
          <w:tcPr>
            <w:tcW w:w="424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260" w:type="dxa"/>
            <w:vAlign w:val="bottom"/>
            <w:gridSpan w:val="3"/>
            <w:vMerge w:val="continue"/>
          </w:tcPr>
          <w:p>
            <w:pPr>
              <w:spacing w:after="0"/>
              <w:rPr>
                <w:sz w:val="12"/>
                <w:szCs w:val="12"/>
                <w:color w:val="auto"/>
              </w:rPr>
            </w:pPr>
          </w:p>
        </w:tc>
        <w:tc>
          <w:tcPr>
            <w:tcW w:w="2240" w:type="dxa"/>
            <w:vAlign w:val="bottom"/>
            <w:gridSpan w:val="3"/>
          </w:tcPr>
          <w:p>
            <w:pPr>
              <w:jc w:val="right"/>
              <w:ind w:right="1540"/>
              <w:spacing w:after="0" w:line="149" w:lineRule="exact"/>
              <w:rPr>
                <w:sz w:val="20"/>
                <w:szCs w:val="20"/>
                <w:color w:val="auto"/>
              </w:rPr>
            </w:pPr>
            <w:r>
              <w:rPr>
                <w:rFonts w:ascii="Arial" w:cs="Arial" w:eastAsia="Arial" w:hAnsi="Arial"/>
                <w:sz w:val="14"/>
                <w:szCs w:val="14"/>
                <w:b w:val="1"/>
                <w:bCs w:val="1"/>
                <w:color w:val="auto"/>
                <w:w w:val="90"/>
              </w:rPr>
              <w:t>accounting</w:t>
            </w:r>
          </w:p>
        </w:tc>
        <w:tc>
          <w:tcPr>
            <w:tcW w:w="160" w:type="dxa"/>
            <w:vAlign w:val="bottom"/>
          </w:tcPr>
          <w:p>
            <w:pPr>
              <w:spacing w:after="0"/>
              <w:rPr>
                <w:sz w:val="12"/>
                <w:szCs w:val="12"/>
                <w:color w:val="auto"/>
              </w:rPr>
            </w:pPr>
          </w:p>
        </w:tc>
        <w:tc>
          <w:tcPr>
            <w:tcW w:w="1060" w:type="dxa"/>
            <w:vAlign w:val="bottom"/>
            <w:gridSpan w:val="2"/>
          </w:tcPr>
          <w:p>
            <w:pPr>
              <w:jc w:val="right"/>
              <w:ind w:right="640"/>
              <w:spacing w:after="0" w:line="149" w:lineRule="exact"/>
              <w:rPr>
                <w:sz w:val="20"/>
                <w:szCs w:val="20"/>
                <w:color w:val="auto"/>
              </w:rPr>
            </w:pPr>
            <w:r>
              <w:rPr>
                <w:rFonts w:ascii="Arial" w:cs="Arial" w:eastAsia="Arial" w:hAnsi="Arial"/>
                <w:sz w:val="14"/>
                <w:szCs w:val="14"/>
                <w:b w:val="1"/>
                <w:bCs w:val="1"/>
                <w:color w:val="auto"/>
              </w:rPr>
              <w:t>entity</w:t>
            </w:r>
          </w:p>
        </w:tc>
        <w:tc>
          <w:tcPr>
            <w:tcW w:w="2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00" w:type="dxa"/>
            <w:vAlign w:val="bottom"/>
            <w:gridSpan w:val="2"/>
          </w:tcPr>
          <w:p>
            <w:pPr>
              <w:jc w:val="right"/>
              <w:ind w:right="440"/>
              <w:spacing w:after="0" w:line="149" w:lineRule="exact"/>
              <w:rPr>
                <w:sz w:val="20"/>
                <w:szCs w:val="20"/>
                <w:color w:val="auto"/>
              </w:rPr>
            </w:pPr>
            <w:r>
              <w:rPr>
                <w:rFonts w:ascii="Arial" w:cs="Arial" w:eastAsia="Arial" w:hAnsi="Arial"/>
                <w:sz w:val="14"/>
                <w:szCs w:val="14"/>
                <w:b w:val="1"/>
                <w:bCs w:val="1"/>
                <w:color w:val="auto"/>
              </w:rPr>
              <w:t>pro</w:t>
            </w:r>
          </w:p>
        </w:tc>
        <w:tc>
          <w:tcPr>
            <w:tcW w:w="0" w:type="dxa"/>
            <w:vAlign w:val="bottom"/>
          </w:tcPr>
          <w:p>
            <w:pPr>
              <w:spacing w:after="0"/>
              <w:rPr>
                <w:sz w:val="1"/>
                <w:szCs w:val="1"/>
                <w:color w:val="auto"/>
              </w:rPr>
            </w:pPr>
          </w:p>
        </w:tc>
      </w:tr>
      <w:tr>
        <w:trPr>
          <w:trHeight w:val="171"/>
        </w:trPr>
        <w:tc>
          <w:tcPr>
            <w:tcW w:w="424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60" w:type="dxa"/>
            <w:vAlign w:val="bottom"/>
            <w:gridSpan w:val="2"/>
          </w:tcPr>
          <w:p>
            <w:pPr>
              <w:jc w:val="right"/>
              <w:ind w:right="560"/>
              <w:spacing w:after="0"/>
              <w:rPr>
                <w:sz w:val="20"/>
                <w:szCs w:val="20"/>
                <w:color w:val="auto"/>
              </w:rPr>
            </w:pPr>
            <w:r>
              <w:rPr>
                <w:rFonts w:ascii="Arial" w:cs="Arial" w:eastAsia="Arial" w:hAnsi="Arial"/>
                <w:sz w:val="14"/>
                <w:szCs w:val="14"/>
                <w:b w:val="1"/>
                <w:bCs w:val="1"/>
                <w:color w:val="auto"/>
                <w:w w:val="93"/>
              </w:rPr>
              <w:t>historical</w:t>
            </w:r>
          </w:p>
        </w:tc>
        <w:tc>
          <w:tcPr>
            <w:tcW w:w="2240" w:type="dxa"/>
            <w:vAlign w:val="bottom"/>
            <w:gridSpan w:val="3"/>
          </w:tcPr>
          <w:p>
            <w:pPr>
              <w:spacing w:after="0"/>
              <w:rPr>
                <w:sz w:val="20"/>
                <w:szCs w:val="20"/>
                <w:color w:val="auto"/>
              </w:rPr>
            </w:pPr>
            <w:r>
              <w:rPr>
                <w:rFonts w:ascii="Arial" w:cs="Arial" w:eastAsia="Arial" w:hAnsi="Arial"/>
                <w:sz w:val="14"/>
                <w:szCs w:val="14"/>
                <w:b w:val="1"/>
                <w:bCs w:val="1"/>
                <w:color w:val="auto"/>
              </w:rPr>
              <w:t>adjustments</w:t>
            </w:r>
          </w:p>
        </w:tc>
        <w:tc>
          <w:tcPr>
            <w:tcW w:w="1220" w:type="dxa"/>
            <w:vAlign w:val="bottom"/>
            <w:gridSpan w:val="3"/>
          </w:tcPr>
          <w:p>
            <w:pPr>
              <w:ind w:left="20"/>
              <w:spacing w:after="0"/>
              <w:rPr>
                <w:sz w:val="20"/>
                <w:szCs w:val="20"/>
                <w:color w:val="auto"/>
              </w:rPr>
            </w:pPr>
            <w:r>
              <w:rPr>
                <w:rFonts w:ascii="Arial" w:cs="Arial" w:eastAsia="Arial" w:hAnsi="Arial"/>
                <w:sz w:val="14"/>
                <w:szCs w:val="14"/>
                <w:b w:val="1"/>
                <w:bCs w:val="1"/>
                <w:color w:val="auto"/>
              </w:rPr>
              <w:t>adjustments</w:t>
            </w:r>
          </w:p>
        </w:tc>
        <w:tc>
          <w:tcPr>
            <w:tcW w:w="2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00" w:type="dxa"/>
            <w:vAlign w:val="bottom"/>
            <w:gridSpan w:val="2"/>
          </w:tcPr>
          <w:p>
            <w:pPr>
              <w:jc w:val="right"/>
              <w:ind w:right="360"/>
              <w:spacing w:after="0"/>
              <w:rPr>
                <w:sz w:val="20"/>
                <w:szCs w:val="20"/>
                <w:color w:val="auto"/>
              </w:rPr>
            </w:pPr>
            <w:r>
              <w:rPr>
                <w:rFonts w:ascii="Arial" w:cs="Arial" w:eastAsia="Arial" w:hAnsi="Arial"/>
                <w:sz w:val="14"/>
                <w:szCs w:val="14"/>
                <w:b w:val="1"/>
                <w:bCs w:val="1"/>
                <w:color w:val="auto"/>
              </w:rPr>
              <w:t>forma</w:t>
            </w:r>
          </w:p>
        </w:tc>
        <w:tc>
          <w:tcPr>
            <w:tcW w:w="0" w:type="dxa"/>
            <w:vAlign w:val="bottom"/>
          </w:tcPr>
          <w:p>
            <w:pPr>
              <w:spacing w:after="0"/>
              <w:rPr>
                <w:sz w:val="1"/>
                <w:szCs w:val="1"/>
                <w:color w:val="auto"/>
              </w:rPr>
            </w:pPr>
          </w:p>
        </w:tc>
      </w:tr>
      <w:tr>
        <w:trPr>
          <w:trHeight w:val="196"/>
        </w:trPr>
        <w:tc>
          <w:tcPr>
            <w:tcW w:w="4240" w:type="dxa"/>
            <w:vAlign w:val="bottom"/>
            <w:tcBorders>
              <w:top w:val="single" w:sz="8" w:color="CCEEFF"/>
            </w:tcBorders>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Current Assets</w:t>
            </w:r>
          </w:p>
        </w:tc>
        <w:tc>
          <w:tcPr>
            <w:tcW w:w="90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700" w:type="dxa"/>
            <w:vAlign w:val="bottom"/>
            <w:tcBorders>
              <w:top w:val="single" w:sz="8" w:color="auto"/>
            </w:tcBorders>
            <w:shd w:val="clear" w:color="auto" w:fill="CCEEFF"/>
          </w:tcPr>
          <w:p>
            <w:pPr>
              <w:spacing w:after="0"/>
              <w:rPr>
                <w:sz w:val="17"/>
                <w:szCs w:val="17"/>
                <w:color w:val="auto"/>
              </w:rPr>
            </w:pPr>
          </w:p>
        </w:tc>
        <w:tc>
          <w:tcPr>
            <w:tcW w:w="46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spacing w:after="0"/>
              <w:rPr>
                <w:sz w:val="17"/>
                <w:szCs w:val="17"/>
                <w:color w:val="auto"/>
              </w:rPr>
            </w:pPr>
          </w:p>
        </w:tc>
        <w:tc>
          <w:tcPr>
            <w:tcW w:w="640" w:type="dxa"/>
            <w:vAlign w:val="bottom"/>
            <w:tcBorders>
              <w:top w:val="single" w:sz="8" w:color="auto"/>
            </w:tcBorders>
            <w:shd w:val="clear" w:color="auto" w:fill="CCEEFF"/>
          </w:tcPr>
          <w:p>
            <w:pPr>
              <w:spacing w:after="0"/>
              <w:rPr>
                <w:sz w:val="17"/>
                <w:szCs w:val="17"/>
                <w:color w:val="auto"/>
              </w:rPr>
            </w:pPr>
          </w:p>
        </w:tc>
        <w:tc>
          <w:tcPr>
            <w:tcW w:w="148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auto"/>
            </w:tcBorders>
            <w:shd w:val="clear" w:color="auto" w:fill="CCEEFF"/>
          </w:tcPr>
          <w:p>
            <w:pPr>
              <w:spacing w:after="0"/>
              <w:rPr>
                <w:sz w:val="17"/>
                <w:szCs w:val="17"/>
                <w:color w:val="auto"/>
              </w:rPr>
            </w:pPr>
          </w:p>
        </w:tc>
        <w:tc>
          <w:tcPr>
            <w:tcW w:w="640" w:type="dxa"/>
            <w:vAlign w:val="bottom"/>
            <w:tcBorders>
              <w:top w:val="single" w:sz="8" w:color="auto"/>
            </w:tcBorders>
            <w:shd w:val="clear" w:color="auto" w:fill="CCEEFF"/>
          </w:tcPr>
          <w:p>
            <w:pPr>
              <w:spacing w:after="0"/>
              <w:rPr>
                <w:sz w:val="17"/>
                <w:szCs w:val="17"/>
                <w:color w:val="auto"/>
              </w:rPr>
            </w:pPr>
          </w:p>
        </w:tc>
        <w:tc>
          <w:tcPr>
            <w:tcW w:w="420" w:type="dxa"/>
            <w:vAlign w:val="bottom"/>
            <w:tcBorders>
              <w:top w:val="single" w:sz="8" w:color="CCEEFF"/>
            </w:tcBorders>
            <w:shd w:val="clear" w:color="auto" w:fill="CCEEFF"/>
          </w:tcPr>
          <w:p>
            <w:pPr>
              <w:spacing w:after="0"/>
              <w:rPr>
                <w:sz w:val="17"/>
                <w:szCs w:val="17"/>
                <w:color w:val="auto"/>
              </w:rPr>
            </w:pPr>
          </w:p>
        </w:tc>
        <w:tc>
          <w:tcPr>
            <w:tcW w:w="20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auto"/>
            </w:tcBorders>
            <w:shd w:val="clear" w:color="auto" w:fill="CCEEFF"/>
          </w:tcPr>
          <w:p>
            <w:pPr>
              <w:spacing w:after="0"/>
              <w:rPr>
                <w:sz w:val="17"/>
                <w:szCs w:val="17"/>
                <w:color w:val="auto"/>
              </w:rPr>
            </w:pPr>
          </w:p>
        </w:tc>
        <w:tc>
          <w:tcPr>
            <w:tcW w:w="680" w:type="dxa"/>
            <w:vAlign w:val="bottom"/>
            <w:tcBorders>
              <w:top w:val="single" w:sz="8" w:color="auto"/>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4240" w:type="dxa"/>
            <w:vAlign w:val="bottom"/>
          </w:tcPr>
          <w:p>
            <w:pPr>
              <w:ind w:left="360"/>
              <w:spacing w:after="0"/>
              <w:rPr>
                <w:sz w:val="20"/>
                <w:szCs w:val="20"/>
                <w:color w:val="auto"/>
              </w:rPr>
            </w:pPr>
            <w:r>
              <w:rPr>
                <w:rFonts w:ascii="Arial" w:cs="Arial" w:eastAsia="Arial" w:hAnsi="Arial"/>
                <w:sz w:val="18"/>
                <w:szCs w:val="18"/>
                <w:color w:val="auto"/>
              </w:rPr>
              <w:t>Cash and cash equivalents</w:t>
            </w:r>
          </w:p>
        </w:tc>
        <w:tc>
          <w:tcPr>
            <w:tcW w:w="1000" w:type="dxa"/>
            <w:vAlign w:val="bottom"/>
            <w:gridSpan w:val="2"/>
          </w:tcPr>
          <w:p>
            <w:pPr>
              <w:ind w:left="900"/>
              <w:spacing w:after="0"/>
              <w:rPr>
                <w:sz w:val="20"/>
                <w:szCs w:val="20"/>
                <w:color w:val="auto"/>
              </w:rPr>
            </w:pPr>
            <w:r>
              <w:rPr>
                <w:rFonts w:ascii="Arial" w:cs="Arial" w:eastAsia="Arial" w:hAnsi="Arial"/>
                <w:sz w:val="18"/>
                <w:szCs w:val="18"/>
                <w:color w:val="auto"/>
                <w:w w:val="79"/>
              </w:rPr>
              <w:t>$</w:t>
            </w:r>
          </w:p>
        </w:tc>
        <w:tc>
          <w:tcPr>
            <w:tcW w:w="1160" w:type="dxa"/>
            <w:vAlign w:val="bottom"/>
            <w:gridSpan w:val="2"/>
          </w:tcPr>
          <w:p>
            <w:pPr>
              <w:jc w:val="right"/>
              <w:ind w:right="460"/>
              <w:spacing w:after="0"/>
              <w:rPr>
                <w:sz w:val="20"/>
                <w:szCs w:val="20"/>
                <w:color w:val="auto"/>
              </w:rPr>
            </w:pPr>
            <w:r>
              <w:rPr>
                <w:rFonts w:ascii="Arial" w:cs="Arial" w:eastAsia="Arial" w:hAnsi="Arial"/>
                <w:sz w:val="18"/>
                <w:szCs w:val="18"/>
                <w:color w:val="auto"/>
              </w:rPr>
              <w:t>30.4</w:t>
            </w:r>
          </w:p>
        </w:tc>
        <w:tc>
          <w:tcPr>
            <w:tcW w:w="120" w:type="dxa"/>
            <w:vAlign w:val="bottom"/>
          </w:tcPr>
          <w:p>
            <w:pPr>
              <w:spacing w:after="0"/>
              <w:rPr>
                <w:sz w:val="20"/>
                <w:szCs w:val="20"/>
                <w:color w:val="auto"/>
              </w:rPr>
            </w:pPr>
            <w:r>
              <w:rPr>
                <w:rFonts w:ascii="Arial" w:cs="Arial" w:eastAsia="Arial" w:hAnsi="Arial"/>
                <w:sz w:val="18"/>
                <w:szCs w:val="18"/>
                <w:color w:val="auto"/>
                <w:w w:val="99"/>
              </w:rPr>
              <w:t>$</w:t>
            </w:r>
          </w:p>
        </w:tc>
        <w:tc>
          <w:tcPr>
            <w:tcW w:w="2120" w:type="dxa"/>
            <w:vAlign w:val="bottom"/>
            <w:gridSpan w:val="2"/>
          </w:tcPr>
          <w:p>
            <w:pPr>
              <w:jc w:val="right"/>
              <w:ind w:right="1280"/>
              <w:spacing w:after="0"/>
              <w:rPr>
                <w:sz w:val="20"/>
                <w:szCs w:val="20"/>
                <w:color w:val="auto"/>
              </w:rPr>
            </w:pPr>
            <w:r>
              <w:rPr>
                <w:rFonts w:ascii="Arial" w:cs="Arial" w:eastAsia="Arial" w:hAnsi="Arial"/>
                <w:sz w:val="18"/>
                <w:szCs w:val="18"/>
                <w:color w:val="auto"/>
              </w:rPr>
              <w:t>0.7(a)</w:t>
            </w:r>
          </w:p>
        </w:tc>
        <w:tc>
          <w:tcPr>
            <w:tcW w:w="160" w:type="dxa"/>
            <w:vAlign w:val="bottom"/>
          </w:tcPr>
          <w:p>
            <w:pPr>
              <w:spacing w:after="0"/>
              <w:rPr>
                <w:sz w:val="20"/>
                <w:szCs w:val="20"/>
                <w:color w:val="auto"/>
              </w:rPr>
            </w:pPr>
            <w:r>
              <w:rPr>
                <w:rFonts w:ascii="Arial" w:cs="Arial" w:eastAsia="Arial" w:hAnsi="Arial"/>
                <w:sz w:val="18"/>
                <w:szCs w:val="18"/>
                <w:color w:val="auto"/>
              </w:rPr>
              <w:t>$</w:t>
            </w:r>
          </w:p>
        </w:tc>
        <w:tc>
          <w:tcPr>
            <w:tcW w:w="1060" w:type="dxa"/>
            <w:vAlign w:val="bottom"/>
            <w:gridSpan w:val="2"/>
          </w:tcPr>
          <w:p>
            <w:pPr>
              <w:jc w:val="right"/>
              <w:ind w:right="520"/>
              <w:spacing w:after="0"/>
              <w:rPr>
                <w:sz w:val="20"/>
                <w:szCs w:val="20"/>
                <w:color w:val="auto"/>
              </w:rPr>
            </w:pPr>
            <w:r>
              <w:rPr>
                <w:rFonts w:ascii="Arial" w:cs="Arial" w:eastAsia="Arial" w:hAnsi="Arial"/>
                <w:sz w:val="18"/>
                <w:szCs w:val="18"/>
                <w:color w:val="auto"/>
              </w:rPr>
              <w:t>—</w:t>
            </w:r>
          </w:p>
        </w:tc>
        <w:tc>
          <w:tcPr>
            <w:tcW w:w="360" w:type="dxa"/>
            <w:vAlign w:val="bottom"/>
            <w:gridSpan w:val="2"/>
          </w:tcPr>
          <w:p>
            <w:pPr>
              <w:ind w:left="200"/>
              <w:spacing w:after="0"/>
              <w:rPr>
                <w:sz w:val="20"/>
                <w:szCs w:val="20"/>
                <w:color w:val="auto"/>
              </w:rPr>
            </w:pPr>
            <w:r>
              <w:rPr>
                <w:rFonts w:ascii="Arial" w:cs="Arial" w:eastAsia="Arial" w:hAnsi="Arial"/>
                <w:sz w:val="18"/>
                <w:szCs w:val="18"/>
                <w:color w:val="auto"/>
              </w:rPr>
              <w:t>$</w:t>
            </w:r>
          </w:p>
        </w:tc>
        <w:tc>
          <w:tcPr>
            <w:tcW w:w="800" w:type="dxa"/>
            <w:vAlign w:val="bottom"/>
            <w:gridSpan w:val="2"/>
          </w:tcPr>
          <w:p>
            <w:pPr>
              <w:jc w:val="right"/>
              <w:ind w:right="120"/>
              <w:spacing w:after="0"/>
              <w:rPr>
                <w:sz w:val="20"/>
                <w:szCs w:val="20"/>
                <w:color w:val="auto"/>
              </w:rPr>
            </w:pPr>
            <w:r>
              <w:rPr>
                <w:rFonts w:ascii="Arial" w:cs="Arial" w:eastAsia="Arial" w:hAnsi="Arial"/>
                <w:sz w:val="18"/>
                <w:szCs w:val="18"/>
                <w:color w:val="auto"/>
              </w:rPr>
              <w:t>31.1</w:t>
            </w:r>
          </w:p>
        </w:tc>
        <w:tc>
          <w:tcPr>
            <w:tcW w:w="0" w:type="dxa"/>
            <w:vAlign w:val="bottom"/>
          </w:tcPr>
          <w:p>
            <w:pPr>
              <w:spacing w:after="0"/>
              <w:rPr>
                <w:sz w:val="1"/>
                <w:szCs w:val="1"/>
                <w:color w:val="auto"/>
              </w:rPr>
            </w:pPr>
          </w:p>
        </w:tc>
      </w:tr>
      <w:tr>
        <w:trPr>
          <w:trHeight w:val="216"/>
        </w:trPr>
        <w:tc>
          <w:tcPr>
            <w:tcW w:w="4240" w:type="dxa"/>
            <w:vAlign w:val="bottom"/>
            <w:shd w:val="clear" w:color="auto" w:fill="CCEEFF"/>
          </w:tcPr>
          <w:p>
            <w:pPr>
              <w:ind w:left="360"/>
              <w:spacing w:after="0"/>
              <w:rPr>
                <w:sz w:val="20"/>
                <w:szCs w:val="20"/>
                <w:color w:val="auto"/>
              </w:rPr>
            </w:pPr>
            <w:r>
              <w:rPr>
                <w:rFonts w:ascii="Arial" w:cs="Arial" w:eastAsia="Arial" w:hAnsi="Arial"/>
                <w:sz w:val="18"/>
                <w:szCs w:val="18"/>
                <w:color w:val="auto"/>
              </w:rPr>
              <w:t>Receivables, net</w:t>
            </w:r>
          </w:p>
        </w:tc>
        <w:tc>
          <w:tcPr>
            <w:tcW w:w="9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118.2</w:t>
            </w:r>
          </w:p>
        </w:tc>
        <w:tc>
          <w:tcPr>
            <w:tcW w:w="120" w:type="dxa"/>
            <w:vAlign w:val="bottom"/>
            <w:shd w:val="clear" w:color="auto" w:fill="CCEEFF"/>
          </w:tcPr>
          <w:p>
            <w:pPr>
              <w:spacing w:after="0"/>
              <w:rPr>
                <w:sz w:val="18"/>
                <w:szCs w:val="18"/>
                <w:color w:val="auto"/>
              </w:rPr>
            </w:pPr>
          </w:p>
        </w:tc>
        <w:tc>
          <w:tcPr>
            <w:tcW w:w="2120" w:type="dxa"/>
            <w:vAlign w:val="bottom"/>
            <w:gridSpan w:val="2"/>
            <w:shd w:val="clear" w:color="auto" w:fill="CCEEFF"/>
          </w:tcPr>
          <w:p>
            <w:pPr>
              <w:jc w:val="right"/>
              <w:ind w:right="158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52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118.2</w:t>
            </w:r>
          </w:p>
        </w:tc>
        <w:tc>
          <w:tcPr>
            <w:tcW w:w="0" w:type="dxa"/>
            <w:vAlign w:val="bottom"/>
          </w:tcPr>
          <w:p>
            <w:pPr>
              <w:spacing w:after="0"/>
              <w:rPr>
                <w:sz w:val="1"/>
                <w:szCs w:val="1"/>
                <w:color w:val="auto"/>
              </w:rPr>
            </w:pPr>
          </w:p>
        </w:tc>
      </w:tr>
      <w:tr>
        <w:trPr>
          <w:trHeight w:val="216"/>
        </w:trPr>
        <w:tc>
          <w:tcPr>
            <w:tcW w:w="4240" w:type="dxa"/>
            <w:vAlign w:val="bottom"/>
          </w:tcPr>
          <w:p>
            <w:pPr>
              <w:ind w:left="360"/>
              <w:spacing w:after="0"/>
              <w:rPr>
                <w:sz w:val="20"/>
                <w:szCs w:val="20"/>
                <w:color w:val="auto"/>
              </w:rPr>
            </w:pPr>
            <w:r>
              <w:rPr>
                <w:rFonts w:ascii="Arial" w:cs="Arial" w:eastAsia="Arial" w:hAnsi="Arial"/>
                <w:sz w:val="18"/>
                <w:szCs w:val="18"/>
                <w:color w:val="auto"/>
              </w:rPr>
              <w:t>Inventories</w:t>
            </w: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60" w:type="dxa"/>
            <w:vAlign w:val="bottom"/>
            <w:gridSpan w:val="2"/>
          </w:tcPr>
          <w:p>
            <w:pPr>
              <w:jc w:val="right"/>
              <w:ind w:right="460"/>
              <w:spacing w:after="0"/>
              <w:rPr>
                <w:sz w:val="20"/>
                <w:szCs w:val="20"/>
                <w:color w:val="auto"/>
              </w:rPr>
            </w:pPr>
            <w:r>
              <w:rPr>
                <w:rFonts w:ascii="Arial" w:cs="Arial" w:eastAsia="Arial" w:hAnsi="Arial"/>
                <w:sz w:val="18"/>
                <w:szCs w:val="18"/>
                <w:color w:val="auto"/>
              </w:rPr>
              <w:t>130.2</w:t>
            </w:r>
          </w:p>
        </w:tc>
        <w:tc>
          <w:tcPr>
            <w:tcW w:w="120" w:type="dxa"/>
            <w:vAlign w:val="bottom"/>
          </w:tcPr>
          <w:p>
            <w:pPr>
              <w:spacing w:after="0"/>
              <w:rPr>
                <w:sz w:val="18"/>
                <w:szCs w:val="18"/>
                <w:color w:val="auto"/>
              </w:rPr>
            </w:pPr>
          </w:p>
        </w:tc>
        <w:tc>
          <w:tcPr>
            <w:tcW w:w="2120" w:type="dxa"/>
            <w:vAlign w:val="bottom"/>
            <w:gridSpan w:val="2"/>
          </w:tcPr>
          <w:p>
            <w:pPr>
              <w:jc w:val="right"/>
              <w:ind w:right="158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1060" w:type="dxa"/>
            <w:vAlign w:val="bottom"/>
            <w:gridSpan w:val="2"/>
          </w:tcPr>
          <w:p>
            <w:pPr>
              <w:jc w:val="right"/>
              <w:ind w:right="52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0" w:type="dxa"/>
            <w:vAlign w:val="bottom"/>
            <w:gridSpan w:val="2"/>
          </w:tcPr>
          <w:p>
            <w:pPr>
              <w:jc w:val="right"/>
              <w:ind w:right="120"/>
              <w:spacing w:after="0"/>
              <w:rPr>
                <w:sz w:val="20"/>
                <w:szCs w:val="20"/>
                <w:color w:val="auto"/>
              </w:rPr>
            </w:pPr>
            <w:r>
              <w:rPr>
                <w:rFonts w:ascii="Arial" w:cs="Arial" w:eastAsia="Arial" w:hAnsi="Arial"/>
                <w:sz w:val="18"/>
                <w:szCs w:val="18"/>
                <w:color w:val="auto"/>
              </w:rPr>
              <w:t>130.2</w:t>
            </w:r>
          </w:p>
        </w:tc>
        <w:tc>
          <w:tcPr>
            <w:tcW w:w="0" w:type="dxa"/>
            <w:vAlign w:val="bottom"/>
          </w:tcPr>
          <w:p>
            <w:pPr>
              <w:spacing w:after="0"/>
              <w:rPr>
                <w:sz w:val="1"/>
                <w:szCs w:val="1"/>
                <w:color w:val="auto"/>
              </w:rPr>
            </w:pPr>
          </w:p>
        </w:tc>
      </w:tr>
      <w:tr>
        <w:trPr>
          <w:trHeight w:val="216"/>
        </w:trPr>
        <w:tc>
          <w:tcPr>
            <w:tcW w:w="4240" w:type="dxa"/>
            <w:vAlign w:val="bottom"/>
            <w:shd w:val="clear" w:color="auto" w:fill="CCEEFF"/>
          </w:tcPr>
          <w:p>
            <w:pPr>
              <w:ind w:left="360"/>
              <w:spacing w:after="0"/>
              <w:rPr>
                <w:sz w:val="20"/>
                <w:szCs w:val="20"/>
                <w:color w:val="auto"/>
              </w:rPr>
            </w:pPr>
            <w:r>
              <w:rPr>
                <w:rFonts w:ascii="Arial" w:cs="Arial" w:eastAsia="Arial" w:hAnsi="Arial"/>
                <w:sz w:val="18"/>
                <w:szCs w:val="18"/>
                <w:color w:val="auto"/>
              </w:rPr>
              <w:t>Prepaid expenses and other current assets</w:t>
            </w:r>
          </w:p>
        </w:tc>
        <w:tc>
          <w:tcPr>
            <w:tcW w:w="9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18.8</w:t>
            </w:r>
          </w:p>
        </w:tc>
        <w:tc>
          <w:tcPr>
            <w:tcW w:w="120" w:type="dxa"/>
            <w:vAlign w:val="bottom"/>
            <w:shd w:val="clear" w:color="auto" w:fill="CCEEFF"/>
          </w:tcPr>
          <w:p>
            <w:pPr>
              <w:spacing w:after="0"/>
              <w:rPr>
                <w:sz w:val="18"/>
                <w:szCs w:val="18"/>
                <w:color w:val="auto"/>
              </w:rPr>
            </w:pPr>
          </w:p>
        </w:tc>
        <w:tc>
          <w:tcPr>
            <w:tcW w:w="2120" w:type="dxa"/>
            <w:vAlign w:val="bottom"/>
            <w:gridSpan w:val="2"/>
            <w:shd w:val="clear" w:color="auto" w:fill="CCEEFF"/>
          </w:tcPr>
          <w:p>
            <w:pPr>
              <w:jc w:val="right"/>
              <w:ind w:right="1220"/>
              <w:spacing w:after="0"/>
              <w:rPr>
                <w:sz w:val="20"/>
                <w:szCs w:val="20"/>
                <w:color w:val="auto"/>
              </w:rPr>
            </w:pPr>
            <w:r>
              <w:rPr>
                <w:rFonts w:ascii="Arial" w:cs="Arial" w:eastAsia="Arial" w:hAnsi="Arial"/>
                <w:sz w:val="18"/>
                <w:szCs w:val="18"/>
                <w:color w:val="auto"/>
              </w:rPr>
              <w:t>(1.4)(h)</w:t>
            </w:r>
          </w:p>
        </w:tc>
        <w:tc>
          <w:tcPr>
            <w:tcW w:w="16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52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17.4</w:t>
            </w:r>
          </w:p>
        </w:tc>
        <w:tc>
          <w:tcPr>
            <w:tcW w:w="0" w:type="dxa"/>
            <w:vAlign w:val="bottom"/>
          </w:tcPr>
          <w:p>
            <w:pPr>
              <w:spacing w:after="0"/>
              <w:rPr>
                <w:sz w:val="1"/>
                <w:szCs w:val="1"/>
                <w:color w:val="auto"/>
              </w:rPr>
            </w:pPr>
          </w:p>
        </w:tc>
      </w:tr>
      <w:tr>
        <w:trPr>
          <w:trHeight w:val="20"/>
        </w:trPr>
        <w:tc>
          <w:tcPr>
            <w:tcW w:w="4240" w:type="dxa"/>
            <w:vAlign w:val="bottom"/>
            <w:vMerge w:val="restart"/>
          </w:tcPr>
          <w:p>
            <w:pPr>
              <w:ind w:left="720"/>
              <w:spacing w:after="0"/>
              <w:rPr>
                <w:sz w:val="20"/>
                <w:szCs w:val="20"/>
                <w:color w:val="auto"/>
              </w:rPr>
            </w:pPr>
            <w:r>
              <w:rPr>
                <w:rFonts w:ascii="Arial" w:cs="Arial" w:eastAsia="Arial" w:hAnsi="Arial"/>
                <w:sz w:val="18"/>
                <w:szCs w:val="18"/>
                <w:b w:val="1"/>
                <w:bCs w:val="1"/>
                <w:color w:val="auto"/>
              </w:rPr>
              <w:t>Total Current Assets</w:t>
            </w:r>
          </w:p>
        </w:tc>
        <w:tc>
          <w:tcPr>
            <w:tcW w:w="9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460" w:type="dxa"/>
            <w:vAlign w:val="bottom"/>
            <w:vMerge w:val="restart"/>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420" w:type="dxa"/>
            <w:vAlign w:val="bottom"/>
            <w:vMerge w:val="restart"/>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1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4240" w:type="dxa"/>
            <w:vAlign w:val="bottom"/>
            <w:vMerge w:val="continue"/>
          </w:tcPr>
          <w:p>
            <w:pPr>
              <w:spacing w:after="0"/>
              <w:rPr>
                <w:sz w:val="19"/>
                <w:szCs w:val="19"/>
                <w:color w:val="auto"/>
              </w:rPr>
            </w:pPr>
          </w:p>
        </w:tc>
        <w:tc>
          <w:tcPr>
            <w:tcW w:w="9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297.6</w:t>
            </w:r>
          </w:p>
        </w:tc>
        <w:tc>
          <w:tcPr>
            <w:tcW w:w="460" w:type="dxa"/>
            <w:vAlign w:val="bottom"/>
            <w:vMerge w:val="continue"/>
          </w:tcPr>
          <w:p>
            <w:pPr>
              <w:spacing w:after="0"/>
              <w:rPr>
                <w:sz w:val="19"/>
                <w:szCs w:val="19"/>
                <w:color w:val="auto"/>
              </w:rPr>
            </w:pPr>
          </w:p>
        </w:tc>
        <w:tc>
          <w:tcPr>
            <w:tcW w:w="120" w:type="dxa"/>
            <w:vAlign w:val="bottom"/>
          </w:tcPr>
          <w:p>
            <w:pPr>
              <w:spacing w:after="0"/>
              <w:rPr>
                <w:sz w:val="19"/>
                <w:szCs w:val="19"/>
                <w:color w:val="auto"/>
              </w:rPr>
            </w:pPr>
          </w:p>
        </w:tc>
        <w:tc>
          <w:tcPr>
            <w:tcW w:w="2120" w:type="dxa"/>
            <w:vAlign w:val="bottom"/>
            <w:gridSpan w:val="2"/>
          </w:tcPr>
          <w:p>
            <w:pPr>
              <w:jc w:val="right"/>
              <w:ind w:right="1420"/>
              <w:spacing w:after="0"/>
              <w:rPr>
                <w:sz w:val="20"/>
                <w:szCs w:val="20"/>
                <w:color w:val="auto"/>
              </w:rPr>
            </w:pPr>
            <w:r>
              <w:rPr>
                <w:rFonts w:ascii="Arial" w:cs="Arial" w:eastAsia="Arial" w:hAnsi="Arial"/>
                <w:sz w:val="18"/>
                <w:szCs w:val="18"/>
                <w:color w:val="auto"/>
              </w:rPr>
              <w:t>(0.7)</w:t>
            </w:r>
          </w:p>
        </w:tc>
        <w:tc>
          <w:tcPr>
            <w:tcW w:w="160" w:type="dxa"/>
            <w:vAlign w:val="bottom"/>
          </w:tcPr>
          <w:p>
            <w:pPr>
              <w:spacing w:after="0"/>
              <w:rPr>
                <w:sz w:val="19"/>
                <w:szCs w:val="19"/>
                <w:color w:val="auto"/>
              </w:rPr>
            </w:pPr>
          </w:p>
        </w:tc>
        <w:tc>
          <w:tcPr>
            <w:tcW w:w="640" w:type="dxa"/>
            <w:vAlign w:val="bottom"/>
          </w:tcPr>
          <w:p>
            <w:pPr>
              <w:jc w:val="right"/>
              <w:ind w:right="11"/>
              <w:spacing w:after="0"/>
              <w:rPr>
                <w:sz w:val="20"/>
                <w:szCs w:val="20"/>
                <w:color w:val="auto"/>
              </w:rPr>
            </w:pPr>
            <w:r>
              <w:rPr>
                <w:rFonts w:ascii="Arial" w:cs="Arial" w:eastAsia="Arial" w:hAnsi="Arial"/>
                <w:sz w:val="18"/>
                <w:szCs w:val="18"/>
                <w:color w:val="auto"/>
              </w:rPr>
              <w:t>—</w:t>
            </w:r>
          </w:p>
        </w:tc>
        <w:tc>
          <w:tcPr>
            <w:tcW w:w="420" w:type="dxa"/>
            <w:vAlign w:val="bottom"/>
            <w:vMerge w:val="continue"/>
          </w:tcPr>
          <w:p>
            <w:pPr>
              <w:spacing w:after="0"/>
              <w:rPr>
                <w:sz w:val="19"/>
                <w:szCs w:val="19"/>
                <w:color w:val="auto"/>
              </w:rPr>
            </w:pPr>
          </w:p>
        </w:tc>
        <w:tc>
          <w:tcPr>
            <w:tcW w:w="2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296.9</w:t>
            </w:r>
          </w:p>
        </w:tc>
        <w:tc>
          <w:tcPr>
            <w:tcW w:w="12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4240" w:type="dxa"/>
            <w:vAlign w:val="bottom"/>
            <w:shd w:val="clear" w:color="auto" w:fill="CCEEFF"/>
          </w:tcPr>
          <w:p>
            <w:pPr>
              <w:spacing w:after="0"/>
              <w:rPr>
                <w:sz w:val="20"/>
                <w:szCs w:val="20"/>
                <w:color w:val="auto"/>
              </w:rPr>
            </w:pPr>
            <w:r>
              <w:rPr>
                <w:rFonts w:ascii="Arial" w:cs="Arial" w:eastAsia="Arial" w:hAnsi="Arial"/>
                <w:sz w:val="18"/>
                <w:szCs w:val="18"/>
                <w:color w:val="auto"/>
              </w:rPr>
              <w:t>Property, net</w:t>
            </w:r>
          </w:p>
        </w:tc>
        <w:tc>
          <w:tcPr>
            <w:tcW w:w="9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9.1</w:t>
            </w:r>
          </w:p>
        </w:tc>
        <w:tc>
          <w:tcPr>
            <w:tcW w:w="120" w:type="dxa"/>
            <w:vAlign w:val="bottom"/>
            <w:shd w:val="clear" w:color="auto" w:fill="CCEEFF"/>
          </w:tcPr>
          <w:p>
            <w:pPr>
              <w:spacing w:after="0"/>
              <w:rPr>
                <w:sz w:val="18"/>
                <w:szCs w:val="18"/>
                <w:color w:val="auto"/>
              </w:rPr>
            </w:pPr>
          </w:p>
        </w:tc>
        <w:tc>
          <w:tcPr>
            <w:tcW w:w="2120" w:type="dxa"/>
            <w:vAlign w:val="bottom"/>
            <w:gridSpan w:val="2"/>
            <w:shd w:val="clear" w:color="auto" w:fill="CCEEFF"/>
          </w:tcPr>
          <w:p>
            <w:pPr>
              <w:jc w:val="right"/>
              <w:ind w:right="158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52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9.1</w:t>
            </w:r>
          </w:p>
        </w:tc>
        <w:tc>
          <w:tcPr>
            <w:tcW w:w="0" w:type="dxa"/>
            <w:vAlign w:val="bottom"/>
          </w:tcPr>
          <w:p>
            <w:pPr>
              <w:spacing w:after="0"/>
              <w:rPr>
                <w:sz w:val="1"/>
                <w:szCs w:val="1"/>
                <w:color w:val="auto"/>
              </w:rPr>
            </w:pPr>
          </w:p>
        </w:tc>
      </w:tr>
      <w:tr>
        <w:trPr>
          <w:trHeight w:val="216"/>
        </w:trPr>
        <w:tc>
          <w:tcPr>
            <w:tcW w:w="4240" w:type="dxa"/>
            <w:vAlign w:val="bottom"/>
          </w:tcPr>
          <w:p>
            <w:pPr>
              <w:spacing w:after="0"/>
              <w:rPr>
                <w:sz w:val="20"/>
                <w:szCs w:val="20"/>
                <w:color w:val="auto"/>
              </w:rPr>
            </w:pPr>
            <w:r>
              <w:rPr>
                <w:rFonts w:ascii="Arial" w:cs="Arial" w:eastAsia="Arial" w:hAnsi="Arial"/>
                <w:sz w:val="18"/>
                <w:szCs w:val="18"/>
                <w:color w:val="auto"/>
              </w:rPr>
              <w:t>Goodwill</w:t>
            </w: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60" w:type="dxa"/>
            <w:vAlign w:val="bottom"/>
            <w:gridSpan w:val="2"/>
          </w:tcPr>
          <w:p>
            <w:pPr>
              <w:jc w:val="right"/>
              <w:ind w:right="460"/>
              <w:spacing w:after="0"/>
              <w:rPr>
                <w:sz w:val="20"/>
                <w:szCs w:val="20"/>
                <w:color w:val="auto"/>
              </w:rPr>
            </w:pPr>
            <w:r>
              <w:rPr>
                <w:rFonts w:ascii="Arial" w:cs="Arial" w:eastAsia="Arial" w:hAnsi="Arial"/>
                <w:sz w:val="18"/>
                <w:szCs w:val="18"/>
                <w:color w:val="auto"/>
              </w:rPr>
              <w:t>65.9</w:t>
            </w:r>
          </w:p>
        </w:tc>
        <w:tc>
          <w:tcPr>
            <w:tcW w:w="120" w:type="dxa"/>
            <w:vAlign w:val="bottom"/>
          </w:tcPr>
          <w:p>
            <w:pPr>
              <w:spacing w:after="0"/>
              <w:rPr>
                <w:sz w:val="18"/>
                <w:szCs w:val="18"/>
                <w:color w:val="auto"/>
              </w:rPr>
            </w:pPr>
          </w:p>
        </w:tc>
        <w:tc>
          <w:tcPr>
            <w:tcW w:w="2120" w:type="dxa"/>
            <w:vAlign w:val="bottom"/>
            <w:gridSpan w:val="2"/>
          </w:tcPr>
          <w:p>
            <w:pPr>
              <w:jc w:val="right"/>
              <w:ind w:right="158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1060" w:type="dxa"/>
            <w:vAlign w:val="bottom"/>
            <w:gridSpan w:val="2"/>
          </w:tcPr>
          <w:p>
            <w:pPr>
              <w:jc w:val="right"/>
              <w:ind w:right="52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0" w:type="dxa"/>
            <w:vAlign w:val="bottom"/>
            <w:gridSpan w:val="2"/>
          </w:tcPr>
          <w:p>
            <w:pPr>
              <w:jc w:val="right"/>
              <w:ind w:right="120"/>
              <w:spacing w:after="0"/>
              <w:rPr>
                <w:sz w:val="20"/>
                <w:szCs w:val="20"/>
                <w:color w:val="auto"/>
              </w:rPr>
            </w:pPr>
            <w:r>
              <w:rPr>
                <w:rFonts w:ascii="Arial" w:cs="Arial" w:eastAsia="Arial" w:hAnsi="Arial"/>
                <w:sz w:val="18"/>
                <w:szCs w:val="18"/>
                <w:color w:val="auto"/>
              </w:rPr>
              <w:t>65.9</w:t>
            </w:r>
          </w:p>
        </w:tc>
        <w:tc>
          <w:tcPr>
            <w:tcW w:w="0" w:type="dxa"/>
            <w:vAlign w:val="bottom"/>
          </w:tcPr>
          <w:p>
            <w:pPr>
              <w:spacing w:after="0"/>
              <w:rPr>
                <w:sz w:val="1"/>
                <w:szCs w:val="1"/>
                <w:color w:val="auto"/>
              </w:rPr>
            </w:pPr>
          </w:p>
        </w:tc>
      </w:tr>
      <w:tr>
        <w:trPr>
          <w:trHeight w:val="216"/>
        </w:trPr>
        <w:tc>
          <w:tcPr>
            <w:tcW w:w="4240" w:type="dxa"/>
            <w:vAlign w:val="bottom"/>
            <w:shd w:val="clear" w:color="auto" w:fill="CCEEFF"/>
          </w:tcPr>
          <w:p>
            <w:pPr>
              <w:spacing w:after="0"/>
              <w:rPr>
                <w:sz w:val="20"/>
                <w:szCs w:val="20"/>
                <w:color w:val="auto"/>
              </w:rPr>
            </w:pPr>
            <w:r>
              <w:rPr>
                <w:rFonts w:ascii="Arial" w:cs="Arial" w:eastAsia="Arial" w:hAnsi="Arial"/>
                <w:sz w:val="18"/>
                <w:szCs w:val="18"/>
                <w:color w:val="auto"/>
              </w:rPr>
              <w:t>Other intangible assets, net</w:t>
            </w:r>
          </w:p>
        </w:tc>
        <w:tc>
          <w:tcPr>
            <w:tcW w:w="9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218.2</w:t>
            </w:r>
          </w:p>
        </w:tc>
        <w:tc>
          <w:tcPr>
            <w:tcW w:w="120" w:type="dxa"/>
            <w:vAlign w:val="bottom"/>
            <w:shd w:val="clear" w:color="auto" w:fill="CCEEFF"/>
          </w:tcPr>
          <w:p>
            <w:pPr>
              <w:spacing w:after="0"/>
              <w:rPr>
                <w:sz w:val="18"/>
                <w:szCs w:val="18"/>
                <w:color w:val="auto"/>
              </w:rPr>
            </w:pPr>
          </w:p>
        </w:tc>
        <w:tc>
          <w:tcPr>
            <w:tcW w:w="2120" w:type="dxa"/>
            <w:vAlign w:val="bottom"/>
            <w:gridSpan w:val="2"/>
            <w:shd w:val="clear" w:color="auto" w:fill="CCEEFF"/>
          </w:tcPr>
          <w:p>
            <w:pPr>
              <w:jc w:val="right"/>
              <w:ind w:right="158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52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218.2</w:t>
            </w:r>
          </w:p>
        </w:tc>
        <w:tc>
          <w:tcPr>
            <w:tcW w:w="0" w:type="dxa"/>
            <w:vAlign w:val="bottom"/>
          </w:tcPr>
          <w:p>
            <w:pPr>
              <w:spacing w:after="0"/>
              <w:rPr>
                <w:sz w:val="1"/>
                <w:szCs w:val="1"/>
                <w:color w:val="auto"/>
              </w:rPr>
            </w:pPr>
          </w:p>
        </w:tc>
      </w:tr>
      <w:tr>
        <w:trPr>
          <w:trHeight w:val="216"/>
        </w:trPr>
        <w:tc>
          <w:tcPr>
            <w:tcW w:w="4240" w:type="dxa"/>
            <w:vAlign w:val="bottom"/>
          </w:tcPr>
          <w:p>
            <w:pPr>
              <w:spacing w:after="0"/>
              <w:rPr>
                <w:sz w:val="20"/>
                <w:szCs w:val="20"/>
                <w:color w:val="auto"/>
              </w:rPr>
            </w:pPr>
            <w:r>
              <w:rPr>
                <w:rFonts w:ascii="Arial" w:cs="Arial" w:eastAsia="Arial" w:hAnsi="Arial"/>
                <w:sz w:val="18"/>
                <w:szCs w:val="18"/>
                <w:color w:val="auto"/>
              </w:rPr>
              <w:t>Other assets</w:t>
            </w: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60" w:type="dxa"/>
            <w:vAlign w:val="bottom"/>
            <w:gridSpan w:val="2"/>
          </w:tcPr>
          <w:p>
            <w:pPr>
              <w:jc w:val="right"/>
              <w:ind w:right="460"/>
              <w:spacing w:after="0"/>
              <w:rPr>
                <w:sz w:val="20"/>
                <w:szCs w:val="20"/>
                <w:color w:val="auto"/>
              </w:rPr>
            </w:pPr>
            <w:r>
              <w:rPr>
                <w:rFonts w:ascii="Arial" w:cs="Arial" w:eastAsia="Arial" w:hAnsi="Arial"/>
                <w:sz w:val="18"/>
                <w:szCs w:val="18"/>
                <w:color w:val="auto"/>
              </w:rPr>
              <w:t>9.8</w:t>
            </w:r>
          </w:p>
        </w:tc>
        <w:tc>
          <w:tcPr>
            <w:tcW w:w="120" w:type="dxa"/>
            <w:vAlign w:val="bottom"/>
          </w:tcPr>
          <w:p>
            <w:pPr>
              <w:spacing w:after="0"/>
              <w:rPr>
                <w:sz w:val="18"/>
                <w:szCs w:val="18"/>
                <w:color w:val="auto"/>
              </w:rPr>
            </w:pPr>
          </w:p>
        </w:tc>
        <w:tc>
          <w:tcPr>
            <w:tcW w:w="2120" w:type="dxa"/>
            <w:vAlign w:val="bottom"/>
            <w:gridSpan w:val="2"/>
          </w:tcPr>
          <w:p>
            <w:pPr>
              <w:jc w:val="right"/>
              <w:ind w:right="1280"/>
              <w:spacing w:after="0"/>
              <w:rPr>
                <w:sz w:val="20"/>
                <w:szCs w:val="20"/>
                <w:color w:val="auto"/>
              </w:rPr>
            </w:pPr>
            <w:r>
              <w:rPr>
                <w:rFonts w:ascii="Arial" w:cs="Arial" w:eastAsia="Arial" w:hAnsi="Arial"/>
                <w:sz w:val="18"/>
                <w:szCs w:val="18"/>
                <w:color w:val="auto"/>
              </w:rPr>
              <w:t>0.6(b)</w:t>
            </w:r>
          </w:p>
        </w:tc>
        <w:tc>
          <w:tcPr>
            <w:tcW w:w="160" w:type="dxa"/>
            <w:vAlign w:val="bottom"/>
          </w:tcPr>
          <w:p>
            <w:pPr>
              <w:spacing w:after="0"/>
              <w:rPr>
                <w:sz w:val="18"/>
                <w:szCs w:val="18"/>
                <w:color w:val="auto"/>
              </w:rPr>
            </w:pPr>
          </w:p>
        </w:tc>
        <w:tc>
          <w:tcPr>
            <w:tcW w:w="1060" w:type="dxa"/>
            <w:vAlign w:val="bottom"/>
            <w:gridSpan w:val="2"/>
          </w:tcPr>
          <w:p>
            <w:pPr>
              <w:jc w:val="right"/>
              <w:ind w:right="52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0" w:type="dxa"/>
            <w:vAlign w:val="bottom"/>
            <w:gridSpan w:val="2"/>
          </w:tcPr>
          <w:p>
            <w:pPr>
              <w:jc w:val="right"/>
              <w:ind w:right="120"/>
              <w:spacing w:after="0"/>
              <w:rPr>
                <w:sz w:val="20"/>
                <w:szCs w:val="20"/>
                <w:color w:val="auto"/>
              </w:rPr>
            </w:pPr>
            <w:r>
              <w:rPr>
                <w:rFonts w:ascii="Arial" w:cs="Arial" w:eastAsia="Arial" w:hAnsi="Arial"/>
                <w:sz w:val="18"/>
                <w:szCs w:val="18"/>
                <w:color w:val="auto"/>
              </w:rPr>
              <w:t>10.4</w:t>
            </w:r>
          </w:p>
        </w:tc>
        <w:tc>
          <w:tcPr>
            <w:tcW w:w="0" w:type="dxa"/>
            <w:vAlign w:val="bottom"/>
          </w:tcPr>
          <w:p>
            <w:pPr>
              <w:spacing w:after="0"/>
              <w:rPr>
                <w:sz w:val="1"/>
                <w:szCs w:val="1"/>
                <w:color w:val="auto"/>
              </w:rPr>
            </w:pPr>
          </w:p>
        </w:tc>
      </w:tr>
      <w:tr>
        <w:trPr>
          <w:trHeight w:val="27"/>
        </w:trPr>
        <w:tc>
          <w:tcPr>
            <w:tcW w:w="424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46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148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4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4240" w:type="dxa"/>
            <w:vAlign w:val="bottom"/>
            <w:shd w:val="clear" w:color="auto" w:fill="CCEEFF"/>
          </w:tcPr>
          <w:p>
            <w:pPr>
              <w:ind w:left="720"/>
              <w:spacing w:after="0"/>
              <w:rPr>
                <w:sz w:val="20"/>
                <w:szCs w:val="20"/>
                <w:color w:val="auto"/>
              </w:rPr>
            </w:pPr>
            <w:r>
              <w:rPr>
                <w:rFonts w:ascii="Arial" w:cs="Arial" w:eastAsia="Arial" w:hAnsi="Arial"/>
                <w:sz w:val="18"/>
                <w:szCs w:val="18"/>
                <w:b w:val="1"/>
                <w:bCs w:val="1"/>
                <w:color w:val="auto"/>
              </w:rPr>
              <w:t>Total Assets</w:t>
            </w:r>
          </w:p>
        </w:tc>
        <w:tc>
          <w:tcPr>
            <w:tcW w:w="1000" w:type="dxa"/>
            <w:vAlign w:val="bottom"/>
            <w:gridSpan w:val="2"/>
            <w:shd w:val="clear" w:color="auto" w:fill="CCEEFF"/>
          </w:tcPr>
          <w:p>
            <w:pPr>
              <w:ind w:left="900"/>
              <w:spacing w:after="0"/>
              <w:rPr>
                <w:sz w:val="20"/>
                <w:szCs w:val="20"/>
                <w:color w:val="auto"/>
              </w:rPr>
            </w:pPr>
            <w:r>
              <w:rPr>
                <w:rFonts w:ascii="Arial" w:cs="Arial" w:eastAsia="Arial" w:hAnsi="Arial"/>
                <w:sz w:val="18"/>
                <w:szCs w:val="18"/>
                <w:color w:val="auto"/>
                <w:w w:val="79"/>
              </w:rPr>
              <w:t>$</w:t>
            </w:r>
          </w:p>
        </w:tc>
        <w:tc>
          <w:tcPr>
            <w:tcW w:w="116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600.</w:t>
            </w:r>
            <w:r>
              <w:rPr>
                <w:rFonts w:ascii="Arial" w:cs="Arial" w:eastAsia="Arial" w:hAnsi="Arial"/>
                <w:sz w:val="18"/>
                <w:szCs w:val="18"/>
                <w:u w:val="single" w:color="auto"/>
                <w:color w:val="auto"/>
              </w:rPr>
              <w:t>6</w:t>
            </w:r>
          </w:p>
        </w:tc>
        <w:tc>
          <w:tcPr>
            <w:tcW w:w="120" w:type="dxa"/>
            <w:vAlign w:val="bottom"/>
            <w:shd w:val="clear" w:color="auto" w:fill="CCEEFF"/>
          </w:tcPr>
          <w:p>
            <w:pPr>
              <w:spacing w:after="0"/>
              <w:rPr>
                <w:sz w:val="20"/>
                <w:szCs w:val="20"/>
                <w:color w:val="auto"/>
              </w:rPr>
            </w:pPr>
            <w:r>
              <w:rPr>
                <w:rFonts w:ascii="Arial" w:cs="Arial" w:eastAsia="Arial" w:hAnsi="Arial"/>
                <w:sz w:val="18"/>
                <w:szCs w:val="18"/>
                <w:color w:val="auto"/>
                <w:w w:val="99"/>
              </w:rPr>
              <w:t>$</w:t>
            </w:r>
          </w:p>
        </w:tc>
        <w:tc>
          <w:tcPr>
            <w:tcW w:w="2120" w:type="dxa"/>
            <w:vAlign w:val="bottom"/>
            <w:gridSpan w:val="2"/>
            <w:shd w:val="clear" w:color="auto" w:fill="CCEEFF"/>
          </w:tcPr>
          <w:p>
            <w:pPr>
              <w:jc w:val="right"/>
              <w:ind w:right="1420"/>
              <w:spacing w:after="0"/>
              <w:rPr>
                <w:sz w:val="20"/>
                <w:szCs w:val="20"/>
                <w:color w:val="auto"/>
              </w:rPr>
            </w:pPr>
            <w:r>
              <w:rPr>
                <w:rFonts w:ascii="Arial" w:cs="Arial" w:eastAsia="Arial" w:hAnsi="Arial"/>
                <w:sz w:val="18"/>
                <w:szCs w:val="18"/>
                <w:color w:val="auto"/>
              </w:rPr>
              <w:t>(0.1)</w:t>
            </w:r>
          </w:p>
        </w:tc>
        <w:tc>
          <w:tcPr>
            <w:tcW w:w="16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060" w:type="dxa"/>
            <w:vAlign w:val="bottom"/>
            <w:gridSpan w:val="2"/>
            <w:shd w:val="clear" w:color="auto" w:fill="CCEEFF"/>
          </w:tcPr>
          <w:p>
            <w:pPr>
              <w:jc w:val="right"/>
              <w:ind w:right="520"/>
              <w:spacing w:after="0"/>
              <w:rPr>
                <w:sz w:val="20"/>
                <w:szCs w:val="20"/>
                <w:color w:val="auto"/>
              </w:rPr>
            </w:pPr>
            <w:r>
              <w:rPr>
                <w:rFonts w:ascii="Arial" w:cs="Arial" w:eastAsia="Arial" w:hAnsi="Arial"/>
                <w:sz w:val="18"/>
                <w:szCs w:val="18"/>
                <w:color w:val="auto"/>
              </w:rPr>
              <w:t>—</w:t>
            </w:r>
          </w:p>
        </w:tc>
        <w:tc>
          <w:tcPr>
            <w:tcW w:w="36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w:t>
            </w:r>
          </w:p>
        </w:tc>
        <w:tc>
          <w:tcPr>
            <w:tcW w:w="8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600.5</w:t>
            </w:r>
          </w:p>
        </w:tc>
        <w:tc>
          <w:tcPr>
            <w:tcW w:w="0" w:type="dxa"/>
            <w:vAlign w:val="bottom"/>
          </w:tcPr>
          <w:p>
            <w:pPr>
              <w:spacing w:after="0"/>
              <w:rPr>
                <w:sz w:val="1"/>
                <w:szCs w:val="1"/>
                <w:color w:val="auto"/>
              </w:rPr>
            </w:pPr>
          </w:p>
        </w:tc>
      </w:tr>
      <w:tr>
        <w:trPr>
          <w:trHeight w:val="223"/>
        </w:trPr>
        <w:tc>
          <w:tcPr>
            <w:tcW w:w="4240" w:type="dxa"/>
            <w:vAlign w:val="bottom"/>
          </w:tcPr>
          <w:p>
            <w:pPr>
              <w:spacing w:after="0"/>
              <w:rPr>
                <w:sz w:val="20"/>
                <w:szCs w:val="20"/>
                <w:color w:val="auto"/>
              </w:rPr>
            </w:pPr>
            <w:r>
              <w:rPr>
                <w:rFonts w:ascii="Arial" w:cs="Arial" w:eastAsia="Arial" w:hAnsi="Arial"/>
                <w:sz w:val="18"/>
                <w:szCs w:val="18"/>
                <w:b w:val="1"/>
                <w:bCs w:val="1"/>
                <w:color w:val="auto"/>
              </w:rPr>
              <w:t>Current Liabilities</w:t>
            </w:r>
          </w:p>
        </w:tc>
        <w:tc>
          <w:tcPr>
            <w:tcW w:w="90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700" w:type="dxa"/>
            <w:vAlign w:val="bottom"/>
            <w:tcBorders>
              <w:top w:val="single" w:sz="8" w:color="auto"/>
            </w:tcBorders>
          </w:tcPr>
          <w:p>
            <w:pPr>
              <w:spacing w:after="0"/>
              <w:rPr>
                <w:sz w:val="19"/>
                <w:szCs w:val="19"/>
                <w:color w:val="auto"/>
              </w:rPr>
            </w:pPr>
          </w:p>
        </w:tc>
        <w:tc>
          <w:tcPr>
            <w:tcW w:w="460" w:type="dxa"/>
            <w:vAlign w:val="bottom"/>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640" w:type="dxa"/>
            <w:vAlign w:val="bottom"/>
            <w:tcBorders>
              <w:top w:val="single" w:sz="8" w:color="auto"/>
            </w:tcBorders>
          </w:tcPr>
          <w:p>
            <w:pPr>
              <w:spacing w:after="0"/>
              <w:rPr>
                <w:sz w:val="19"/>
                <w:szCs w:val="19"/>
                <w:color w:val="auto"/>
              </w:rPr>
            </w:pPr>
          </w:p>
        </w:tc>
        <w:tc>
          <w:tcPr>
            <w:tcW w:w="1480" w:type="dxa"/>
            <w:vAlign w:val="bottom"/>
          </w:tcPr>
          <w:p>
            <w:pPr>
              <w:spacing w:after="0"/>
              <w:rPr>
                <w:sz w:val="19"/>
                <w:szCs w:val="19"/>
                <w:color w:val="auto"/>
              </w:rPr>
            </w:pPr>
          </w:p>
        </w:tc>
        <w:tc>
          <w:tcPr>
            <w:tcW w:w="160" w:type="dxa"/>
            <w:vAlign w:val="bottom"/>
            <w:tcBorders>
              <w:top w:val="single" w:sz="8" w:color="auto"/>
            </w:tcBorders>
          </w:tcPr>
          <w:p>
            <w:pPr>
              <w:spacing w:after="0"/>
              <w:rPr>
                <w:sz w:val="19"/>
                <w:szCs w:val="19"/>
                <w:color w:val="auto"/>
              </w:rPr>
            </w:pPr>
          </w:p>
        </w:tc>
        <w:tc>
          <w:tcPr>
            <w:tcW w:w="640" w:type="dxa"/>
            <w:vAlign w:val="bottom"/>
            <w:tcBorders>
              <w:top w:val="single" w:sz="8" w:color="auto"/>
            </w:tcBorders>
          </w:tcPr>
          <w:p>
            <w:pPr>
              <w:spacing w:after="0"/>
              <w:rPr>
                <w:sz w:val="19"/>
                <w:szCs w:val="19"/>
                <w:color w:val="auto"/>
              </w:rPr>
            </w:pPr>
          </w:p>
        </w:tc>
        <w:tc>
          <w:tcPr>
            <w:tcW w:w="4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60" w:type="dxa"/>
            <w:vAlign w:val="bottom"/>
            <w:tcBorders>
              <w:top w:val="single" w:sz="8" w:color="auto"/>
            </w:tcBorders>
          </w:tcPr>
          <w:p>
            <w:pPr>
              <w:spacing w:after="0"/>
              <w:rPr>
                <w:sz w:val="19"/>
                <w:szCs w:val="19"/>
                <w:color w:val="auto"/>
              </w:rPr>
            </w:pPr>
          </w:p>
        </w:tc>
        <w:tc>
          <w:tcPr>
            <w:tcW w:w="680" w:type="dxa"/>
            <w:vAlign w:val="bottom"/>
            <w:tcBorders>
              <w:top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4240" w:type="dxa"/>
            <w:vAlign w:val="bottom"/>
            <w:shd w:val="clear" w:color="auto" w:fill="CCEEFF"/>
          </w:tcPr>
          <w:p>
            <w:pPr>
              <w:ind w:left="360"/>
              <w:spacing w:after="0"/>
              <w:rPr>
                <w:sz w:val="20"/>
                <w:szCs w:val="20"/>
                <w:color w:val="auto"/>
              </w:rPr>
            </w:pPr>
            <w:r>
              <w:rPr>
                <w:rFonts w:ascii="Arial" w:cs="Arial" w:eastAsia="Arial" w:hAnsi="Arial"/>
                <w:sz w:val="18"/>
                <w:szCs w:val="18"/>
                <w:color w:val="auto"/>
              </w:rPr>
              <w:t>Current portion of long-term debt</w:t>
            </w:r>
          </w:p>
        </w:tc>
        <w:tc>
          <w:tcPr>
            <w:tcW w:w="1000" w:type="dxa"/>
            <w:vAlign w:val="bottom"/>
            <w:gridSpan w:val="2"/>
            <w:shd w:val="clear" w:color="auto" w:fill="CCEEFF"/>
          </w:tcPr>
          <w:p>
            <w:pPr>
              <w:ind w:left="900"/>
              <w:spacing w:after="0"/>
              <w:rPr>
                <w:sz w:val="20"/>
                <w:szCs w:val="20"/>
                <w:color w:val="auto"/>
              </w:rPr>
            </w:pPr>
            <w:r>
              <w:rPr>
                <w:rFonts w:ascii="Arial" w:cs="Arial" w:eastAsia="Arial" w:hAnsi="Arial"/>
                <w:sz w:val="18"/>
                <w:szCs w:val="18"/>
                <w:color w:val="auto"/>
                <w:w w:val="79"/>
              </w:rPr>
              <w:t>$</w:t>
            </w:r>
          </w:p>
        </w:tc>
        <w:tc>
          <w:tcPr>
            <w:tcW w:w="116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35.0</w:t>
            </w:r>
          </w:p>
        </w:tc>
        <w:tc>
          <w:tcPr>
            <w:tcW w:w="120" w:type="dxa"/>
            <w:vAlign w:val="bottom"/>
            <w:shd w:val="clear" w:color="auto" w:fill="CCEEFF"/>
          </w:tcPr>
          <w:p>
            <w:pPr>
              <w:spacing w:after="0"/>
              <w:rPr>
                <w:sz w:val="20"/>
                <w:szCs w:val="20"/>
                <w:color w:val="auto"/>
              </w:rPr>
            </w:pPr>
            <w:r>
              <w:rPr>
                <w:rFonts w:ascii="Arial" w:cs="Arial" w:eastAsia="Arial" w:hAnsi="Arial"/>
                <w:sz w:val="18"/>
                <w:szCs w:val="18"/>
                <w:color w:val="auto"/>
                <w:w w:val="99"/>
              </w:rPr>
              <w:t>$</w:t>
            </w:r>
          </w:p>
        </w:tc>
        <w:tc>
          <w:tcPr>
            <w:tcW w:w="2120" w:type="dxa"/>
            <w:vAlign w:val="bottom"/>
            <w:gridSpan w:val="2"/>
            <w:shd w:val="clear" w:color="auto" w:fill="CCEEFF"/>
          </w:tcPr>
          <w:p>
            <w:pPr>
              <w:jc w:val="right"/>
              <w:ind w:right="1220"/>
              <w:spacing w:after="0"/>
              <w:rPr>
                <w:sz w:val="20"/>
                <w:szCs w:val="20"/>
                <w:color w:val="auto"/>
              </w:rPr>
            </w:pPr>
            <w:r>
              <w:rPr>
                <w:rFonts w:ascii="Arial" w:cs="Arial" w:eastAsia="Arial" w:hAnsi="Arial"/>
                <w:sz w:val="18"/>
                <w:szCs w:val="18"/>
                <w:color w:val="auto"/>
              </w:rPr>
              <w:t>(35.0)(b)</w:t>
            </w:r>
          </w:p>
        </w:tc>
        <w:tc>
          <w:tcPr>
            <w:tcW w:w="16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060" w:type="dxa"/>
            <w:vAlign w:val="bottom"/>
            <w:gridSpan w:val="2"/>
            <w:shd w:val="clear" w:color="auto" w:fill="CCEEFF"/>
          </w:tcPr>
          <w:p>
            <w:pPr>
              <w:jc w:val="right"/>
              <w:ind w:right="520"/>
              <w:spacing w:after="0"/>
              <w:rPr>
                <w:sz w:val="20"/>
                <w:szCs w:val="20"/>
                <w:color w:val="auto"/>
              </w:rPr>
            </w:pPr>
            <w:r>
              <w:rPr>
                <w:rFonts w:ascii="Arial" w:cs="Arial" w:eastAsia="Arial" w:hAnsi="Arial"/>
                <w:sz w:val="18"/>
                <w:szCs w:val="18"/>
                <w:color w:val="auto"/>
              </w:rPr>
              <w:t>—</w:t>
            </w:r>
          </w:p>
        </w:tc>
        <w:tc>
          <w:tcPr>
            <w:tcW w:w="36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w:t>
            </w:r>
          </w:p>
        </w:tc>
        <w:tc>
          <w:tcPr>
            <w:tcW w:w="8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4240" w:type="dxa"/>
            <w:vAlign w:val="bottom"/>
          </w:tcPr>
          <w:p>
            <w:pPr>
              <w:ind w:left="360"/>
              <w:spacing w:after="0"/>
              <w:rPr>
                <w:sz w:val="20"/>
                <w:szCs w:val="20"/>
                <w:color w:val="auto"/>
              </w:rPr>
            </w:pPr>
            <w:r>
              <w:rPr>
                <w:rFonts w:ascii="Arial" w:cs="Arial" w:eastAsia="Arial" w:hAnsi="Arial"/>
                <w:sz w:val="18"/>
                <w:szCs w:val="18"/>
                <w:color w:val="auto"/>
              </w:rPr>
              <w:t>Accounts payable</w:t>
            </w: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60" w:type="dxa"/>
            <w:vAlign w:val="bottom"/>
            <w:gridSpan w:val="2"/>
          </w:tcPr>
          <w:p>
            <w:pPr>
              <w:jc w:val="right"/>
              <w:ind w:right="460"/>
              <w:spacing w:after="0"/>
              <w:rPr>
                <w:sz w:val="20"/>
                <w:szCs w:val="20"/>
                <w:color w:val="auto"/>
              </w:rPr>
            </w:pPr>
            <w:r>
              <w:rPr>
                <w:rFonts w:ascii="Arial" w:cs="Arial" w:eastAsia="Arial" w:hAnsi="Arial"/>
                <w:sz w:val="18"/>
                <w:szCs w:val="18"/>
                <w:color w:val="auto"/>
              </w:rPr>
              <w:t>72.5</w:t>
            </w:r>
          </w:p>
        </w:tc>
        <w:tc>
          <w:tcPr>
            <w:tcW w:w="120" w:type="dxa"/>
            <w:vAlign w:val="bottom"/>
          </w:tcPr>
          <w:p>
            <w:pPr>
              <w:spacing w:after="0"/>
              <w:rPr>
                <w:sz w:val="18"/>
                <w:szCs w:val="18"/>
                <w:color w:val="auto"/>
              </w:rPr>
            </w:pPr>
          </w:p>
        </w:tc>
        <w:tc>
          <w:tcPr>
            <w:tcW w:w="2120" w:type="dxa"/>
            <w:vAlign w:val="bottom"/>
            <w:gridSpan w:val="2"/>
          </w:tcPr>
          <w:p>
            <w:pPr>
              <w:jc w:val="right"/>
              <w:ind w:right="1220"/>
              <w:spacing w:after="0"/>
              <w:rPr>
                <w:sz w:val="20"/>
                <w:szCs w:val="20"/>
                <w:color w:val="auto"/>
              </w:rPr>
            </w:pPr>
            <w:r>
              <w:rPr>
                <w:rFonts w:ascii="Arial" w:cs="Arial" w:eastAsia="Arial" w:hAnsi="Arial"/>
                <w:sz w:val="18"/>
                <w:szCs w:val="18"/>
                <w:color w:val="auto"/>
              </w:rPr>
              <w:t>(0.2)(h)</w:t>
            </w:r>
          </w:p>
        </w:tc>
        <w:tc>
          <w:tcPr>
            <w:tcW w:w="160" w:type="dxa"/>
            <w:vAlign w:val="bottom"/>
          </w:tcPr>
          <w:p>
            <w:pPr>
              <w:spacing w:after="0"/>
              <w:rPr>
                <w:sz w:val="18"/>
                <w:szCs w:val="18"/>
                <w:color w:val="auto"/>
              </w:rPr>
            </w:pPr>
          </w:p>
        </w:tc>
        <w:tc>
          <w:tcPr>
            <w:tcW w:w="1060" w:type="dxa"/>
            <w:vAlign w:val="bottom"/>
            <w:gridSpan w:val="2"/>
          </w:tcPr>
          <w:p>
            <w:pPr>
              <w:jc w:val="right"/>
              <w:ind w:right="52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0" w:type="dxa"/>
            <w:vAlign w:val="bottom"/>
            <w:gridSpan w:val="2"/>
          </w:tcPr>
          <w:p>
            <w:pPr>
              <w:jc w:val="right"/>
              <w:ind w:right="120"/>
              <w:spacing w:after="0"/>
              <w:rPr>
                <w:sz w:val="20"/>
                <w:szCs w:val="20"/>
                <w:color w:val="auto"/>
              </w:rPr>
            </w:pPr>
            <w:r>
              <w:rPr>
                <w:rFonts w:ascii="Arial" w:cs="Arial" w:eastAsia="Arial" w:hAnsi="Arial"/>
                <w:sz w:val="18"/>
                <w:szCs w:val="18"/>
                <w:color w:val="auto"/>
              </w:rPr>
              <w:t>72.3</w:t>
            </w:r>
          </w:p>
        </w:tc>
        <w:tc>
          <w:tcPr>
            <w:tcW w:w="0" w:type="dxa"/>
            <w:vAlign w:val="bottom"/>
          </w:tcPr>
          <w:p>
            <w:pPr>
              <w:spacing w:after="0"/>
              <w:rPr>
                <w:sz w:val="1"/>
                <w:szCs w:val="1"/>
                <w:color w:val="auto"/>
              </w:rPr>
            </w:pPr>
          </w:p>
        </w:tc>
      </w:tr>
      <w:tr>
        <w:trPr>
          <w:trHeight w:val="216"/>
        </w:trPr>
        <w:tc>
          <w:tcPr>
            <w:tcW w:w="4240" w:type="dxa"/>
            <w:vAlign w:val="bottom"/>
            <w:shd w:val="clear" w:color="auto" w:fill="CCEEFF"/>
          </w:tcPr>
          <w:p>
            <w:pPr>
              <w:ind w:left="360"/>
              <w:spacing w:after="0"/>
              <w:rPr>
                <w:sz w:val="20"/>
                <w:szCs w:val="20"/>
                <w:color w:val="auto"/>
              </w:rPr>
            </w:pPr>
            <w:r>
              <w:rPr>
                <w:rFonts w:ascii="Arial" w:cs="Arial" w:eastAsia="Arial" w:hAnsi="Arial"/>
                <w:sz w:val="18"/>
                <w:szCs w:val="18"/>
                <w:color w:val="auto"/>
              </w:rPr>
              <w:t>Other current liabilities</w:t>
            </w:r>
          </w:p>
        </w:tc>
        <w:tc>
          <w:tcPr>
            <w:tcW w:w="9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38.2</w:t>
            </w:r>
          </w:p>
        </w:tc>
        <w:tc>
          <w:tcPr>
            <w:tcW w:w="120" w:type="dxa"/>
            <w:vAlign w:val="bottom"/>
            <w:shd w:val="clear" w:color="auto" w:fill="CCEEFF"/>
          </w:tcPr>
          <w:p>
            <w:pPr>
              <w:spacing w:after="0"/>
              <w:rPr>
                <w:sz w:val="18"/>
                <w:szCs w:val="18"/>
                <w:color w:val="auto"/>
              </w:rPr>
            </w:pPr>
          </w:p>
        </w:tc>
        <w:tc>
          <w:tcPr>
            <w:tcW w:w="2120" w:type="dxa"/>
            <w:vAlign w:val="bottom"/>
            <w:gridSpan w:val="2"/>
            <w:shd w:val="clear" w:color="auto" w:fill="CCEEFF"/>
          </w:tcPr>
          <w:p>
            <w:pPr>
              <w:jc w:val="right"/>
              <w:ind w:right="1100"/>
              <w:spacing w:after="0"/>
              <w:rPr>
                <w:sz w:val="20"/>
                <w:szCs w:val="20"/>
                <w:color w:val="auto"/>
              </w:rPr>
            </w:pPr>
            <w:r>
              <w:rPr>
                <w:rFonts w:ascii="Arial" w:cs="Arial" w:eastAsia="Arial" w:hAnsi="Arial"/>
                <w:sz w:val="18"/>
                <w:szCs w:val="18"/>
                <w:color w:val="auto"/>
              </w:rPr>
              <w:t>(4.6)(c,h)</w:t>
            </w:r>
          </w:p>
        </w:tc>
        <w:tc>
          <w:tcPr>
            <w:tcW w:w="16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52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33.6</w:t>
            </w:r>
          </w:p>
        </w:tc>
        <w:tc>
          <w:tcPr>
            <w:tcW w:w="0" w:type="dxa"/>
            <w:vAlign w:val="bottom"/>
          </w:tcPr>
          <w:p>
            <w:pPr>
              <w:spacing w:after="0"/>
              <w:rPr>
                <w:sz w:val="1"/>
                <w:szCs w:val="1"/>
                <w:color w:val="auto"/>
              </w:rPr>
            </w:pPr>
          </w:p>
        </w:tc>
      </w:tr>
      <w:tr>
        <w:trPr>
          <w:trHeight w:val="20"/>
        </w:trPr>
        <w:tc>
          <w:tcPr>
            <w:tcW w:w="4240" w:type="dxa"/>
            <w:vAlign w:val="bottom"/>
            <w:vMerge w:val="restart"/>
          </w:tcPr>
          <w:p>
            <w:pPr>
              <w:ind w:left="720"/>
              <w:spacing w:after="0"/>
              <w:rPr>
                <w:sz w:val="20"/>
                <w:szCs w:val="20"/>
                <w:color w:val="auto"/>
              </w:rPr>
            </w:pPr>
            <w:r>
              <w:rPr>
                <w:rFonts w:ascii="Arial" w:cs="Arial" w:eastAsia="Arial" w:hAnsi="Arial"/>
                <w:sz w:val="18"/>
                <w:szCs w:val="18"/>
                <w:b w:val="1"/>
                <w:bCs w:val="1"/>
                <w:color w:val="auto"/>
              </w:rPr>
              <w:t>Total Current Liabilities</w:t>
            </w:r>
          </w:p>
        </w:tc>
        <w:tc>
          <w:tcPr>
            <w:tcW w:w="9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460" w:type="dxa"/>
            <w:vAlign w:val="bottom"/>
            <w:vMerge w:val="restart"/>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420" w:type="dxa"/>
            <w:vAlign w:val="bottom"/>
            <w:vMerge w:val="restart"/>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1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4240" w:type="dxa"/>
            <w:vAlign w:val="bottom"/>
            <w:vMerge w:val="continue"/>
          </w:tcPr>
          <w:p>
            <w:pPr>
              <w:spacing w:after="0"/>
              <w:rPr>
                <w:sz w:val="19"/>
                <w:szCs w:val="19"/>
                <w:color w:val="auto"/>
              </w:rPr>
            </w:pPr>
          </w:p>
        </w:tc>
        <w:tc>
          <w:tcPr>
            <w:tcW w:w="9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145.7</w:t>
            </w:r>
          </w:p>
        </w:tc>
        <w:tc>
          <w:tcPr>
            <w:tcW w:w="460" w:type="dxa"/>
            <w:vAlign w:val="bottom"/>
            <w:vMerge w:val="continue"/>
          </w:tcPr>
          <w:p>
            <w:pPr>
              <w:spacing w:after="0"/>
              <w:rPr>
                <w:sz w:val="19"/>
                <w:szCs w:val="19"/>
                <w:color w:val="auto"/>
              </w:rPr>
            </w:pPr>
          </w:p>
        </w:tc>
        <w:tc>
          <w:tcPr>
            <w:tcW w:w="120" w:type="dxa"/>
            <w:vAlign w:val="bottom"/>
          </w:tcPr>
          <w:p>
            <w:pPr>
              <w:spacing w:after="0"/>
              <w:rPr>
                <w:sz w:val="19"/>
                <w:szCs w:val="19"/>
                <w:color w:val="auto"/>
              </w:rPr>
            </w:pPr>
          </w:p>
        </w:tc>
        <w:tc>
          <w:tcPr>
            <w:tcW w:w="2120" w:type="dxa"/>
            <w:vAlign w:val="bottom"/>
            <w:gridSpan w:val="2"/>
          </w:tcPr>
          <w:p>
            <w:pPr>
              <w:jc w:val="right"/>
              <w:ind w:right="1420"/>
              <w:spacing w:after="0"/>
              <w:rPr>
                <w:sz w:val="20"/>
                <w:szCs w:val="20"/>
                <w:color w:val="auto"/>
              </w:rPr>
            </w:pPr>
            <w:r>
              <w:rPr>
                <w:rFonts w:ascii="Arial" w:cs="Arial" w:eastAsia="Arial" w:hAnsi="Arial"/>
                <w:sz w:val="18"/>
                <w:szCs w:val="18"/>
                <w:color w:val="auto"/>
              </w:rPr>
              <w:t>(39.8)</w:t>
            </w:r>
          </w:p>
        </w:tc>
        <w:tc>
          <w:tcPr>
            <w:tcW w:w="160" w:type="dxa"/>
            <w:vAlign w:val="bottom"/>
          </w:tcPr>
          <w:p>
            <w:pPr>
              <w:spacing w:after="0"/>
              <w:rPr>
                <w:sz w:val="19"/>
                <w:szCs w:val="19"/>
                <w:color w:val="auto"/>
              </w:rPr>
            </w:pPr>
          </w:p>
        </w:tc>
        <w:tc>
          <w:tcPr>
            <w:tcW w:w="640" w:type="dxa"/>
            <w:vAlign w:val="bottom"/>
          </w:tcPr>
          <w:p>
            <w:pPr>
              <w:jc w:val="right"/>
              <w:ind w:right="11"/>
              <w:spacing w:after="0"/>
              <w:rPr>
                <w:sz w:val="20"/>
                <w:szCs w:val="20"/>
                <w:color w:val="auto"/>
              </w:rPr>
            </w:pPr>
            <w:r>
              <w:rPr>
                <w:rFonts w:ascii="Arial" w:cs="Arial" w:eastAsia="Arial" w:hAnsi="Arial"/>
                <w:sz w:val="18"/>
                <w:szCs w:val="18"/>
                <w:color w:val="auto"/>
              </w:rPr>
              <w:t>—</w:t>
            </w:r>
          </w:p>
        </w:tc>
        <w:tc>
          <w:tcPr>
            <w:tcW w:w="420" w:type="dxa"/>
            <w:vAlign w:val="bottom"/>
            <w:vMerge w:val="continue"/>
          </w:tcPr>
          <w:p>
            <w:pPr>
              <w:spacing w:after="0"/>
              <w:rPr>
                <w:sz w:val="19"/>
                <w:szCs w:val="19"/>
                <w:color w:val="auto"/>
              </w:rPr>
            </w:pPr>
          </w:p>
        </w:tc>
        <w:tc>
          <w:tcPr>
            <w:tcW w:w="2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105.9</w:t>
            </w:r>
          </w:p>
        </w:tc>
        <w:tc>
          <w:tcPr>
            <w:tcW w:w="12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4240" w:type="dxa"/>
            <w:vAlign w:val="bottom"/>
            <w:shd w:val="clear" w:color="auto" w:fill="CCEEFF"/>
          </w:tcPr>
          <w:p>
            <w:pPr>
              <w:spacing w:after="0"/>
              <w:rPr>
                <w:sz w:val="20"/>
                <w:szCs w:val="20"/>
                <w:color w:val="auto"/>
              </w:rPr>
            </w:pPr>
            <w:r>
              <w:rPr>
                <w:rFonts w:ascii="Arial" w:cs="Arial" w:eastAsia="Arial" w:hAnsi="Arial"/>
                <w:sz w:val="18"/>
                <w:szCs w:val="18"/>
                <w:color w:val="auto"/>
              </w:rPr>
              <w:t>Long-term debt</w:t>
            </w:r>
          </w:p>
        </w:tc>
        <w:tc>
          <w:tcPr>
            <w:tcW w:w="9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473.4</w:t>
            </w:r>
          </w:p>
        </w:tc>
        <w:tc>
          <w:tcPr>
            <w:tcW w:w="120" w:type="dxa"/>
            <w:vAlign w:val="bottom"/>
            <w:shd w:val="clear" w:color="auto" w:fill="CCEEFF"/>
          </w:tcPr>
          <w:p>
            <w:pPr>
              <w:spacing w:after="0"/>
              <w:rPr>
                <w:sz w:val="18"/>
                <w:szCs w:val="18"/>
                <w:color w:val="auto"/>
              </w:rPr>
            </w:pPr>
          </w:p>
        </w:tc>
        <w:tc>
          <w:tcPr>
            <w:tcW w:w="2120" w:type="dxa"/>
            <w:vAlign w:val="bottom"/>
            <w:gridSpan w:val="2"/>
            <w:shd w:val="clear" w:color="auto" w:fill="CCEEFF"/>
          </w:tcPr>
          <w:p>
            <w:pPr>
              <w:jc w:val="right"/>
              <w:ind w:right="1280"/>
              <w:spacing w:after="0"/>
              <w:rPr>
                <w:sz w:val="20"/>
                <w:szCs w:val="20"/>
                <w:color w:val="auto"/>
              </w:rPr>
            </w:pPr>
            <w:r>
              <w:rPr>
                <w:rFonts w:ascii="Arial" w:cs="Arial" w:eastAsia="Arial" w:hAnsi="Arial"/>
                <w:sz w:val="18"/>
                <w:szCs w:val="18"/>
                <w:color w:val="auto"/>
              </w:rPr>
              <w:t>465.7(b)</w:t>
            </w:r>
          </w:p>
        </w:tc>
        <w:tc>
          <w:tcPr>
            <w:tcW w:w="16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52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939.1</w:t>
            </w:r>
          </w:p>
        </w:tc>
        <w:tc>
          <w:tcPr>
            <w:tcW w:w="0" w:type="dxa"/>
            <w:vAlign w:val="bottom"/>
          </w:tcPr>
          <w:p>
            <w:pPr>
              <w:spacing w:after="0"/>
              <w:rPr>
                <w:sz w:val="1"/>
                <w:szCs w:val="1"/>
                <w:color w:val="auto"/>
              </w:rPr>
            </w:pPr>
          </w:p>
        </w:tc>
      </w:tr>
      <w:tr>
        <w:trPr>
          <w:trHeight w:val="216"/>
        </w:trPr>
        <w:tc>
          <w:tcPr>
            <w:tcW w:w="4240" w:type="dxa"/>
            <w:vAlign w:val="bottom"/>
          </w:tcPr>
          <w:p>
            <w:pPr>
              <w:spacing w:after="0"/>
              <w:rPr>
                <w:sz w:val="20"/>
                <w:szCs w:val="20"/>
                <w:color w:val="auto"/>
              </w:rPr>
            </w:pPr>
            <w:r>
              <w:rPr>
                <w:rFonts w:ascii="Arial" w:cs="Arial" w:eastAsia="Arial" w:hAnsi="Arial"/>
                <w:sz w:val="18"/>
                <w:szCs w:val="18"/>
                <w:color w:val="auto"/>
              </w:rPr>
              <w:t>Deferred income taxes</w:t>
            </w: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60" w:type="dxa"/>
            <w:vAlign w:val="bottom"/>
            <w:gridSpan w:val="2"/>
          </w:tcPr>
          <w:p>
            <w:pPr>
              <w:jc w:val="right"/>
              <w:ind w:right="460"/>
              <w:spacing w:after="0"/>
              <w:rPr>
                <w:sz w:val="20"/>
                <w:szCs w:val="20"/>
                <w:color w:val="auto"/>
              </w:rPr>
            </w:pPr>
            <w:r>
              <w:rPr>
                <w:rFonts w:ascii="Arial" w:cs="Arial" w:eastAsia="Arial" w:hAnsi="Arial"/>
                <w:sz w:val="18"/>
                <w:szCs w:val="18"/>
                <w:color w:val="auto"/>
              </w:rPr>
              <w:t>8.5</w:t>
            </w:r>
          </w:p>
        </w:tc>
        <w:tc>
          <w:tcPr>
            <w:tcW w:w="120" w:type="dxa"/>
            <w:vAlign w:val="bottom"/>
          </w:tcPr>
          <w:p>
            <w:pPr>
              <w:spacing w:after="0"/>
              <w:rPr>
                <w:sz w:val="18"/>
                <w:szCs w:val="18"/>
                <w:color w:val="auto"/>
              </w:rPr>
            </w:pPr>
          </w:p>
        </w:tc>
        <w:tc>
          <w:tcPr>
            <w:tcW w:w="2120" w:type="dxa"/>
            <w:vAlign w:val="bottom"/>
            <w:gridSpan w:val="2"/>
          </w:tcPr>
          <w:p>
            <w:pPr>
              <w:jc w:val="right"/>
              <w:ind w:right="1280"/>
              <w:spacing w:after="0"/>
              <w:rPr>
                <w:sz w:val="20"/>
                <w:szCs w:val="20"/>
                <w:color w:val="auto"/>
              </w:rPr>
            </w:pPr>
            <w:r>
              <w:rPr>
                <w:rFonts w:ascii="Arial" w:cs="Arial" w:eastAsia="Arial" w:hAnsi="Arial"/>
                <w:sz w:val="18"/>
                <w:szCs w:val="18"/>
                <w:color w:val="auto"/>
              </w:rPr>
              <w:t>4.5(d)</w:t>
            </w:r>
          </w:p>
        </w:tc>
        <w:tc>
          <w:tcPr>
            <w:tcW w:w="160" w:type="dxa"/>
            <w:vAlign w:val="bottom"/>
          </w:tcPr>
          <w:p>
            <w:pPr>
              <w:spacing w:after="0"/>
              <w:rPr>
                <w:sz w:val="18"/>
                <w:szCs w:val="18"/>
                <w:color w:val="auto"/>
              </w:rPr>
            </w:pPr>
          </w:p>
        </w:tc>
        <w:tc>
          <w:tcPr>
            <w:tcW w:w="1060" w:type="dxa"/>
            <w:vAlign w:val="bottom"/>
            <w:gridSpan w:val="2"/>
          </w:tcPr>
          <w:p>
            <w:pPr>
              <w:jc w:val="right"/>
              <w:ind w:right="200"/>
              <w:spacing w:after="0"/>
              <w:rPr>
                <w:sz w:val="20"/>
                <w:szCs w:val="20"/>
                <w:color w:val="auto"/>
              </w:rPr>
            </w:pPr>
            <w:r>
              <w:rPr>
                <w:rFonts w:ascii="Arial" w:cs="Arial" w:eastAsia="Arial" w:hAnsi="Arial"/>
                <w:sz w:val="18"/>
                <w:szCs w:val="18"/>
                <w:color w:val="auto"/>
              </w:rPr>
              <w:t>(5.0)(l)</w:t>
            </w: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0" w:type="dxa"/>
            <w:vAlign w:val="bottom"/>
            <w:gridSpan w:val="2"/>
          </w:tcPr>
          <w:p>
            <w:pPr>
              <w:jc w:val="right"/>
              <w:ind w:right="120"/>
              <w:spacing w:after="0"/>
              <w:rPr>
                <w:sz w:val="20"/>
                <w:szCs w:val="20"/>
                <w:color w:val="auto"/>
              </w:rPr>
            </w:pPr>
            <w:r>
              <w:rPr>
                <w:rFonts w:ascii="Arial" w:cs="Arial" w:eastAsia="Arial" w:hAnsi="Arial"/>
                <w:sz w:val="18"/>
                <w:szCs w:val="18"/>
                <w:color w:val="auto"/>
              </w:rPr>
              <w:t>8.0</w:t>
            </w:r>
          </w:p>
        </w:tc>
        <w:tc>
          <w:tcPr>
            <w:tcW w:w="0" w:type="dxa"/>
            <w:vAlign w:val="bottom"/>
          </w:tcPr>
          <w:p>
            <w:pPr>
              <w:spacing w:after="0"/>
              <w:rPr>
                <w:sz w:val="1"/>
                <w:szCs w:val="1"/>
                <w:color w:val="auto"/>
              </w:rPr>
            </w:pPr>
          </w:p>
        </w:tc>
      </w:tr>
      <w:tr>
        <w:trPr>
          <w:trHeight w:val="216"/>
        </w:trPr>
        <w:tc>
          <w:tcPr>
            <w:tcW w:w="4240" w:type="dxa"/>
            <w:vAlign w:val="bottom"/>
            <w:shd w:val="clear" w:color="auto" w:fill="CCEEFF"/>
          </w:tcPr>
          <w:p>
            <w:pPr>
              <w:spacing w:after="0"/>
              <w:rPr>
                <w:sz w:val="20"/>
                <w:szCs w:val="20"/>
                <w:color w:val="auto"/>
              </w:rPr>
            </w:pPr>
            <w:r>
              <w:rPr>
                <w:rFonts w:ascii="Arial" w:cs="Arial" w:eastAsia="Arial" w:hAnsi="Arial"/>
                <w:sz w:val="18"/>
                <w:szCs w:val="18"/>
                <w:color w:val="auto"/>
              </w:rPr>
              <w:t>Other liabilities</w:t>
            </w:r>
          </w:p>
        </w:tc>
        <w:tc>
          <w:tcPr>
            <w:tcW w:w="9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19.9</w:t>
            </w:r>
          </w:p>
        </w:tc>
        <w:tc>
          <w:tcPr>
            <w:tcW w:w="120" w:type="dxa"/>
            <w:vAlign w:val="bottom"/>
            <w:shd w:val="clear" w:color="auto" w:fill="CCEEFF"/>
          </w:tcPr>
          <w:p>
            <w:pPr>
              <w:spacing w:after="0"/>
              <w:rPr>
                <w:sz w:val="18"/>
                <w:szCs w:val="18"/>
                <w:color w:val="auto"/>
              </w:rPr>
            </w:pPr>
          </w:p>
        </w:tc>
        <w:tc>
          <w:tcPr>
            <w:tcW w:w="2120" w:type="dxa"/>
            <w:vAlign w:val="bottom"/>
            <w:gridSpan w:val="2"/>
            <w:shd w:val="clear" w:color="auto" w:fill="CCEEFF"/>
          </w:tcPr>
          <w:p>
            <w:pPr>
              <w:jc w:val="right"/>
              <w:ind w:right="1220"/>
              <w:spacing w:after="0"/>
              <w:rPr>
                <w:sz w:val="20"/>
                <w:szCs w:val="20"/>
                <w:color w:val="auto"/>
              </w:rPr>
            </w:pPr>
            <w:r>
              <w:rPr>
                <w:rFonts w:ascii="Arial" w:cs="Arial" w:eastAsia="Arial" w:hAnsi="Arial"/>
                <w:sz w:val="18"/>
                <w:szCs w:val="18"/>
                <w:color w:val="auto"/>
              </w:rPr>
              <w:t>(10.2)(c)</w:t>
            </w:r>
          </w:p>
        </w:tc>
        <w:tc>
          <w:tcPr>
            <w:tcW w:w="16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52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9.7</w:t>
            </w:r>
          </w:p>
        </w:tc>
        <w:tc>
          <w:tcPr>
            <w:tcW w:w="0" w:type="dxa"/>
            <w:vAlign w:val="bottom"/>
          </w:tcPr>
          <w:p>
            <w:pPr>
              <w:spacing w:after="0"/>
              <w:rPr>
                <w:sz w:val="1"/>
                <w:szCs w:val="1"/>
                <w:color w:val="auto"/>
              </w:rPr>
            </w:pPr>
          </w:p>
        </w:tc>
      </w:tr>
      <w:tr>
        <w:trPr>
          <w:trHeight w:val="20"/>
        </w:trPr>
        <w:tc>
          <w:tcPr>
            <w:tcW w:w="4240" w:type="dxa"/>
            <w:vAlign w:val="bottom"/>
            <w:vMerge w:val="restart"/>
          </w:tcPr>
          <w:p>
            <w:pPr>
              <w:ind w:left="720"/>
              <w:spacing w:after="0"/>
              <w:rPr>
                <w:sz w:val="20"/>
                <w:szCs w:val="20"/>
                <w:color w:val="auto"/>
              </w:rPr>
            </w:pPr>
            <w:r>
              <w:rPr>
                <w:rFonts w:ascii="Arial" w:cs="Arial" w:eastAsia="Arial" w:hAnsi="Arial"/>
                <w:sz w:val="18"/>
                <w:szCs w:val="18"/>
                <w:b w:val="1"/>
                <w:bCs w:val="1"/>
                <w:color w:val="auto"/>
              </w:rPr>
              <w:t>Total Liabilities</w:t>
            </w:r>
          </w:p>
        </w:tc>
        <w:tc>
          <w:tcPr>
            <w:tcW w:w="9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460" w:type="dxa"/>
            <w:vAlign w:val="bottom"/>
            <w:vMerge w:val="restart"/>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1480" w:type="dxa"/>
            <w:vAlign w:val="bottom"/>
            <w:vMerge w:val="restart"/>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1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4240" w:type="dxa"/>
            <w:vAlign w:val="bottom"/>
            <w:vMerge w:val="continue"/>
          </w:tcPr>
          <w:p>
            <w:pPr>
              <w:spacing w:after="0"/>
              <w:rPr>
                <w:sz w:val="19"/>
                <w:szCs w:val="19"/>
                <w:color w:val="auto"/>
              </w:rPr>
            </w:pPr>
          </w:p>
        </w:tc>
        <w:tc>
          <w:tcPr>
            <w:tcW w:w="9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647.5</w:t>
            </w:r>
          </w:p>
        </w:tc>
        <w:tc>
          <w:tcPr>
            <w:tcW w:w="460" w:type="dxa"/>
            <w:vAlign w:val="bottom"/>
            <w:vMerge w:val="continue"/>
          </w:tcPr>
          <w:p>
            <w:pPr>
              <w:spacing w:after="0"/>
              <w:rPr>
                <w:sz w:val="19"/>
                <w:szCs w:val="19"/>
                <w:color w:val="auto"/>
              </w:rPr>
            </w:pPr>
          </w:p>
        </w:tc>
        <w:tc>
          <w:tcPr>
            <w:tcW w:w="12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420.2</w:t>
            </w:r>
          </w:p>
        </w:tc>
        <w:tc>
          <w:tcPr>
            <w:tcW w:w="1480" w:type="dxa"/>
            <w:vAlign w:val="bottom"/>
            <w:vMerge w:val="continue"/>
          </w:tcPr>
          <w:p>
            <w:pPr>
              <w:spacing w:after="0"/>
              <w:rPr>
                <w:sz w:val="19"/>
                <w:szCs w:val="19"/>
                <w:color w:val="auto"/>
              </w:rPr>
            </w:pPr>
          </w:p>
        </w:tc>
        <w:tc>
          <w:tcPr>
            <w:tcW w:w="160" w:type="dxa"/>
            <w:vAlign w:val="bottom"/>
          </w:tcPr>
          <w:p>
            <w:pPr>
              <w:spacing w:after="0"/>
              <w:rPr>
                <w:sz w:val="19"/>
                <w:szCs w:val="19"/>
                <w:color w:val="auto"/>
              </w:rPr>
            </w:pPr>
          </w:p>
        </w:tc>
        <w:tc>
          <w:tcPr>
            <w:tcW w:w="1060" w:type="dxa"/>
            <w:vAlign w:val="bottom"/>
            <w:gridSpan w:val="2"/>
          </w:tcPr>
          <w:p>
            <w:pPr>
              <w:jc w:val="right"/>
              <w:ind w:right="360"/>
              <w:spacing w:after="0"/>
              <w:rPr>
                <w:sz w:val="20"/>
                <w:szCs w:val="20"/>
                <w:color w:val="auto"/>
              </w:rPr>
            </w:pPr>
            <w:r>
              <w:rPr>
                <w:rFonts w:ascii="Arial" w:cs="Arial" w:eastAsia="Arial" w:hAnsi="Arial"/>
                <w:sz w:val="18"/>
                <w:szCs w:val="18"/>
                <w:color w:val="auto"/>
              </w:rPr>
              <w:t>(5.0)</w:t>
            </w:r>
          </w:p>
        </w:tc>
        <w:tc>
          <w:tcPr>
            <w:tcW w:w="2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1,062.7</w:t>
            </w:r>
          </w:p>
        </w:tc>
        <w:tc>
          <w:tcPr>
            <w:tcW w:w="12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4240" w:type="dxa"/>
            <w:vAlign w:val="bottom"/>
            <w:shd w:val="clear" w:color="auto" w:fill="CCEEFF"/>
          </w:tcPr>
          <w:p>
            <w:pPr>
              <w:spacing w:after="0"/>
              <w:rPr>
                <w:sz w:val="20"/>
                <w:szCs w:val="20"/>
                <w:color w:val="auto"/>
              </w:rPr>
            </w:pPr>
            <w:r>
              <w:rPr>
                <w:rFonts w:ascii="Arial" w:cs="Arial" w:eastAsia="Arial" w:hAnsi="Arial"/>
                <w:sz w:val="18"/>
                <w:szCs w:val="18"/>
                <w:color w:val="auto"/>
              </w:rPr>
              <w:t>Redeemable noncontrolling interest</w:t>
            </w:r>
          </w:p>
        </w:tc>
        <w:tc>
          <w:tcPr>
            <w:tcW w:w="9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2,780.9</w:t>
            </w:r>
          </w:p>
        </w:tc>
        <w:tc>
          <w:tcPr>
            <w:tcW w:w="120" w:type="dxa"/>
            <w:vAlign w:val="bottom"/>
            <w:shd w:val="clear" w:color="auto" w:fill="CCEEFF"/>
          </w:tcPr>
          <w:p>
            <w:pPr>
              <w:spacing w:after="0"/>
              <w:rPr>
                <w:sz w:val="18"/>
                <w:szCs w:val="18"/>
                <w:color w:val="auto"/>
              </w:rPr>
            </w:pPr>
          </w:p>
        </w:tc>
        <w:tc>
          <w:tcPr>
            <w:tcW w:w="2120" w:type="dxa"/>
            <w:vAlign w:val="bottom"/>
            <w:gridSpan w:val="2"/>
            <w:shd w:val="clear" w:color="auto" w:fill="CCEEFF"/>
          </w:tcPr>
          <w:p>
            <w:pPr>
              <w:jc w:val="right"/>
              <w:ind w:right="1220"/>
              <w:spacing w:after="0"/>
              <w:rPr>
                <w:sz w:val="20"/>
                <w:szCs w:val="20"/>
                <w:color w:val="auto"/>
              </w:rPr>
            </w:pPr>
            <w:r>
              <w:rPr>
                <w:rFonts w:ascii="Arial" w:cs="Arial" w:eastAsia="Arial" w:hAnsi="Arial"/>
                <w:sz w:val="18"/>
                <w:szCs w:val="18"/>
                <w:color w:val="auto"/>
                <w:w w:val="93"/>
              </w:rPr>
              <w:t>(2,780.9)(e)</w:t>
            </w:r>
          </w:p>
        </w:tc>
        <w:tc>
          <w:tcPr>
            <w:tcW w:w="16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52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4240" w:type="dxa"/>
            <w:vAlign w:val="bottom"/>
          </w:tcPr>
          <w:p>
            <w:pPr>
              <w:spacing w:after="0"/>
              <w:rPr>
                <w:sz w:val="20"/>
                <w:szCs w:val="20"/>
                <w:color w:val="auto"/>
              </w:rPr>
            </w:pPr>
            <w:r>
              <w:rPr>
                <w:rFonts w:ascii="Arial" w:cs="Arial" w:eastAsia="Arial" w:hAnsi="Arial"/>
                <w:sz w:val="18"/>
                <w:szCs w:val="18"/>
                <w:b w:val="1"/>
                <w:bCs w:val="1"/>
                <w:color w:val="auto"/>
              </w:rPr>
              <w:t>Stockholders’ Deficit</w:t>
            </w: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240" w:type="dxa"/>
            <w:vAlign w:val="bottom"/>
            <w:shd w:val="clear" w:color="auto" w:fill="CCEEFF"/>
          </w:tcPr>
          <w:p>
            <w:pPr>
              <w:ind w:left="360"/>
              <w:spacing w:after="0"/>
              <w:rPr>
                <w:sz w:val="20"/>
                <w:szCs w:val="20"/>
                <w:color w:val="auto"/>
              </w:rPr>
            </w:pPr>
            <w:r>
              <w:rPr>
                <w:rFonts w:ascii="Arial" w:cs="Arial" w:eastAsia="Arial" w:hAnsi="Arial"/>
                <w:sz w:val="18"/>
                <w:szCs w:val="18"/>
                <w:color w:val="auto"/>
              </w:rPr>
              <w:t>Preferred stock</w:t>
            </w:r>
          </w:p>
        </w:tc>
        <w:tc>
          <w:tcPr>
            <w:tcW w:w="9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54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2120" w:type="dxa"/>
            <w:vAlign w:val="bottom"/>
            <w:gridSpan w:val="2"/>
            <w:shd w:val="clear" w:color="auto" w:fill="CCEEFF"/>
          </w:tcPr>
          <w:p>
            <w:pPr>
              <w:jc w:val="right"/>
              <w:ind w:right="158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52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4240" w:type="dxa"/>
            <w:vAlign w:val="bottom"/>
          </w:tcPr>
          <w:p>
            <w:pPr>
              <w:ind w:left="360"/>
              <w:spacing w:after="0"/>
              <w:rPr>
                <w:sz w:val="20"/>
                <w:szCs w:val="20"/>
                <w:color w:val="auto"/>
              </w:rPr>
            </w:pPr>
            <w:r>
              <w:rPr>
                <w:rFonts w:ascii="Arial" w:cs="Arial" w:eastAsia="Arial" w:hAnsi="Arial"/>
                <w:sz w:val="18"/>
                <w:szCs w:val="18"/>
                <w:color w:val="auto"/>
              </w:rPr>
              <w:t>Common stock</w:t>
            </w: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60" w:type="dxa"/>
            <w:vAlign w:val="bottom"/>
            <w:gridSpan w:val="2"/>
          </w:tcPr>
          <w:p>
            <w:pPr>
              <w:jc w:val="right"/>
              <w:ind w:right="460"/>
              <w:spacing w:after="0"/>
              <w:rPr>
                <w:sz w:val="20"/>
                <w:szCs w:val="20"/>
                <w:color w:val="auto"/>
              </w:rPr>
            </w:pPr>
            <w:r>
              <w:rPr>
                <w:rFonts w:ascii="Arial" w:cs="Arial" w:eastAsia="Arial" w:hAnsi="Arial"/>
                <w:sz w:val="18"/>
                <w:szCs w:val="18"/>
                <w:color w:val="auto"/>
              </w:rPr>
              <w:t>0.4</w:t>
            </w:r>
          </w:p>
        </w:tc>
        <w:tc>
          <w:tcPr>
            <w:tcW w:w="120" w:type="dxa"/>
            <w:vAlign w:val="bottom"/>
          </w:tcPr>
          <w:p>
            <w:pPr>
              <w:spacing w:after="0"/>
              <w:rPr>
                <w:sz w:val="18"/>
                <w:szCs w:val="18"/>
                <w:color w:val="auto"/>
              </w:rPr>
            </w:pPr>
          </w:p>
        </w:tc>
        <w:tc>
          <w:tcPr>
            <w:tcW w:w="2120" w:type="dxa"/>
            <w:vAlign w:val="bottom"/>
            <w:gridSpan w:val="2"/>
          </w:tcPr>
          <w:p>
            <w:pPr>
              <w:jc w:val="right"/>
              <w:ind w:right="1300"/>
              <w:spacing w:after="0"/>
              <w:rPr>
                <w:sz w:val="20"/>
                <w:szCs w:val="20"/>
                <w:color w:val="auto"/>
              </w:rPr>
            </w:pPr>
            <w:r>
              <w:rPr>
                <w:rFonts w:ascii="Arial" w:cs="Arial" w:eastAsia="Arial" w:hAnsi="Arial"/>
                <w:sz w:val="18"/>
                <w:szCs w:val="18"/>
                <w:color w:val="auto"/>
              </w:rPr>
              <w:t>1.0(f)</w:t>
            </w:r>
          </w:p>
        </w:tc>
        <w:tc>
          <w:tcPr>
            <w:tcW w:w="160" w:type="dxa"/>
            <w:vAlign w:val="bottom"/>
          </w:tcPr>
          <w:p>
            <w:pPr>
              <w:spacing w:after="0"/>
              <w:rPr>
                <w:sz w:val="18"/>
                <w:szCs w:val="18"/>
                <w:color w:val="auto"/>
              </w:rPr>
            </w:pPr>
          </w:p>
        </w:tc>
        <w:tc>
          <w:tcPr>
            <w:tcW w:w="1060" w:type="dxa"/>
            <w:vAlign w:val="bottom"/>
            <w:gridSpan w:val="2"/>
          </w:tcPr>
          <w:p>
            <w:pPr>
              <w:jc w:val="right"/>
              <w:ind w:right="52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0" w:type="dxa"/>
            <w:vAlign w:val="bottom"/>
            <w:gridSpan w:val="2"/>
          </w:tcPr>
          <w:p>
            <w:pPr>
              <w:jc w:val="right"/>
              <w:ind w:right="120"/>
              <w:spacing w:after="0"/>
              <w:rPr>
                <w:sz w:val="20"/>
                <w:szCs w:val="20"/>
                <w:color w:val="auto"/>
              </w:rPr>
            </w:pPr>
            <w:r>
              <w:rPr>
                <w:rFonts w:ascii="Arial" w:cs="Arial" w:eastAsia="Arial" w:hAnsi="Arial"/>
                <w:sz w:val="18"/>
                <w:szCs w:val="18"/>
                <w:color w:val="auto"/>
              </w:rPr>
              <w:t>1.4</w:t>
            </w:r>
          </w:p>
        </w:tc>
        <w:tc>
          <w:tcPr>
            <w:tcW w:w="0" w:type="dxa"/>
            <w:vAlign w:val="bottom"/>
          </w:tcPr>
          <w:p>
            <w:pPr>
              <w:spacing w:after="0"/>
              <w:rPr>
                <w:sz w:val="1"/>
                <w:szCs w:val="1"/>
                <w:color w:val="auto"/>
              </w:rPr>
            </w:pPr>
          </w:p>
        </w:tc>
      </w:tr>
      <w:tr>
        <w:trPr>
          <w:trHeight w:val="216"/>
        </w:trPr>
        <w:tc>
          <w:tcPr>
            <w:tcW w:w="4240" w:type="dxa"/>
            <w:vAlign w:val="bottom"/>
            <w:shd w:val="clear" w:color="auto" w:fill="CCEEFF"/>
          </w:tcPr>
          <w:p>
            <w:pPr>
              <w:spacing w:after="0"/>
              <w:rPr>
                <w:sz w:val="20"/>
                <w:szCs w:val="20"/>
                <w:color w:val="auto"/>
              </w:rPr>
            </w:pPr>
            <w:r>
              <w:rPr>
                <w:rFonts w:ascii="Arial" w:cs="Arial" w:eastAsia="Arial" w:hAnsi="Arial"/>
                <w:sz w:val="18"/>
                <w:szCs w:val="18"/>
                <w:color w:val="auto"/>
              </w:rPr>
              <w:t>Accumulated deficit</w:t>
            </w:r>
          </w:p>
        </w:tc>
        <w:tc>
          <w:tcPr>
            <w:tcW w:w="9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(2,806.6)</w:t>
            </w:r>
          </w:p>
        </w:tc>
        <w:tc>
          <w:tcPr>
            <w:tcW w:w="120" w:type="dxa"/>
            <w:vAlign w:val="bottom"/>
            <w:shd w:val="clear" w:color="auto" w:fill="CCEEFF"/>
          </w:tcPr>
          <w:p>
            <w:pPr>
              <w:spacing w:after="0"/>
              <w:rPr>
                <w:sz w:val="18"/>
                <w:szCs w:val="18"/>
                <w:color w:val="auto"/>
              </w:rPr>
            </w:pPr>
          </w:p>
        </w:tc>
        <w:tc>
          <w:tcPr>
            <w:tcW w:w="212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w w:val="93"/>
              </w:rPr>
              <w:t>2,358.2(a,b,c,d,e,f,g,h)</w:t>
            </w:r>
          </w:p>
        </w:tc>
        <w:tc>
          <w:tcPr>
            <w:tcW w:w="16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5.0(l)</w:t>
            </w:r>
          </w:p>
        </w:tc>
        <w:tc>
          <w:tcPr>
            <w:tcW w:w="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(443.4)</w:t>
            </w:r>
          </w:p>
        </w:tc>
        <w:tc>
          <w:tcPr>
            <w:tcW w:w="0" w:type="dxa"/>
            <w:vAlign w:val="bottom"/>
          </w:tcPr>
          <w:p>
            <w:pPr>
              <w:spacing w:after="0"/>
              <w:rPr>
                <w:sz w:val="1"/>
                <w:szCs w:val="1"/>
                <w:color w:val="auto"/>
              </w:rPr>
            </w:pPr>
          </w:p>
        </w:tc>
      </w:tr>
      <w:tr>
        <w:trPr>
          <w:trHeight w:val="216"/>
        </w:trPr>
        <w:tc>
          <w:tcPr>
            <w:tcW w:w="4240" w:type="dxa"/>
            <w:vAlign w:val="bottom"/>
          </w:tcPr>
          <w:p>
            <w:pPr>
              <w:spacing w:after="0"/>
              <w:rPr>
                <w:sz w:val="20"/>
                <w:szCs w:val="20"/>
                <w:color w:val="auto"/>
              </w:rPr>
            </w:pPr>
            <w:r>
              <w:rPr>
                <w:rFonts w:ascii="Arial" w:cs="Arial" w:eastAsia="Arial" w:hAnsi="Arial"/>
                <w:sz w:val="18"/>
                <w:szCs w:val="18"/>
                <w:color w:val="auto"/>
              </w:rPr>
              <w:t>Accumulated other comprehensive loss</w:t>
            </w: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60" w:type="dxa"/>
            <w:vAlign w:val="bottom"/>
            <w:gridSpan w:val="2"/>
          </w:tcPr>
          <w:p>
            <w:pPr>
              <w:jc w:val="right"/>
              <w:ind w:right="400"/>
              <w:spacing w:after="0"/>
              <w:rPr>
                <w:sz w:val="20"/>
                <w:szCs w:val="20"/>
                <w:color w:val="auto"/>
              </w:rPr>
            </w:pPr>
            <w:r>
              <w:rPr>
                <w:rFonts w:ascii="Arial" w:cs="Arial" w:eastAsia="Arial" w:hAnsi="Arial"/>
                <w:sz w:val="18"/>
                <w:szCs w:val="18"/>
                <w:color w:val="auto"/>
              </w:rPr>
              <w:t>(3.5)</w:t>
            </w:r>
          </w:p>
        </w:tc>
        <w:tc>
          <w:tcPr>
            <w:tcW w:w="120" w:type="dxa"/>
            <w:vAlign w:val="bottom"/>
          </w:tcPr>
          <w:p>
            <w:pPr>
              <w:spacing w:after="0"/>
              <w:rPr>
                <w:sz w:val="18"/>
                <w:szCs w:val="18"/>
                <w:color w:val="auto"/>
              </w:rPr>
            </w:pPr>
          </w:p>
        </w:tc>
        <w:tc>
          <w:tcPr>
            <w:tcW w:w="2120" w:type="dxa"/>
            <w:vAlign w:val="bottom"/>
            <w:gridSpan w:val="2"/>
          </w:tcPr>
          <w:p>
            <w:pPr>
              <w:jc w:val="right"/>
              <w:ind w:right="1280"/>
              <w:spacing w:after="0"/>
              <w:rPr>
                <w:sz w:val="20"/>
                <w:szCs w:val="20"/>
                <w:color w:val="auto"/>
              </w:rPr>
            </w:pPr>
            <w:r>
              <w:rPr>
                <w:rFonts w:ascii="Arial" w:cs="Arial" w:eastAsia="Arial" w:hAnsi="Arial"/>
                <w:sz w:val="18"/>
                <w:szCs w:val="18"/>
                <w:color w:val="auto"/>
              </w:rPr>
              <w:t>1.4(g)</w:t>
            </w:r>
          </w:p>
        </w:tc>
        <w:tc>
          <w:tcPr>
            <w:tcW w:w="160" w:type="dxa"/>
            <w:vAlign w:val="bottom"/>
          </w:tcPr>
          <w:p>
            <w:pPr>
              <w:spacing w:after="0"/>
              <w:rPr>
                <w:sz w:val="18"/>
                <w:szCs w:val="18"/>
                <w:color w:val="auto"/>
              </w:rPr>
            </w:pPr>
          </w:p>
        </w:tc>
        <w:tc>
          <w:tcPr>
            <w:tcW w:w="1060" w:type="dxa"/>
            <w:vAlign w:val="bottom"/>
            <w:gridSpan w:val="2"/>
          </w:tcPr>
          <w:p>
            <w:pPr>
              <w:jc w:val="right"/>
              <w:ind w:right="52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0" w:type="dxa"/>
            <w:vAlign w:val="bottom"/>
            <w:gridSpan w:val="2"/>
          </w:tcPr>
          <w:p>
            <w:pPr>
              <w:jc w:val="right"/>
              <w:ind w:right="60"/>
              <w:spacing w:after="0"/>
              <w:rPr>
                <w:sz w:val="20"/>
                <w:szCs w:val="20"/>
                <w:color w:val="auto"/>
              </w:rPr>
            </w:pPr>
            <w:r>
              <w:rPr>
                <w:rFonts w:ascii="Arial" w:cs="Arial" w:eastAsia="Arial" w:hAnsi="Arial"/>
                <w:sz w:val="18"/>
                <w:szCs w:val="18"/>
                <w:color w:val="auto"/>
              </w:rPr>
              <w:t>(2.1)</w:t>
            </w:r>
          </w:p>
        </w:tc>
        <w:tc>
          <w:tcPr>
            <w:tcW w:w="0" w:type="dxa"/>
            <w:vAlign w:val="bottom"/>
          </w:tcPr>
          <w:p>
            <w:pPr>
              <w:spacing w:after="0"/>
              <w:rPr>
                <w:sz w:val="1"/>
                <w:szCs w:val="1"/>
                <w:color w:val="auto"/>
              </w:rPr>
            </w:pPr>
          </w:p>
        </w:tc>
      </w:tr>
      <w:tr>
        <w:trPr>
          <w:trHeight w:val="216"/>
        </w:trPr>
        <w:tc>
          <w:tcPr>
            <w:tcW w:w="4240" w:type="dxa"/>
            <w:vAlign w:val="bottom"/>
            <w:shd w:val="clear" w:color="auto" w:fill="CCEEFF"/>
          </w:tcPr>
          <w:p>
            <w:pPr>
              <w:spacing w:after="0"/>
              <w:rPr>
                <w:sz w:val="20"/>
                <w:szCs w:val="20"/>
                <w:color w:val="auto"/>
              </w:rPr>
            </w:pPr>
            <w:r>
              <w:rPr>
                <w:rFonts w:ascii="Arial" w:cs="Arial" w:eastAsia="Arial" w:hAnsi="Arial"/>
                <w:sz w:val="18"/>
                <w:szCs w:val="18"/>
                <w:color w:val="auto"/>
              </w:rPr>
              <w:t>Treasury stock, at cost</w:t>
            </w:r>
          </w:p>
        </w:tc>
        <w:tc>
          <w:tcPr>
            <w:tcW w:w="9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(18.1)</w:t>
            </w:r>
          </w:p>
        </w:tc>
        <w:tc>
          <w:tcPr>
            <w:tcW w:w="120" w:type="dxa"/>
            <w:vAlign w:val="bottom"/>
            <w:shd w:val="clear" w:color="auto" w:fill="CCEEFF"/>
          </w:tcPr>
          <w:p>
            <w:pPr>
              <w:spacing w:after="0"/>
              <w:rPr>
                <w:sz w:val="18"/>
                <w:szCs w:val="18"/>
                <w:color w:val="auto"/>
              </w:rPr>
            </w:pPr>
          </w:p>
        </w:tc>
        <w:tc>
          <w:tcPr>
            <w:tcW w:w="2120" w:type="dxa"/>
            <w:vAlign w:val="bottom"/>
            <w:gridSpan w:val="2"/>
            <w:shd w:val="clear" w:color="auto" w:fill="CCEEFF"/>
          </w:tcPr>
          <w:p>
            <w:pPr>
              <w:jc w:val="right"/>
              <w:ind w:right="158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52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(18.1)</w:t>
            </w:r>
          </w:p>
        </w:tc>
        <w:tc>
          <w:tcPr>
            <w:tcW w:w="0" w:type="dxa"/>
            <w:vAlign w:val="bottom"/>
          </w:tcPr>
          <w:p>
            <w:pPr>
              <w:spacing w:after="0"/>
              <w:rPr>
                <w:sz w:val="1"/>
                <w:szCs w:val="1"/>
                <w:color w:val="auto"/>
              </w:rPr>
            </w:pPr>
          </w:p>
        </w:tc>
      </w:tr>
      <w:tr>
        <w:trPr>
          <w:trHeight w:val="230"/>
        </w:trPr>
        <w:tc>
          <w:tcPr>
            <w:tcW w:w="4240" w:type="dxa"/>
            <w:vAlign w:val="bottom"/>
          </w:tcPr>
          <w:p>
            <w:pPr>
              <w:spacing w:after="0"/>
              <w:rPr>
                <w:sz w:val="20"/>
                <w:szCs w:val="20"/>
                <w:color w:val="auto"/>
              </w:rPr>
            </w:pPr>
            <w:r>
              <w:rPr>
                <w:rFonts w:ascii="Arial" w:cs="Arial" w:eastAsia="Arial" w:hAnsi="Arial"/>
                <w:sz w:val="18"/>
                <w:szCs w:val="18"/>
                <w:b w:val="1"/>
                <w:bCs w:val="1"/>
                <w:color w:val="auto"/>
              </w:rPr>
              <w:t>Total Stockholders’ Deficit</w:t>
            </w:r>
          </w:p>
        </w:tc>
        <w:tc>
          <w:tcPr>
            <w:tcW w:w="900" w:type="dxa"/>
            <w:vAlign w:val="bottom"/>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p>
        </w:tc>
        <w:tc>
          <w:tcPr>
            <w:tcW w:w="7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4"/>
              </w:rPr>
              <w:t>(2,827.8)</w:t>
            </w:r>
          </w:p>
        </w:tc>
        <w:tc>
          <w:tcPr>
            <w:tcW w:w="460" w:type="dxa"/>
            <w:vAlign w:val="bottom"/>
          </w:tcPr>
          <w:p>
            <w:pPr>
              <w:spacing w:after="0"/>
              <w:rPr>
                <w:sz w:val="20"/>
                <w:szCs w:val="20"/>
                <w:color w:val="auto"/>
              </w:rPr>
            </w:pPr>
          </w:p>
        </w:tc>
        <w:tc>
          <w:tcPr>
            <w:tcW w:w="120" w:type="dxa"/>
            <w:vAlign w:val="bottom"/>
            <w:tcBorders>
              <w:top w:val="single" w:sz="8" w:color="auto"/>
              <w:bottom w:val="single" w:sz="8" w:color="auto"/>
            </w:tcBorders>
          </w:tcPr>
          <w:p>
            <w:pPr>
              <w:spacing w:after="0"/>
              <w:rPr>
                <w:sz w:val="20"/>
                <w:szCs w:val="20"/>
                <w:color w:val="auto"/>
              </w:rPr>
            </w:pPr>
          </w:p>
        </w:tc>
        <w:tc>
          <w:tcPr>
            <w:tcW w:w="6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2,360.6</w:t>
            </w:r>
          </w:p>
        </w:tc>
        <w:tc>
          <w:tcPr>
            <w:tcW w:w="1480" w:type="dxa"/>
            <w:vAlign w:val="bottom"/>
          </w:tcPr>
          <w:p>
            <w:pPr>
              <w:spacing w:after="0"/>
              <w:rPr>
                <w:sz w:val="20"/>
                <w:szCs w:val="20"/>
                <w:color w:val="auto"/>
              </w:rPr>
            </w:pPr>
          </w:p>
        </w:tc>
        <w:tc>
          <w:tcPr>
            <w:tcW w:w="160" w:type="dxa"/>
            <w:vAlign w:val="bottom"/>
            <w:tcBorders>
              <w:top w:val="single" w:sz="8" w:color="auto"/>
              <w:bottom w:val="single" w:sz="8" w:color="auto"/>
            </w:tcBorders>
          </w:tcPr>
          <w:p>
            <w:pPr>
              <w:spacing w:after="0"/>
              <w:rPr>
                <w:sz w:val="20"/>
                <w:szCs w:val="20"/>
                <w:color w:val="auto"/>
              </w:rPr>
            </w:pPr>
          </w:p>
        </w:tc>
        <w:tc>
          <w:tcPr>
            <w:tcW w:w="6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5.0</w:t>
            </w:r>
          </w:p>
        </w:tc>
        <w:tc>
          <w:tcPr>
            <w:tcW w:w="4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60" w:type="dxa"/>
            <w:vAlign w:val="bottom"/>
            <w:tcBorders>
              <w:top w:val="single" w:sz="8" w:color="auto"/>
              <w:bottom w:val="single" w:sz="8" w:color="auto"/>
            </w:tcBorders>
          </w:tcPr>
          <w:p>
            <w:pPr>
              <w:spacing w:after="0"/>
              <w:rPr>
                <w:sz w:val="20"/>
                <w:szCs w:val="20"/>
                <w:color w:val="auto"/>
              </w:rPr>
            </w:pPr>
          </w:p>
        </w:tc>
        <w:tc>
          <w:tcPr>
            <w:tcW w:w="6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(462.2)</w:t>
            </w: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42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Total Liabilities and Stockholders’ Deficit</w:t>
            </w:r>
          </w:p>
        </w:tc>
        <w:tc>
          <w:tcPr>
            <w:tcW w:w="1000" w:type="dxa"/>
            <w:vAlign w:val="bottom"/>
            <w:gridSpan w:val="2"/>
            <w:shd w:val="clear" w:color="auto" w:fill="CCEEFF"/>
          </w:tcPr>
          <w:p>
            <w:pPr>
              <w:ind w:left="900"/>
              <w:spacing w:after="0"/>
              <w:rPr>
                <w:sz w:val="20"/>
                <w:szCs w:val="20"/>
                <w:color w:val="auto"/>
              </w:rPr>
            </w:pPr>
            <w:r>
              <w:rPr>
                <w:rFonts w:ascii="Arial" w:cs="Arial" w:eastAsia="Arial" w:hAnsi="Arial"/>
                <w:sz w:val="18"/>
                <w:szCs w:val="18"/>
                <w:color w:val="auto"/>
                <w:w w:val="79"/>
              </w:rPr>
              <w:t>$</w:t>
            </w:r>
          </w:p>
        </w:tc>
        <w:tc>
          <w:tcPr>
            <w:tcW w:w="116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600.6</w:t>
            </w:r>
          </w:p>
        </w:tc>
        <w:tc>
          <w:tcPr>
            <w:tcW w:w="120" w:type="dxa"/>
            <w:vAlign w:val="bottom"/>
            <w:shd w:val="clear" w:color="auto" w:fill="CCEEFF"/>
          </w:tcPr>
          <w:p>
            <w:pPr>
              <w:spacing w:after="0"/>
              <w:rPr>
                <w:sz w:val="20"/>
                <w:szCs w:val="20"/>
                <w:color w:val="auto"/>
              </w:rPr>
            </w:pPr>
            <w:r>
              <w:rPr>
                <w:rFonts w:ascii="Arial" w:cs="Arial" w:eastAsia="Arial" w:hAnsi="Arial"/>
                <w:sz w:val="18"/>
                <w:szCs w:val="18"/>
                <w:color w:val="auto"/>
                <w:w w:val="99"/>
              </w:rPr>
              <w:t>$</w:t>
            </w:r>
          </w:p>
        </w:tc>
        <w:tc>
          <w:tcPr>
            <w:tcW w:w="2120" w:type="dxa"/>
            <w:vAlign w:val="bottom"/>
            <w:gridSpan w:val="2"/>
            <w:shd w:val="clear" w:color="auto" w:fill="CCEEFF"/>
          </w:tcPr>
          <w:p>
            <w:pPr>
              <w:jc w:val="right"/>
              <w:ind w:right="1420"/>
              <w:spacing w:after="0"/>
              <w:rPr>
                <w:sz w:val="20"/>
                <w:szCs w:val="20"/>
                <w:color w:val="auto"/>
              </w:rPr>
            </w:pPr>
            <w:r>
              <w:rPr>
                <w:rFonts w:ascii="Arial" w:cs="Arial" w:eastAsia="Arial" w:hAnsi="Arial"/>
                <w:sz w:val="18"/>
                <w:szCs w:val="18"/>
                <w:color w:val="auto"/>
              </w:rPr>
              <w:t>(0.1)</w:t>
            </w:r>
          </w:p>
        </w:tc>
        <w:tc>
          <w:tcPr>
            <w:tcW w:w="16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060" w:type="dxa"/>
            <w:vAlign w:val="bottom"/>
            <w:gridSpan w:val="2"/>
            <w:shd w:val="clear" w:color="auto" w:fill="CCEEFF"/>
          </w:tcPr>
          <w:p>
            <w:pPr>
              <w:jc w:val="right"/>
              <w:ind w:right="520"/>
              <w:spacing w:after="0"/>
              <w:rPr>
                <w:sz w:val="20"/>
                <w:szCs w:val="20"/>
                <w:color w:val="auto"/>
              </w:rPr>
            </w:pPr>
            <w:r>
              <w:rPr>
                <w:rFonts w:ascii="Arial" w:cs="Arial" w:eastAsia="Arial" w:hAnsi="Arial"/>
                <w:sz w:val="18"/>
                <w:szCs w:val="18"/>
                <w:color w:val="auto"/>
              </w:rPr>
              <w:t>—</w:t>
            </w:r>
          </w:p>
        </w:tc>
        <w:tc>
          <w:tcPr>
            <w:tcW w:w="36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w:t>
            </w:r>
          </w:p>
        </w:tc>
        <w:tc>
          <w:tcPr>
            <w:tcW w:w="8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600.5</w:t>
            </w:r>
          </w:p>
        </w:tc>
        <w:tc>
          <w:tcPr>
            <w:tcW w:w="0" w:type="dxa"/>
            <w:vAlign w:val="bottom"/>
          </w:tcPr>
          <w:p>
            <w:pPr>
              <w:spacing w:after="0"/>
              <w:rPr>
                <w:sz w:val="1"/>
                <w:szCs w:val="1"/>
                <w:color w:val="auto"/>
              </w:rPr>
            </w:pPr>
          </w:p>
        </w:tc>
      </w:tr>
      <w:tr>
        <w:trPr>
          <w:trHeight w:val="20"/>
        </w:trPr>
        <w:tc>
          <w:tcPr>
            <w:tcW w:w="424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See accompanying notes to unaudited pro forma combined condensed financial information.</w:t>
      </w:r>
    </w:p>
    <w:p>
      <w:pPr>
        <w:sectPr>
          <w:pgSz w:w="11900" w:h="16838" w:orient="portrait"/>
          <w:cols w:equalWidth="0" w:num="1">
            <w:col w:w="11020"/>
          </w:cols>
          <w:pgMar w:left="440" w:top="270" w:right="439" w:bottom="1440" w:gutter="0" w:footer="0" w:header="0"/>
        </w:sectPr>
      </w:pPr>
    </w:p>
    <w:bookmarkStart w:id="8" w:name="page9"/>
    <w:bookmarkEnd w:id="8"/>
    <w:p>
      <w:pPr>
        <w:ind w:left="2704"/>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74865" cy="38100"/>
                    </a:xfrm>
                    <a:prstGeom prst="rect">
                      <a:avLst/>
                    </a:prstGeom>
                    <a:noFill/>
                  </pic:spPr>
                </pic:pic>
              </a:graphicData>
            </a:graphic>
          </wp:anchor>
        </w:drawing>
        <w:t>Notes to unaudited pro forma combined condensed financial information</w:t>
      </w:r>
    </w:p>
    <w:p>
      <w:pPr>
        <w:spacing w:after="0" w:line="225" w:lineRule="exact"/>
        <w:rPr>
          <w:sz w:val="20"/>
          <w:szCs w:val="20"/>
          <w:color w:val="auto"/>
        </w:rPr>
      </w:pPr>
    </w:p>
    <w:p>
      <w:pPr>
        <w:ind w:left="4"/>
        <w:spacing w:after="0"/>
        <w:rPr>
          <w:sz w:val="20"/>
          <w:szCs w:val="20"/>
          <w:color w:val="auto"/>
        </w:rPr>
      </w:pPr>
      <w:r>
        <w:rPr>
          <w:rFonts w:ascii="Arial" w:cs="Arial" w:eastAsia="Arial" w:hAnsi="Arial"/>
          <w:sz w:val="18"/>
          <w:szCs w:val="18"/>
          <w:b w:val="1"/>
          <w:bCs w:val="1"/>
          <w:color w:val="auto"/>
        </w:rPr>
        <w:t>(in millions, except where indicated otherwise)</w:t>
      </w:r>
    </w:p>
    <w:p>
      <w:pPr>
        <w:spacing w:after="0" w:line="121" w:lineRule="exact"/>
        <w:rPr>
          <w:sz w:val="20"/>
          <w:szCs w:val="20"/>
          <w:color w:val="auto"/>
        </w:rPr>
      </w:pPr>
    </w:p>
    <w:p>
      <w:pPr>
        <w:ind w:left="4"/>
        <w:spacing w:after="0"/>
        <w:rPr>
          <w:sz w:val="20"/>
          <w:szCs w:val="20"/>
          <w:color w:val="auto"/>
        </w:rPr>
      </w:pPr>
      <w:r>
        <w:rPr>
          <w:rFonts w:ascii="Arial" w:cs="Arial" w:eastAsia="Arial" w:hAnsi="Arial"/>
          <w:sz w:val="18"/>
          <w:szCs w:val="18"/>
          <w:b w:val="1"/>
          <w:bCs w:val="1"/>
          <w:i w:val="1"/>
          <w:iCs w:val="1"/>
          <w:color w:val="auto"/>
        </w:rPr>
        <w:t>Transaction accounting adjustments</w:t>
      </w:r>
    </w:p>
    <w:p>
      <w:pPr>
        <w:spacing w:after="0" w:line="117" w:lineRule="exact"/>
        <w:rPr>
          <w:sz w:val="20"/>
          <w:szCs w:val="20"/>
          <w:color w:val="auto"/>
        </w:rPr>
      </w:pPr>
    </w:p>
    <w:p>
      <w:pPr>
        <w:ind w:left="4" w:right="20" w:hanging="4"/>
        <w:spacing w:after="0" w:line="293" w:lineRule="auto"/>
        <w:tabs>
          <w:tab w:leader="none" w:pos="249" w:val="left"/>
        </w:tabs>
        <w:numPr>
          <w:ilvl w:val="0"/>
          <w:numId w:val="4"/>
        </w:numPr>
        <w:rPr>
          <w:rFonts w:ascii="Arial" w:cs="Arial" w:eastAsia="Arial" w:hAnsi="Arial"/>
          <w:sz w:val="16"/>
          <w:szCs w:val="16"/>
          <w:color w:val="auto"/>
        </w:rPr>
      </w:pPr>
      <w:r>
        <w:rPr>
          <w:rFonts w:ascii="Arial" w:cs="Arial" w:eastAsia="Arial" w:hAnsi="Arial"/>
          <w:sz w:val="16"/>
          <w:szCs w:val="16"/>
          <w:color w:val="auto"/>
        </w:rPr>
        <w:t>Reflects (i) proceeds of $550.4 received in connection with the issuance of the notes by New BellRing (with the remaining $289.6 representing incremental value to Post in connection with such issuance), plus (ii) $109.0 aggregate principal amount of borrowing under the New BellRing credit agreement drawn at the completion of the transactions, less (iii) the repayment of the outstanding indebtedness under the BellRing LLC credit agreement of $519.8, less (iv) the payment by New BellRing of an aggregate cash consideration amount of $115.5 to Old BellRing stockholders in connection with the merger, less (v) payment of the historical interest rate swaps, transaction, debt issuance and deferred financing fees of $23.4. Upon the distribution, the sole outstanding share of Old BellRing Class B Common Stock was cancelled with no consideration to New BellRing.</w:t>
      </w:r>
    </w:p>
    <w:p>
      <w:pPr>
        <w:spacing w:after="0" w:line="164" w:lineRule="exact"/>
        <w:rPr>
          <w:rFonts w:ascii="Arial" w:cs="Arial" w:eastAsia="Arial" w:hAnsi="Arial"/>
          <w:sz w:val="16"/>
          <w:szCs w:val="16"/>
          <w:color w:val="auto"/>
        </w:rPr>
      </w:pPr>
    </w:p>
    <w:p>
      <w:pPr>
        <w:ind w:left="4" w:right="180" w:hanging="4"/>
        <w:spacing w:after="0" w:line="255" w:lineRule="auto"/>
        <w:tabs>
          <w:tab w:leader="none" w:pos="259" w:val="left"/>
        </w:tabs>
        <w:numPr>
          <w:ilvl w:val="0"/>
          <w:numId w:val="4"/>
        </w:numPr>
        <w:rPr>
          <w:rFonts w:ascii="Arial" w:cs="Arial" w:eastAsia="Arial" w:hAnsi="Arial"/>
          <w:sz w:val="18"/>
          <w:szCs w:val="18"/>
          <w:color w:val="auto"/>
        </w:rPr>
      </w:pPr>
      <w:r>
        <w:rPr>
          <w:rFonts w:ascii="Arial" w:cs="Arial" w:eastAsia="Arial" w:hAnsi="Arial"/>
          <w:sz w:val="18"/>
          <w:szCs w:val="18"/>
          <w:color w:val="auto"/>
        </w:rPr>
        <w:t>Reflects (i) the entry by New BellRing into the $250.0 New BellRing credit agreement, of which $109.0 aggregate principal amount was drawn at the completion of the transactions, (ii) New BellRing’s issuance of the notes, in each case of clauses (i) and (ii), net of aggregate debt issuance costs of $9.9, and (iii) the repayment of the outstanding indebtedness under the BellRing LLC credit agreement of $519.8, net of debt issuance costs. In connection with the New BellRing debt financing transactions and the repayment of the outstanding indebtedness under the BellRing LLC credit agreement, deferred financing fees of $1.4 and $0.8 were deferred and reversed, respectively. All existing Old BellRing debt was extinguished in connection with the transaction.</w:t>
      </w:r>
    </w:p>
    <w:p>
      <w:pPr>
        <w:spacing w:after="0" w:line="192" w:lineRule="exact"/>
        <w:rPr>
          <w:sz w:val="20"/>
          <w:szCs w:val="20"/>
          <w:color w:val="auto"/>
        </w:rPr>
      </w:pPr>
    </w:p>
    <w:p>
      <w:pPr>
        <w:ind w:left="4" w:right="80"/>
        <w:spacing w:after="0" w:line="272" w:lineRule="auto"/>
        <w:rPr>
          <w:sz w:val="20"/>
          <w:szCs w:val="20"/>
          <w:color w:val="auto"/>
        </w:rPr>
      </w:pPr>
      <w:r>
        <w:rPr>
          <w:rFonts w:ascii="Arial" w:cs="Arial" w:eastAsia="Arial" w:hAnsi="Arial"/>
          <w:sz w:val="17"/>
          <w:szCs w:val="17"/>
          <w:color w:val="auto"/>
        </w:rPr>
        <w:t>The New BellRing credit agreement consists of a $250.0 revolving credit facility with a $20.0 letter of credit subfacility that will mature in five years. The credit agreement permits New BellRing to borrow in U.S. Dollars, Euros or Pounds Sterling. Borrowings under the New BellRing credit agreement bear interest, at New BellRing’s option, at an annual rate, subject to certain adjustments, equal to (i) Term SOFR (based on the secured overnight financing rate) or (ii) the Base Rate, plus a margin of 3.00%-3.75% for Term SOFR loans or 2.00%-2.75% for Base Rate loans, depending on New BellRing’s secured net leverage ratio. Commitment fees on the daily unused amount of commitments under the credit agreement will accrue at a rate of 0.25%-0.375% depending on New BellRing’s secured net leverage ratio. For additional information on the interest rate expense adjustment, see Note (i) of these “Notes to Unaudited Pro Forma Combined Condensed Financial Information.”</w:t>
      </w:r>
    </w:p>
    <w:p>
      <w:pPr>
        <w:spacing w:after="0" w:line="177" w:lineRule="exact"/>
        <w:rPr>
          <w:sz w:val="20"/>
          <w:szCs w:val="20"/>
          <w:color w:val="auto"/>
        </w:rPr>
      </w:pPr>
    </w:p>
    <w:p>
      <w:pPr>
        <w:ind w:left="4" w:hanging="4"/>
        <w:spacing w:after="0" w:line="269" w:lineRule="auto"/>
        <w:tabs>
          <w:tab w:leader="none" w:pos="249" w:val="left"/>
        </w:tabs>
        <w:numPr>
          <w:ilvl w:val="0"/>
          <w:numId w:val="5"/>
        </w:numPr>
        <w:rPr>
          <w:rFonts w:ascii="Arial" w:cs="Arial" w:eastAsia="Arial" w:hAnsi="Arial"/>
          <w:sz w:val="17"/>
          <w:szCs w:val="17"/>
          <w:color w:val="auto"/>
        </w:rPr>
      </w:pPr>
      <w:r>
        <w:rPr>
          <w:rFonts w:ascii="Arial" w:cs="Arial" w:eastAsia="Arial" w:hAnsi="Arial"/>
          <w:sz w:val="17"/>
          <w:szCs w:val="17"/>
          <w:color w:val="auto"/>
        </w:rPr>
        <w:t>The Old BellRing historical financial statements include a $10.5 liability, which will be relieved as described below, recorded pursuant to the existing tax receivable agreement between Old BellRing and Post with respect to disproportionate allocations of tax benefits under Section 704(c) of the Code between Old BellRing and Post as a result of the dissolution of the Old BellRing Up-C structure in connection with the transactions. A $0.3 payment by Old BellRing to Post with respect to periods prior to the completion of the transactions is expected and recorded in “Other current liabilities.” No other amounts are expected to become payable under the existing tax receivable agreement. The adjustment of $10.2 in “Other liabilities” reflects the reversal of the remaining existing tax receivable liability. The existing tax receivable agreement between Old BellRing and Post will remain in effect should any tax benefits covered under the existing tax receivable agreement with respect to periods prior to the completion of the transactions accrue in future periods, but the existing tax receivable agreement will no longer be applicable for tax benefits that accrue with respect to periods after the completion of the transactions. In addition, no early termination payment or fee will be paid or received by either Old BellRing or Post in connection with the transactions.</w:t>
      </w:r>
    </w:p>
    <w:p>
      <w:pPr>
        <w:spacing w:after="0" w:line="185" w:lineRule="exact"/>
        <w:rPr>
          <w:rFonts w:ascii="Arial" w:cs="Arial" w:eastAsia="Arial" w:hAnsi="Arial"/>
          <w:sz w:val="17"/>
          <w:szCs w:val="17"/>
          <w:color w:val="auto"/>
        </w:rPr>
      </w:pPr>
    </w:p>
    <w:p>
      <w:pPr>
        <w:ind w:left="4" w:right="300" w:hanging="4"/>
        <w:spacing w:after="0" w:line="263" w:lineRule="auto"/>
        <w:tabs>
          <w:tab w:leader="none" w:pos="259" w:val="left"/>
        </w:tabs>
        <w:numPr>
          <w:ilvl w:val="0"/>
          <w:numId w:val="5"/>
        </w:numPr>
        <w:rPr>
          <w:rFonts w:ascii="Arial" w:cs="Arial" w:eastAsia="Arial" w:hAnsi="Arial"/>
          <w:sz w:val="18"/>
          <w:szCs w:val="18"/>
          <w:color w:val="auto"/>
        </w:rPr>
      </w:pPr>
      <w:r>
        <w:rPr>
          <w:rFonts w:ascii="Arial" w:cs="Arial" w:eastAsia="Arial" w:hAnsi="Arial"/>
          <w:sz w:val="18"/>
          <w:szCs w:val="18"/>
          <w:color w:val="auto"/>
        </w:rPr>
        <w:t>Reflects the resulting tax impacts of a higher effective tax rate more closely aligned with other C-corporations in the U.S. Prior to the transaction, Old BellRing took into account for U.S. federal, state and local income tax purposes its 28.8% distributive share of items of income, gain, loss and deduction of BellRing LLC.</w:t>
      </w:r>
    </w:p>
    <w:p>
      <w:pPr>
        <w:spacing w:after="0" w:line="183" w:lineRule="exact"/>
        <w:rPr>
          <w:rFonts w:ascii="Arial" w:cs="Arial" w:eastAsia="Arial" w:hAnsi="Arial"/>
          <w:sz w:val="18"/>
          <w:szCs w:val="18"/>
          <w:color w:val="auto"/>
        </w:rPr>
      </w:pPr>
    </w:p>
    <w:p>
      <w:pPr>
        <w:ind w:left="244" w:hanging="244"/>
        <w:spacing w:after="0"/>
        <w:tabs>
          <w:tab w:leader="none" w:pos="244" w:val="left"/>
        </w:tabs>
        <w:numPr>
          <w:ilvl w:val="0"/>
          <w:numId w:val="5"/>
        </w:numPr>
        <w:rPr>
          <w:rFonts w:ascii="Arial" w:cs="Arial" w:eastAsia="Arial" w:hAnsi="Arial"/>
          <w:sz w:val="18"/>
          <w:szCs w:val="18"/>
          <w:color w:val="auto"/>
        </w:rPr>
      </w:pPr>
      <w:r>
        <w:rPr>
          <w:rFonts w:ascii="Arial" w:cs="Arial" w:eastAsia="Arial" w:hAnsi="Arial"/>
          <w:sz w:val="18"/>
          <w:szCs w:val="18"/>
          <w:color w:val="auto"/>
        </w:rPr>
        <w:t>Reflects the removal of the noncontrolling interest in BellRing LLC.</w:t>
      </w:r>
    </w:p>
    <w:p>
      <w:pPr>
        <w:spacing w:after="0" w:line="225" w:lineRule="exact"/>
        <w:rPr>
          <w:rFonts w:ascii="Arial" w:cs="Arial" w:eastAsia="Arial" w:hAnsi="Arial"/>
          <w:sz w:val="18"/>
          <w:szCs w:val="18"/>
          <w:color w:val="auto"/>
        </w:rPr>
      </w:pPr>
    </w:p>
    <w:p>
      <w:pPr>
        <w:ind w:left="224" w:hanging="224"/>
        <w:spacing w:after="0"/>
        <w:tabs>
          <w:tab w:leader="none" w:pos="224" w:val="left"/>
        </w:tabs>
        <w:numPr>
          <w:ilvl w:val="0"/>
          <w:numId w:val="5"/>
        </w:numPr>
        <w:rPr>
          <w:rFonts w:ascii="Arial" w:cs="Arial" w:eastAsia="Arial" w:hAnsi="Arial"/>
          <w:sz w:val="18"/>
          <w:szCs w:val="18"/>
          <w:color w:val="auto"/>
        </w:rPr>
      </w:pPr>
      <w:r>
        <w:rPr>
          <w:rFonts w:ascii="Arial" w:cs="Arial" w:eastAsia="Arial" w:hAnsi="Arial"/>
          <w:sz w:val="18"/>
          <w:szCs w:val="18"/>
          <w:color w:val="auto"/>
        </w:rPr>
        <w:t>Reflects the contribution by Post of all BellRing LLC units to New BellRing.</w:t>
      </w:r>
    </w:p>
    <w:p>
      <w:pPr>
        <w:spacing w:after="0" w:line="225" w:lineRule="exact"/>
        <w:rPr>
          <w:rFonts w:ascii="Arial" w:cs="Arial" w:eastAsia="Arial" w:hAnsi="Arial"/>
          <w:sz w:val="18"/>
          <w:szCs w:val="18"/>
          <w:color w:val="auto"/>
        </w:rPr>
      </w:pPr>
    </w:p>
    <w:p>
      <w:pPr>
        <w:ind w:left="4" w:right="380" w:hanging="4"/>
        <w:spacing w:after="0" w:line="277" w:lineRule="auto"/>
        <w:tabs>
          <w:tab w:leader="none" w:pos="259" w:val="left"/>
        </w:tabs>
        <w:numPr>
          <w:ilvl w:val="0"/>
          <w:numId w:val="5"/>
        </w:numPr>
        <w:rPr>
          <w:rFonts w:ascii="Arial" w:cs="Arial" w:eastAsia="Arial" w:hAnsi="Arial"/>
          <w:sz w:val="18"/>
          <w:szCs w:val="18"/>
          <w:color w:val="auto"/>
        </w:rPr>
      </w:pPr>
      <w:r>
        <w:rPr>
          <w:rFonts w:ascii="Arial" w:cs="Arial" w:eastAsia="Arial" w:hAnsi="Arial"/>
          <w:sz w:val="18"/>
          <w:szCs w:val="18"/>
          <w:color w:val="auto"/>
        </w:rPr>
        <w:t>Reflects the payment of the existing interest rate swap and the removal of the unamortized interest rate swap losses associated with the BellRing LLC term loan outstanding under the BellRing LLC credit agreement.</w:t>
      </w:r>
    </w:p>
    <w:p>
      <w:pPr>
        <w:spacing w:after="0" w:line="170" w:lineRule="exact"/>
        <w:rPr>
          <w:rFonts w:ascii="Arial" w:cs="Arial" w:eastAsia="Arial" w:hAnsi="Arial"/>
          <w:sz w:val="18"/>
          <w:szCs w:val="18"/>
          <w:color w:val="auto"/>
        </w:rPr>
      </w:pPr>
    </w:p>
    <w:p>
      <w:pPr>
        <w:ind w:left="4" w:right="60" w:hanging="4"/>
        <w:spacing w:after="0" w:line="286" w:lineRule="auto"/>
        <w:tabs>
          <w:tab w:leader="none" w:pos="259" w:val="left"/>
        </w:tabs>
        <w:numPr>
          <w:ilvl w:val="0"/>
          <w:numId w:val="5"/>
        </w:numPr>
        <w:rPr>
          <w:rFonts w:ascii="Arial" w:cs="Arial" w:eastAsia="Arial" w:hAnsi="Arial"/>
          <w:sz w:val="17"/>
          <w:szCs w:val="17"/>
          <w:color w:val="auto"/>
        </w:rPr>
      </w:pPr>
      <w:r>
        <w:rPr>
          <w:rFonts w:ascii="Arial" w:cs="Arial" w:eastAsia="Arial" w:hAnsi="Arial"/>
          <w:sz w:val="17"/>
          <w:szCs w:val="17"/>
          <w:color w:val="auto"/>
        </w:rPr>
        <w:t>Reflects $12.9 of estimated transaction costs resulting from the separation and distribution as well as the removal of income previously recorded related to the tax receivable agreement as of September 30, 2021. Also reflects the removal of transaction costs that were expensed, prepaid and accrued in the historical financials as of December 31, 2021. Actual transaction costs incurred may differ from the estimates.</w:t>
      </w:r>
    </w:p>
    <w:p>
      <w:pPr>
        <w:spacing w:after="0" w:line="165" w:lineRule="exact"/>
        <w:rPr>
          <w:rFonts w:ascii="Arial" w:cs="Arial" w:eastAsia="Arial" w:hAnsi="Arial"/>
          <w:sz w:val="17"/>
          <w:szCs w:val="17"/>
          <w:color w:val="auto"/>
        </w:rPr>
      </w:pPr>
    </w:p>
    <w:p>
      <w:pPr>
        <w:ind w:left="4" w:right="160" w:hanging="4"/>
        <w:spacing w:after="0" w:line="257" w:lineRule="auto"/>
        <w:tabs>
          <w:tab w:leader="none" w:pos="219" w:val="left"/>
        </w:tabs>
        <w:numPr>
          <w:ilvl w:val="0"/>
          <w:numId w:val="5"/>
        </w:numPr>
        <w:rPr>
          <w:rFonts w:ascii="Arial" w:cs="Arial" w:eastAsia="Arial" w:hAnsi="Arial"/>
          <w:sz w:val="18"/>
          <w:szCs w:val="18"/>
          <w:color w:val="auto"/>
        </w:rPr>
      </w:pPr>
      <w:r>
        <w:rPr>
          <w:rFonts w:ascii="Arial" w:cs="Arial" w:eastAsia="Arial" w:hAnsi="Arial"/>
          <w:sz w:val="18"/>
          <w:szCs w:val="18"/>
          <w:color w:val="auto"/>
        </w:rPr>
        <w:t>Reflects expense of $16.2 and $64.8 related to the incurrence of the New BellRing debt for the three months ended December 31, 2021 and the year ended September 30, 2021, respectively, and the removal of expense of $8.4 and $43.2 related to previously outstanding indebtedness under the BellRing LLC credit agreement for the three months ended December 31, 2021 and the year ended September 30, 2021, respectively. For the New BellRing debt, interest expense was calculated using a weighted-average interest rate of 7.0% (including interest on the principal balance of the notes and borrowings under the New BellRing credit agreement).</w:t>
      </w:r>
    </w:p>
    <w:p>
      <w:pPr>
        <w:sectPr>
          <w:pgSz w:w="11900" w:h="16838" w:orient="portrait"/>
          <w:cols w:equalWidth="0" w:num="1">
            <w:col w:w="11024"/>
          </w:cols>
          <w:pgMar w:left="436" w:top="270" w:right="439" w:bottom="1440" w:gutter="0" w:footer="0" w:header="0"/>
        </w:sectPr>
      </w:pPr>
    </w:p>
    <w:bookmarkStart w:id="9" w:name="page10"/>
    <w:bookmarkEnd w:id="9"/>
    <w:p>
      <w:pPr>
        <w:ind w:left="4" w:right="180" w:hanging="4"/>
        <w:spacing w:after="0" w:line="277" w:lineRule="auto"/>
        <w:tabs>
          <w:tab w:leader="none" w:pos="219" w:val="left"/>
        </w:tabs>
        <w:numPr>
          <w:ilvl w:val="0"/>
          <w:numId w:val="6"/>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74865" cy="38100"/>
                    </a:xfrm>
                    <a:prstGeom prst="rect">
                      <a:avLst/>
                    </a:prstGeom>
                    <a:noFill/>
                  </pic:spPr>
                </pic:pic>
              </a:graphicData>
            </a:graphic>
          </wp:anchor>
        </w:drawing>
        <w:t>Pro forma weighted-average shares for basic and diluted earnings per share were adjusted to reflect the contribution by Post of all of the BellRing LLC units to New BellRing.</w:t>
      </w:r>
    </w:p>
    <w:p>
      <w:pPr>
        <w:spacing w:after="0" w:line="278" w:lineRule="exact"/>
        <w:rPr>
          <w:sz w:val="20"/>
          <w:szCs w:val="20"/>
          <w:color w:val="auto"/>
        </w:rPr>
      </w:pPr>
    </w:p>
    <w:p>
      <w:pPr>
        <w:ind w:left="4"/>
        <w:spacing w:after="0"/>
        <w:rPr>
          <w:sz w:val="20"/>
          <w:szCs w:val="20"/>
          <w:color w:val="auto"/>
        </w:rPr>
      </w:pPr>
      <w:r>
        <w:rPr>
          <w:rFonts w:ascii="Arial" w:cs="Arial" w:eastAsia="Arial" w:hAnsi="Arial"/>
          <w:sz w:val="18"/>
          <w:szCs w:val="18"/>
          <w:b w:val="1"/>
          <w:bCs w:val="1"/>
          <w:i w:val="1"/>
          <w:iCs w:val="1"/>
          <w:color w:val="auto"/>
        </w:rPr>
        <w:t>Autonomous entity adjustments</w:t>
      </w:r>
    </w:p>
    <w:p>
      <w:pPr>
        <w:spacing w:after="0" w:line="117" w:lineRule="exact"/>
        <w:rPr>
          <w:sz w:val="20"/>
          <w:szCs w:val="20"/>
          <w:color w:val="auto"/>
        </w:rPr>
      </w:pPr>
    </w:p>
    <w:p>
      <w:pPr>
        <w:ind w:left="4" w:hanging="4"/>
        <w:spacing w:after="0" w:line="259" w:lineRule="auto"/>
        <w:tabs>
          <w:tab w:leader="none" w:pos="259" w:val="left"/>
        </w:tabs>
        <w:numPr>
          <w:ilvl w:val="0"/>
          <w:numId w:val="7"/>
        </w:numPr>
        <w:rPr>
          <w:rFonts w:ascii="Arial" w:cs="Arial" w:eastAsia="Arial" w:hAnsi="Arial"/>
          <w:sz w:val="18"/>
          <w:szCs w:val="18"/>
          <w:color w:val="auto"/>
        </w:rPr>
      </w:pPr>
      <w:r>
        <w:rPr>
          <w:rFonts w:ascii="Arial" w:cs="Arial" w:eastAsia="Arial" w:hAnsi="Arial"/>
          <w:sz w:val="18"/>
          <w:szCs w:val="18"/>
          <w:color w:val="auto"/>
        </w:rPr>
        <w:t>Reflects $1.3 and $5.0 estimated expense under the amended and restated master services agreement entered into between New BellRing and Post for the three months ended December 31, 2021 and the year ended September 30, 2021, respectively, offset by the removal of $0.6 and $2.2 of expense incurred under BellRing LLC’s previous master services agreement with Post for the three months ended December 31, 2021 and the year ended September 30, 2021, respectively.</w:t>
      </w:r>
    </w:p>
    <w:p>
      <w:pPr>
        <w:spacing w:after="0" w:line="186" w:lineRule="exact"/>
        <w:rPr>
          <w:rFonts w:ascii="Arial" w:cs="Arial" w:eastAsia="Arial" w:hAnsi="Arial"/>
          <w:sz w:val="18"/>
          <w:szCs w:val="18"/>
          <w:color w:val="auto"/>
        </w:rPr>
      </w:pPr>
    </w:p>
    <w:p>
      <w:pPr>
        <w:ind w:left="4" w:right="60" w:hanging="4"/>
        <w:spacing w:after="0" w:line="263" w:lineRule="auto"/>
        <w:tabs>
          <w:tab w:leader="none" w:pos="219" w:val="left"/>
        </w:tabs>
        <w:numPr>
          <w:ilvl w:val="0"/>
          <w:numId w:val="7"/>
        </w:numPr>
        <w:rPr>
          <w:rFonts w:ascii="Arial" w:cs="Arial" w:eastAsia="Arial" w:hAnsi="Arial"/>
          <w:sz w:val="18"/>
          <w:szCs w:val="18"/>
          <w:color w:val="auto"/>
        </w:rPr>
      </w:pPr>
      <w:r>
        <w:rPr>
          <w:rFonts w:ascii="Arial" w:cs="Arial" w:eastAsia="Arial" w:hAnsi="Arial"/>
          <w:sz w:val="18"/>
          <w:szCs w:val="18"/>
          <w:color w:val="auto"/>
        </w:rPr>
        <w:t>Reflects the income tax effects of pro forma adjustments related to the amended and restated master services agreement described in note (k) above and the adjustment to deferred taxes related to the anticipated termination of BellRing LLC’s partnership structure for U.S. federal, state and local income tax purposes.</w:t>
      </w:r>
    </w:p>
    <w:sectPr>
      <w:pgSz w:w="11900" w:h="16838" w:orient="portrait"/>
      <w:cols w:equalWidth="0" w:num="1">
        <w:col w:w="10884"/>
      </w:cols>
      <w:pgMar w:left="436" w:top="274" w:right="57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625558EC"/>
    <w:multiLevelType w:val="hybridMultilevel"/>
    <w:lvl w:ilvl="0">
      <w:lvlJc w:val="left"/>
      <w:lvlText w:val="☐"/>
      <w:numFmt w:val="bullet"/>
      <w:start w:val="1"/>
    </w:lvl>
  </w:abstractNum>
  <w:abstractNum w:abstractNumId="1">
    <w:nsid w:val="238E1F29"/>
    <w:multiLevelType w:val="hybridMultilevel"/>
    <w:lvl w:ilvl="0">
      <w:lvlJc w:val="left"/>
      <w:lvlText w:val="•"/>
      <w:numFmt w:val="bullet"/>
      <w:start w:val="1"/>
    </w:lvl>
  </w:abstractNum>
  <w:abstractNum w:abstractNumId="2">
    <w:nsid w:val="46E87CCD"/>
    <w:multiLevelType w:val="hybridMultilevel"/>
    <w:lvl w:ilvl="0">
      <w:lvlJc w:val="left"/>
      <w:lvlText w:val="•"/>
      <w:numFmt w:val="bullet"/>
      <w:start w:val="1"/>
    </w:lvl>
  </w:abstractNum>
  <w:abstractNum w:abstractNumId="3">
    <w:nsid w:val="3D1B58BA"/>
    <w:multiLevelType w:val="hybridMultilevel"/>
    <w:lvl w:ilvl="0">
      <w:lvlJc w:val="left"/>
      <w:lvlText w:val="(%1)"/>
      <w:numFmt w:val="lowerLetter"/>
      <w:start w:val="1"/>
    </w:lvl>
  </w:abstractNum>
  <w:abstractNum w:abstractNumId="4">
    <w:nsid w:val="507ED7AB"/>
    <w:multiLevelType w:val="hybridMultilevel"/>
    <w:lvl w:ilvl="0">
      <w:lvlJc w:val="left"/>
      <w:lvlText w:val="(%1)"/>
      <w:numFmt w:val="lowerLetter"/>
      <w:start w:val="3"/>
    </w:lvl>
  </w:abstractNum>
  <w:abstractNum w:abstractNumId="5">
    <w:nsid w:val="2EB141F2"/>
    <w:multiLevelType w:val="hybridMultilevel"/>
    <w:lvl w:ilvl="0">
      <w:lvlJc w:val="left"/>
      <w:lvlText w:val="(%1)"/>
      <w:numFmt w:val="lowerLetter"/>
      <w:start w:val="10"/>
    </w:lvl>
  </w:abstractNum>
  <w:abstractNum w:abstractNumId="6">
    <w:nsid w:val="41B71EFB"/>
    <w:multiLevelType w:val="hybridMultilevel"/>
    <w:lvl w:ilvl="0">
      <w:lvlJc w:val="left"/>
      <w:lvlText w:val="(%1)"/>
      <w:numFmt w:val="lowerLetter"/>
      <w:start w:val="1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jpe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2022-03-16T15:42:30Z</dcterms:created>
  <dcterms:modified xsi:type="dcterms:W3CDTF">2022-03-16T15:42:30Z</dcterms:modified>
</cp:coreProperties>
</file>