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0"/>
        <w:spacing w:after="0"/>
        <w:rPr>
          <w:sz w:val="20"/>
          <w:szCs w:val="20"/>
          <w:color w:val="auto"/>
        </w:rPr>
      </w:pPr>
      <w:r>
        <w:rPr>
          <w:rFonts w:ascii="Arial" w:cs="Arial" w:eastAsia="Arial" w:hAnsi="Arial"/>
          <w:sz w:val="18"/>
          <w:szCs w:val="18"/>
          <w:b w:val="1"/>
          <w:bCs w:val="1"/>
          <w:color w:val="auto"/>
        </w:rPr>
        <w:t>As filed with the Securities and Exchange Commission on March 30, 2020</w:t>
      </w:r>
    </w:p>
    <w:p>
      <w:pPr>
        <w:spacing w:after="0" w:line="27" w:lineRule="exact"/>
        <w:rPr>
          <w:sz w:val="24"/>
          <w:szCs w:val="24"/>
          <w:color w:val="auto"/>
        </w:rPr>
      </w:pPr>
    </w:p>
    <w:p>
      <w:pPr>
        <w:ind w:left="6800"/>
        <w:spacing w:after="0"/>
        <w:rPr>
          <w:sz w:val="20"/>
          <w:szCs w:val="20"/>
          <w:color w:val="auto"/>
        </w:rPr>
      </w:pPr>
      <w:r>
        <w:rPr>
          <w:rFonts w:ascii="Arial" w:cs="Arial" w:eastAsia="Arial" w:hAnsi="Arial"/>
          <w:sz w:val="16"/>
          <w:szCs w:val="16"/>
          <w:b w:val="1"/>
          <w:bCs w:val="1"/>
          <w:color w:val="auto"/>
        </w:rPr>
        <w:t>Registration No. 333-</w:t>
      </w: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SECURITIES ACT OF 1933</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159"/>
          </w:cols>
          <w:pgMar w:left="1300" w:top="391" w:right="1440" w:bottom="1440" w:gutter="0" w:footer="0" w:header="0"/>
        </w:sectPr>
      </w:pPr>
    </w:p>
    <w:p>
      <w:pPr>
        <w:spacing w:after="0" w:line="220"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63" w:lineRule="exact"/>
        <w:rPr>
          <w:sz w:val="24"/>
          <w:szCs w:val="24"/>
          <w:color w:val="auto"/>
        </w:rPr>
      </w:pPr>
    </w:p>
    <w:p>
      <w:pPr>
        <w:sectPr>
          <w:pgSz w:w="11900" w:h="16838" w:orient="portrait"/>
          <w:cols w:equalWidth="0" w:num="2">
            <w:col w:w="6160" w:space="720"/>
            <w:col w:w="2279"/>
          </w:cols>
          <w:pgMar w:left="1300" w:top="391" w:right="1440"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5140" w:space="720"/>
            <w:col w:w="3299"/>
          </w:cols>
          <w:pgMar w:left="1300" w:top="391" w:right="1440" w:bottom="1440" w:gutter="0" w:footer="0" w:header="0"/>
          <w:type w:val="continuous"/>
        </w:sectPr>
      </w:pP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2503 S. Hanley Road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St. Louis, Missouri 63144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BellRing Brands, Inc. Deferred Compensation Plan for Directors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Craig L. Rosenthal</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BellRing Brands, Inc.</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2503 S. Hanley Road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St. Louis, Missouri 63144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(314) 644-7600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ind w:right="99"/>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120" w:type="dxa"/>
        <w:tblCellMar>
          <w:top w:w="0" w:type="dxa"/>
          <w:left w:w="0" w:type="dxa"/>
          <w:bottom w:w="0" w:type="dxa"/>
          <w:right w:w="0" w:type="dxa"/>
        </w:tblCellMar>
      </w:tblPr>
      <w:tr>
        <w:trPr>
          <w:trHeight w:val="243"/>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23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12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20" w:type="dxa"/>
            <w:vAlign w:val="bottom"/>
          </w:tcPr>
          <w:p>
            <w:pPr>
              <w:ind w:left="212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4"/>
          <w:szCs w:val="24"/>
          <w:color w:val="auto"/>
        </w:rPr>
      </w:pPr>
    </w:p>
    <w:p>
      <w:pPr>
        <w:ind w:right="17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57607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43180"/>
                    </a:xfrm>
                    <a:prstGeom prst="rect">
                      <a:avLst/>
                    </a:prstGeom>
                    <a:noFill/>
                  </pic:spPr>
                </pic:pic>
              </a:graphicData>
            </a:graphic>
          </wp:anchor>
        </w:drawing>
      </w:r>
    </w:p>
    <w:p>
      <w:pPr>
        <w:sectPr>
          <w:pgSz w:w="11900" w:h="16838" w:orient="portrait"/>
          <w:cols w:equalWidth="0" w:num="1">
            <w:col w:w="9159"/>
          </w:cols>
          <w:pgMar w:left="1300" w:top="391" w:right="1440" w:bottom="1440" w:gutter="0" w:footer="0" w:header="0"/>
          <w:type w:val="continuous"/>
        </w:sectPr>
      </w:pPr>
    </w:p>
    <w:bookmarkStart w:id="1" w:name="page2"/>
    <w:bookmarkEnd w:id="1"/>
    <w:p>
      <w:pPr>
        <w:jc w:val="center"/>
        <w:ind w:right="169"/>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0"/>
          <w:szCs w:val="20"/>
          <w:color w:val="auto"/>
        </w:rPr>
      </w:pPr>
    </w:p>
    <w:tbl>
      <w:tblPr>
        <w:tblLayout w:type="fixed"/>
        <w:tblInd w:w="140" w:type="dxa"/>
        <w:tblCellMar>
          <w:top w:w="0" w:type="dxa"/>
          <w:left w:w="0" w:type="dxa"/>
          <w:bottom w:w="0" w:type="dxa"/>
          <w:right w:w="0" w:type="dxa"/>
        </w:tblCellMar>
      </w:tblPr>
      <w:tr>
        <w:trPr>
          <w:trHeight w:val="243"/>
        </w:trPr>
        <w:tc>
          <w:tcPr>
            <w:tcW w:w="2560" w:type="dxa"/>
            <w:vAlign w:val="bottom"/>
            <w:tcBorders>
              <w:top w:val="single" w:sz="8" w:color="auto"/>
              <w:left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spacing w:after="0"/>
              <w:rPr>
                <w:sz w:val="21"/>
                <w:szCs w:val="21"/>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2160" w:type="dxa"/>
            <w:vAlign w:val="bottom"/>
            <w:tcBorders>
              <w:top w:val="single" w:sz="8" w:color="auto"/>
              <w:right w:val="single" w:sz="8" w:color="auto"/>
            </w:tcBorders>
          </w:tcPr>
          <w:p>
            <w:pPr>
              <w:spacing w:after="0"/>
              <w:rPr>
                <w:sz w:val="21"/>
                <w:szCs w:val="21"/>
                <w:color w:val="auto"/>
              </w:rPr>
            </w:pPr>
          </w:p>
        </w:tc>
      </w:tr>
      <w:tr>
        <w:trPr>
          <w:trHeight w:val="216"/>
        </w:trPr>
        <w:tc>
          <w:tcPr>
            <w:tcW w:w="256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maximum</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2160" w:type="dxa"/>
            <w:vAlign w:val="bottom"/>
            <w:tcBorders>
              <w:right w:val="single" w:sz="8" w:color="auto"/>
            </w:tcBorders>
          </w:tcPr>
          <w:p>
            <w:pPr>
              <w:spacing w:after="0"/>
              <w:rPr>
                <w:sz w:val="18"/>
                <w:szCs w:val="18"/>
                <w:color w:val="auto"/>
              </w:rPr>
            </w:pPr>
          </w:p>
        </w:tc>
      </w:tr>
      <w:tr>
        <w:trPr>
          <w:trHeight w:val="216"/>
        </w:trPr>
        <w:tc>
          <w:tcPr>
            <w:tcW w:w="25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Title of securities to be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2160" w:type="dxa"/>
            <w:vAlign w:val="bottom"/>
            <w:tcBorders>
              <w:right w:val="single" w:sz="8" w:color="auto"/>
            </w:tcBorders>
          </w:tcPr>
          <w:p>
            <w:pPr>
              <w:spacing w:after="0"/>
              <w:rPr>
                <w:sz w:val="18"/>
                <w:szCs w:val="18"/>
                <w:color w:val="auto"/>
              </w:rPr>
            </w:pPr>
          </w:p>
        </w:tc>
      </w:tr>
      <w:tr>
        <w:trPr>
          <w:trHeight w:val="297"/>
        </w:trPr>
        <w:tc>
          <w:tcPr>
            <w:tcW w:w="25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registered</w:t>
            </w:r>
          </w:p>
        </w:tc>
        <w:tc>
          <w:tcPr>
            <w:tcW w:w="1460" w:type="dxa"/>
            <w:vAlign w:val="bottom"/>
            <w:tcBorders>
              <w:bottom w:val="single" w:sz="8" w:color="auto"/>
              <w:right w:val="single" w:sz="8" w:color="auto"/>
            </w:tcBorders>
          </w:tcPr>
          <w:p>
            <w:pPr>
              <w:jc w:val="center"/>
              <w:spacing w:after="0" w:line="296" w:lineRule="exact"/>
              <w:rPr>
                <w:sz w:val="20"/>
                <w:szCs w:val="20"/>
                <w:color w:val="auto"/>
              </w:rPr>
            </w:pPr>
            <w:r>
              <w:rPr>
                <w:rFonts w:ascii="Arial" w:cs="Arial" w:eastAsia="Arial" w:hAnsi="Arial"/>
                <w:sz w:val="18"/>
                <w:szCs w:val="18"/>
                <w:b w:val="1"/>
                <w:bCs w:val="1"/>
                <w:color w:val="auto"/>
                <w:w w:val="84"/>
              </w:rPr>
              <w:t>registered</w:t>
            </w:r>
            <w:r>
              <w:rPr>
                <w:rFonts w:ascii="Arial" w:cs="Arial" w:eastAsia="Arial" w:hAnsi="Arial"/>
                <w:sz w:val="29"/>
                <w:szCs w:val="29"/>
                <w:b w:val="1"/>
                <w:bCs w:val="1"/>
                <w:color w:val="auto"/>
                <w:w w:val="84"/>
                <w:vertAlign w:val="superscript"/>
              </w:rPr>
              <w:t>(1)</w:t>
            </w:r>
          </w:p>
        </w:tc>
        <w:tc>
          <w:tcPr>
            <w:tcW w:w="1260" w:type="dxa"/>
            <w:vAlign w:val="bottom"/>
            <w:tcBorders>
              <w:bottom w:val="single" w:sz="8" w:color="auto"/>
              <w:right w:val="single" w:sz="8" w:color="auto"/>
            </w:tcBorders>
          </w:tcPr>
          <w:p>
            <w:pPr>
              <w:jc w:val="center"/>
              <w:spacing w:after="0" w:line="296" w:lineRule="exact"/>
              <w:rPr>
                <w:sz w:val="20"/>
                <w:szCs w:val="20"/>
                <w:color w:val="auto"/>
              </w:rPr>
            </w:pPr>
            <w:r>
              <w:rPr>
                <w:rFonts w:ascii="Arial" w:cs="Arial" w:eastAsia="Arial" w:hAnsi="Arial"/>
                <w:sz w:val="18"/>
                <w:szCs w:val="18"/>
                <w:b w:val="1"/>
                <w:bCs w:val="1"/>
                <w:color w:val="auto"/>
                <w:w w:val="84"/>
              </w:rPr>
              <w:t>per share</w:t>
            </w:r>
            <w:r>
              <w:rPr>
                <w:rFonts w:ascii="Arial" w:cs="Arial" w:eastAsia="Arial" w:hAnsi="Arial"/>
                <w:sz w:val="29"/>
                <w:szCs w:val="29"/>
                <w:b w:val="1"/>
                <w:bCs w:val="1"/>
                <w:color w:val="auto"/>
                <w:w w:val="84"/>
                <w:vertAlign w:val="superscript"/>
              </w:rPr>
              <w:t>(2)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 of registration fee</w:t>
            </w:r>
          </w:p>
        </w:tc>
      </w:tr>
      <w:tr>
        <w:trPr>
          <w:trHeight w:val="222"/>
        </w:trPr>
        <w:tc>
          <w:tcPr>
            <w:tcW w:w="25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Class A Common Stock, par</w:t>
            </w:r>
          </w:p>
        </w:tc>
        <w:tc>
          <w:tcPr>
            <w:tcW w:w="14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16"/>
        </w:trPr>
        <w:tc>
          <w:tcPr>
            <w:tcW w:w="25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value $0.01 per share – Deferred</w:t>
            </w: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0"/>
        </w:trPr>
        <w:tc>
          <w:tcPr>
            <w:tcW w:w="25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Compensation Plan for Directors</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$14.495</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$4,348,500</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$564.44</w:t>
            </w: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370" w:right="619" w:hanging="370"/>
        <w:spacing w:after="0" w:line="273" w:lineRule="auto"/>
        <w:tabs>
          <w:tab w:leader="none" w:pos="37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also covers such additional shares of Class A Common Stock, par value $0.01 per share (“Class A Common Stock”), of BellRing Brands, Inc., a Delaware corporation (the “Company,” “we” or “our”), as may be issued as a result of a stock split, stock dividend, recapitalization or similar transaction.</w:t>
      </w:r>
    </w:p>
    <w:p>
      <w:pPr>
        <w:spacing w:after="0" w:line="1" w:lineRule="exact"/>
        <w:rPr>
          <w:rFonts w:ascii="Arial" w:cs="Arial" w:eastAsia="Arial" w:hAnsi="Arial"/>
          <w:sz w:val="17"/>
          <w:szCs w:val="17"/>
          <w:color w:val="auto"/>
        </w:rPr>
      </w:pPr>
    </w:p>
    <w:p>
      <w:pPr>
        <w:ind w:left="370" w:right="439" w:hanging="370"/>
        <w:spacing w:after="0" w:line="286" w:lineRule="auto"/>
        <w:tabs>
          <w:tab w:leader="none" w:pos="37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amount is estimated solely for the purpose of calculating the registration fee pursuant to Rule 457(c) and Rule 457(h) under the Securities Act based upon the average of the high and low prices of the Company’s Class A Common Stock as reported on the New York Stock Exchange on March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482600</wp:posOffset>
            </wp:positionV>
            <wp:extent cx="57607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43180"/>
                    </a:xfrm>
                    <a:prstGeom prst="rect">
                      <a:avLst/>
                    </a:prstGeom>
                    <a:noFill/>
                  </pic:spPr>
                </pic:pic>
              </a:graphicData>
            </a:graphic>
          </wp:anchor>
        </w:drawing>
      </w:r>
    </w:p>
    <w:p>
      <w:pPr>
        <w:sectPr>
          <w:pgSz w:w="11900" w:h="16838" w:orient="portrait"/>
          <w:cols w:equalWidth="0" w:num="1">
            <w:col w:w="9069"/>
          </w:cols>
          <w:pgMar w:left="1390" w:top="121"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SECTION 10(a) PROSPECTUS</w:t>
      </w:r>
    </w:p>
    <w:p>
      <w:pPr>
        <w:spacing w:after="0" w:line="229" w:lineRule="exact"/>
        <w:rPr>
          <w:sz w:val="20"/>
          <w:szCs w:val="20"/>
          <w:color w:val="auto"/>
        </w:rPr>
      </w:pPr>
    </w:p>
    <w:p>
      <w:pPr>
        <w:ind w:right="159" w:firstLine="648"/>
        <w:spacing w:after="0" w:line="296" w:lineRule="auto"/>
        <w:rPr>
          <w:sz w:val="20"/>
          <w:szCs w:val="20"/>
          <w:color w:val="auto"/>
        </w:rPr>
      </w:pPr>
      <w:r>
        <w:rPr>
          <w:rFonts w:ascii="Arial" w:cs="Arial" w:eastAsia="Arial" w:hAnsi="Arial"/>
          <w:sz w:val="16"/>
          <w:szCs w:val="16"/>
          <w:color w:val="auto"/>
        </w:rPr>
        <w:t>In accordance with Rule 428 under the Securities Act and the instructional note to Part I of Form S-8, the information specified in Part I of Form S-8 has been omitted from the filing of this Registration Statement. The documents containing the information specified in Part I of Form S-8 will be sent or given to participating employees as specified by Rule 428(b)(1) of the Securities Act. Such documents and the documents incorporated by reference herein pursuant to Item 3 of Part II hereof, taken together, constitute a prospectus that meets the requirements of Section 10(a) of the Securities Act.</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9" w:lineRule="exact"/>
        <w:rPr>
          <w:sz w:val="20"/>
          <w:szCs w:val="20"/>
          <w:color w:val="auto"/>
        </w:rPr>
      </w:pPr>
    </w:p>
    <w:p>
      <w:pPr>
        <w:ind w:left="2080"/>
        <w:spacing w:after="0"/>
        <w:tabs>
          <w:tab w:leader="none" w:pos="3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43" w:lineRule="exact"/>
        <w:rPr>
          <w:sz w:val="20"/>
          <w:szCs w:val="20"/>
          <w:color w:val="auto"/>
        </w:rPr>
      </w:pPr>
    </w:p>
    <w:p>
      <w:pPr>
        <w:ind w:right="879" w:firstLine="648"/>
        <w:spacing w:after="0" w:line="277" w:lineRule="auto"/>
        <w:rPr>
          <w:sz w:val="20"/>
          <w:szCs w:val="20"/>
          <w:color w:val="auto"/>
        </w:rPr>
      </w:pPr>
      <w:r>
        <w:rPr>
          <w:rFonts w:ascii="Arial" w:cs="Arial" w:eastAsia="Arial" w:hAnsi="Arial"/>
          <w:sz w:val="18"/>
          <w:szCs w:val="18"/>
          <w:color w:val="auto"/>
        </w:rPr>
        <w:t>The following documents, which we filed with the Securities and Exchange Commission (the “SEC”), are incorporated by reference in this Registration Statement:</w:t>
      </w:r>
    </w:p>
    <w:p>
      <w:pPr>
        <w:spacing w:after="0" w:line="170" w:lineRule="exact"/>
        <w:rPr>
          <w:sz w:val="20"/>
          <w:szCs w:val="20"/>
          <w:color w:val="auto"/>
        </w:rPr>
      </w:pPr>
    </w:p>
    <w:p>
      <w:pPr>
        <w:ind w:left="900" w:right="159" w:hanging="333"/>
        <w:spacing w:after="0" w:line="277" w:lineRule="auto"/>
        <w:tabs>
          <w:tab w:leader="none" w:pos="900" w:val="left"/>
        </w:tabs>
        <w:numPr>
          <w:ilvl w:val="0"/>
          <w:numId w:val="2"/>
        </w:numPr>
        <w:rPr>
          <w:rFonts w:ascii="Arial" w:cs="Arial" w:eastAsia="Arial" w:hAnsi="Arial"/>
          <w:sz w:val="18"/>
          <w:szCs w:val="18"/>
          <w:color w:val="0000FF"/>
        </w:rPr>
      </w:pPr>
      <w:hyperlink r:id="rId10">
        <w:r>
          <w:rPr>
            <w:rFonts w:ascii="Arial" w:cs="Arial" w:eastAsia="Arial" w:hAnsi="Arial"/>
            <w:sz w:val="18"/>
            <w:szCs w:val="18"/>
            <w:color w:val="auto"/>
          </w:rPr>
          <w:t xml:space="preserve">the Company’s annual report on Form 10-K for the fiscal year ended September 30, 2019 filed on </w:t>
        </w:r>
        <w:r>
          <w:rPr>
            <w:rFonts w:ascii="Arial" w:cs="Arial" w:eastAsia="Arial" w:hAnsi="Arial"/>
            <w:sz w:val="18"/>
            <w:szCs w:val="18"/>
            <w:u w:val="single" w:color="auto"/>
            <w:color w:val="0000FF"/>
          </w:rPr>
          <w:t>November 22,</w:t>
        </w:r>
      </w:hyperlink>
      <w:r>
        <w:rPr>
          <w:rFonts w:ascii="Arial" w:cs="Arial" w:eastAsia="Arial" w:hAnsi="Arial"/>
          <w:sz w:val="18"/>
          <w:szCs w:val="18"/>
          <w:color w:val="auto"/>
        </w:rPr>
        <w:t xml:space="preserve"> </w:t>
      </w:r>
      <w:hyperlink r:id="rId10">
        <w:r>
          <w:rPr>
            <w:rFonts w:ascii="Arial" w:cs="Arial" w:eastAsia="Arial" w:hAnsi="Arial"/>
            <w:sz w:val="18"/>
            <w:szCs w:val="18"/>
            <w:u w:val="single" w:color="auto"/>
            <w:color w:val="0000FF"/>
          </w:rPr>
          <w:t>2019</w:t>
        </w:r>
        <w:r>
          <w:rPr>
            <w:rFonts w:ascii="Arial" w:cs="Arial" w:eastAsia="Arial" w:hAnsi="Arial"/>
            <w:sz w:val="18"/>
            <w:szCs w:val="18"/>
            <w:color w:val="000000"/>
          </w:rPr>
          <w:t>.</w:t>
        </w:r>
      </w:hyperlink>
    </w:p>
    <w:p>
      <w:pPr>
        <w:spacing w:after="0" w:line="170" w:lineRule="exact"/>
        <w:rPr>
          <w:rFonts w:ascii="Arial" w:cs="Arial" w:eastAsia="Arial" w:hAnsi="Arial"/>
          <w:sz w:val="18"/>
          <w:szCs w:val="18"/>
          <w:color w:val="0000FF"/>
        </w:rPr>
      </w:pPr>
    </w:p>
    <w:p>
      <w:pPr>
        <w:ind w:left="900" w:right="159" w:hanging="333"/>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Company’s quarterly report on Form 10-Q for the fiscal quarter ended December 31, 2019, filed on </w:t>
      </w:r>
      <w:r>
        <w:rPr>
          <w:rFonts w:ascii="Arial" w:cs="Arial" w:eastAsia="Arial" w:hAnsi="Arial"/>
          <w:sz w:val="18"/>
          <w:szCs w:val="18"/>
          <w:u w:val="single" w:color="auto"/>
          <w:color w:val="0000FF"/>
        </w:rPr>
        <w:t>February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7, 2020</w:t>
      </w:r>
      <w:r>
        <w:rPr>
          <w:rFonts w:ascii="Arial" w:cs="Arial" w:eastAsia="Arial" w:hAnsi="Arial"/>
          <w:sz w:val="18"/>
          <w:szCs w:val="18"/>
          <w:color w:val="000000"/>
        </w:rPr>
        <w:t>;</w:t>
      </w:r>
    </w:p>
    <w:p>
      <w:pPr>
        <w:spacing w:after="0" w:line="170" w:lineRule="exact"/>
        <w:rPr>
          <w:rFonts w:ascii="Arial" w:cs="Arial" w:eastAsia="Arial" w:hAnsi="Arial"/>
          <w:sz w:val="18"/>
          <w:szCs w:val="18"/>
          <w:color w:val="auto"/>
        </w:rPr>
      </w:pPr>
    </w:p>
    <w:p>
      <w:pPr>
        <w:jc w:val="both"/>
        <w:ind w:left="900" w:right="159" w:hanging="333"/>
        <w:spacing w:after="0" w:line="342" w:lineRule="auto"/>
        <w:tabs>
          <w:tab w:leader="none" w:pos="900" w:val="left"/>
        </w:tabs>
        <w:numPr>
          <w:ilvl w:val="0"/>
          <w:numId w:val="2"/>
        </w:numPr>
        <w:rPr>
          <w:rFonts w:ascii="Arial" w:cs="Arial" w:eastAsia="Arial" w:hAnsi="Arial"/>
          <w:sz w:val="16"/>
          <w:szCs w:val="16"/>
          <w:color w:val="0000FF"/>
        </w:rPr>
      </w:pPr>
      <w:r>
        <w:rPr>
          <w:rFonts w:ascii="Arial" w:cs="Arial" w:eastAsia="Arial" w:hAnsi="Arial"/>
          <w:sz w:val="16"/>
          <w:szCs w:val="16"/>
          <w:color w:val="auto"/>
        </w:rPr>
        <w:t xml:space="preserve">the Company’s current reports filed on Form 8-K (excluding Items 2.02 and 7.01), filed with the Commission on </w:t>
      </w:r>
      <w:hyperlink r:id="rId11">
        <w:r>
          <w:rPr>
            <w:rFonts w:ascii="Arial" w:cs="Arial" w:eastAsia="Arial" w:hAnsi="Arial"/>
            <w:sz w:val="16"/>
            <w:szCs w:val="16"/>
            <w:u w:val="single" w:color="auto"/>
            <w:color w:val="0000FF"/>
          </w:rPr>
          <w:t>November 22, 2019</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2">
        <w:r>
          <w:rPr>
            <w:rFonts w:ascii="Arial" w:cs="Arial" w:eastAsia="Arial" w:hAnsi="Arial"/>
            <w:sz w:val="16"/>
            <w:szCs w:val="16"/>
            <w:u w:val="single" w:color="auto"/>
            <w:color w:val="0000FF"/>
          </w:rPr>
          <w:t>December 9, 2019</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3">
        <w:r>
          <w:rPr>
            <w:rFonts w:ascii="Arial" w:cs="Arial" w:eastAsia="Arial" w:hAnsi="Arial"/>
            <w:sz w:val="16"/>
            <w:szCs w:val="16"/>
            <w:u w:val="single" w:color="auto"/>
            <w:color w:val="0000FF"/>
          </w:rPr>
          <w:t>January 7, 2020</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4">
        <w:r>
          <w:rPr>
            <w:rFonts w:ascii="Arial" w:cs="Arial" w:eastAsia="Arial" w:hAnsi="Arial"/>
            <w:sz w:val="16"/>
            <w:szCs w:val="16"/>
            <w:u w:val="single" w:color="auto"/>
            <w:color w:val="0000FF"/>
          </w:rPr>
          <w:t>March 12, 2020</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5">
        <w:r>
          <w:rPr>
            <w:rFonts w:ascii="Arial" w:cs="Arial" w:eastAsia="Arial" w:hAnsi="Arial"/>
            <w:sz w:val="16"/>
            <w:szCs w:val="16"/>
            <w:u w:val="single" w:color="auto"/>
            <w:color w:val="0000FF"/>
          </w:rPr>
          <w:t xml:space="preserve">March 24, 2020 </w:t>
        </w:r>
      </w:hyperlink>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March 30, 2020</w:t>
      </w:r>
      <w:r>
        <w:rPr>
          <w:rFonts w:ascii="Arial" w:cs="Arial" w:eastAsia="Arial" w:hAnsi="Arial"/>
          <w:sz w:val="16"/>
          <w:szCs w:val="16"/>
          <w:color w:val="000000"/>
        </w:rPr>
        <w:t>.</w:t>
      </w:r>
    </w:p>
    <w:p>
      <w:pPr>
        <w:spacing w:after="0" w:line="123" w:lineRule="exact"/>
        <w:rPr>
          <w:rFonts w:ascii="Arial" w:cs="Arial" w:eastAsia="Arial" w:hAnsi="Arial"/>
          <w:sz w:val="16"/>
          <w:szCs w:val="16"/>
          <w:color w:val="0000FF"/>
        </w:rPr>
      </w:pPr>
    </w:p>
    <w:p>
      <w:pPr>
        <w:jc w:val="both"/>
        <w:ind w:left="900" w:right="119" w:hanging="333"/>
        <w:spacing w:after="0" w:line="263"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Company’s Class A Common Stock contained in the Company’s Registration Statement on Form 8-A (File No. 001-39093) filed with the SEC on </w:t>
      </w:r>
      <w:hyperlink r:id="rId16">
        <w:r>
          <w:rPr>
            <w:rFonts w:ascii="Arial" w:cs="Arial" w:eastAsia="Arial" w:hAnsi="Arial"/>
            <w:sz w:val="18"/>
            <w:szCs w:val="18"/>
            <w:u w:val="single" w:color="auto"/>
            <w:color w:val="0000FF"/>
          </w:rPr>
          <w:t>October 16,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any amendments or reports filed for the purpose of updating such description.</w:t>
      </w:r>
    </w:p>
    <w:p>
      <w:pPr>
        <w:spacing w:after="0" w:line="184" w:lineRule="exact"/>
        <w:rPr>
          <w:rFonts w:ascii="Arial" w:cs="Arial" w:eastAsia="Arial" w:hAnsi="Arial"/>
          <w:sz w:val="16"/>
          <w:szCs w:val="16"/>
          <w:color w:val="0000FF"/>
        </w:rPr>
      </w:pPr>
    </w:p>
    <w:p>
      <w:pPr>
        <w:ind w:right="179" w:firstLine="648"/>
        <w:spacing w:after="0" w:line="287" w:lineRule="auto"/>
        <w:rPr>
          <w:sz w:val="20"/>
          <w:szCs w:val="20"/>
          <w:color w:val="auto"/>
        </w:rPr>
      </w:pPr>
      <w:r>
        <w:rPr>
          <w:rFonts w:ascii="Arial" w:cs="Arial" w:eastAsia="Arial" w:hAnsi="Arial"/>
          <w:sz w:val="16"/>
          <w:szCs w:val="16"/>
          <w:color w:val="auto"/>
        </w:rPr>
        <w:t>In addition, all other reports and documents subsequently filed with the SEC by the Company pursuant to Section 13(a), 13(c), 14 or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except for the documents, or portions thereof, that are “furnished” (e.g., the portions of those documents set forth under Items 2.02 or 7.01 of Form 8-K or other information “furnished” to the SEC) rather than filed with the SEC. Any statement contained herein or in any document incorporated by reference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95"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6"/>
          <w:szCs w:val="16"/>
          <w:color w:val="0000FF"/>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color w:val="auto"/>
        </w:rPr>
        <w:t>Item 5. Interest of Named Experts and Counsel</w:t>
      </w:r>
    </w:p>
    <w:p>
      <w:pPr>
        <w:spacing w:after="0" w:line="229" w:lineRule="exact"/>
        <w:rPr>
          <w:rFonts w:ascii="Arial" w:cs="Arial" w:eastAsia="Arial" w:hAnsi="Arial"/>
          <w:sz w:val="16"/>
          <w:szCs w:val="16"/>
          <w:color w:val="0000FF"/>
        </w:rPr>
      </w:pPr>
    </w:p>
    <w:p>
      <w:pPr>
        <w:ind w:left="640"/>
        <w:spacing w:after="0"/>
        <w:rPr>
          <w:sz w:val="20"/>
          <w:szCs w:val="20"/>
          <w:color w:val="auto"/>
        </w:rPr>
      </w:pPr>
      <w:r>
        <w:rPr>
          <w:rFonts w:ascii="Arial" w:cs="Arial" w:eastAsia="Arial" w:hAnsi="Arial"/>
          <w:sz w:val="18"/>
          <w:szCs w:val="18"/>
          <w:color w:val="auto"/>
        </w:rPr>
        <w:t>None.</w:t>
      </w:r>
    </w:p>
    <w:p>
      <w:pPr>
        <w:spacing w:after="0" w:line="221" w:lineRule="exact"/>
        <w:rPr>
          <w:rFonts w:ascii="Arial" w:cs="Arial" w:eastAsia="Arial" w:hAnsi="Arial"/>
          <w:sz w:val="16"/>
          <w:szCs w:val="16"/>
          <w:color w:val="0000FF"/>
        </w:rPr>
      </w:pPr>
    </w:p>
    <w:p>
      <w:pPr>
        <w:spacing w:after="0"/>
        <w:tabs>
          <w:tab w:leader="none" w:pos="6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rFonts w:ascii="Arial" w:cs="Arial" w:eastAsia="Arial" w:hAnsi="Arial"/>
          <w:sz w:val="16"/>
          <w:szCs w:val="16"/>
          <w:color w:val="0000FF"/>
        </w:rPr>
      </w:pPr>
    </w:p>
    <w:p>
      <w:pPr>
        <w:ind w:right="99" w:firstLine="648"/>
        <w:spacing w:after="0" w:line="257"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w:t>
      </w:r>
    </w:p>
    <w:p>
      <w:pPr>
        <w:spacing w:after="0" w:line="242" w:lineRule="exact"/>
        <w:rPr>
          <w:rFonts w:ascii="Arial" w:cs="Arial" w:eastAsia="Arial" w:hAnsi="Arial"/>
          <w:sz w:val="16"/>
          <w:szCs w:val="16"/>
          <w:color w:val="0000FF"/>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0</wp:posOffset>
            </wp:positionH>
            <wp:positionV relativeFrom="paragraph">
              <wp:posOffset>186055</wp:posOffset>
            </wp:positionV>
            <wp:extent cx="57607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5760720" cy="43180"/>
                    </a:xfrm>
                    <a:prstGeom prst="rect">
                      <a:avLst/>
                    </a:prstGeom>
                    <a:noFill/>
                  </pic:spPr>
                </pic:pic>
              </a:graphicData>
            </a:graphic>
          </wp:anchor>
        </w:drawing>
      </w:r>
    </w:p>
    <w:p>
      <w:pPr>
        <w:sectPr>
          <w:pgSz w:w="11900" w:h="16838" w:orient="portrait"/>
          <w:cols w:equalWidth="0" w:num="1">
            <w:col w:w="9159"/>
          </w:cols>
          <w:pgMar w:left="1300" w:top="121" w:right="1440" w:bottom="1440" w:gutter="0" w:footer="0" w:header="0"/>
        </w:sectPr>
      </w:pPr>
    </w:p>
    <w:bookmarkStart w:id="3" w:name="page4"/>
    <w:bookmarkEnd w:id="3"/>
    <w:p>
      <w:pPr>
        <w:spacing w:after="0" w:line="196" w:lineRule="auto"/>
        <w:framePr w:w="480" w:h="160" w:wrap="auto" w:vAnchor="page" w:hAnchor="page" w:x="1580" w:y="9659"/>
        <w:rPr>
          <w:rFonts w:ascii="Arial" w:cs="Arial" w:eastAsia="Arial" w:hAnsi="Arial"/>
          <w:sz w:val="17"/>
          <w:szCs w:val="17"/>
          <w:color w:val="auto"/>
        </w:rPr>
      </w:pPr>
      <w:r>
        <w:rPr>
          <w:rFonts w:ascii="Arial" w:cs="Arial" w:eastAsia="Arial" w:hAnsi="Arial"/>
          <w:sz w:val="17"/>
          <w:szCs w:val="17"/>
          <w:color w:val="auto"/>
        </w:rPr>
        <w:t>23.1*</w:t>
      </w:r>
    </w:p>
    <w:p>
      <w:pPr>
        <w:spacing w:after="0" w:line="196" w:lineRule="auto"/>
        <w:framePr w:w="480" w:h="160" w:wrap="auto" w:vAnchor="page" w:hAnchor="page" w:x="1580" w:y="9902"/>
        <w:rPr>
          <w:rFonts w:ascii="Arial" w:cs="Arial" w:eastAsia="Arial" w:hAnsi="Arial"/>
          <w:sz w:val="17"/>
          <w:szCs w:val="17"/>
          <w:color w:val="auto"/>
        </w:rPr>
      </w:pPr>
      <w:r>
        <w:rPr>
          <w:rFonts w:ascii="Arial" w:cs="Arial" w:eastAsia="Arial" w:hAnsi="Arial"/>
          <w:sz w:val="17"/>
          <w:szCs w:val="17"/>
          <w:color w:val="auto"/>
        </w:rPr>
        <w:t>23.2*</w:t>
      </w:r>
    </w:p>
    <w:p>
      <w:pPr>
        <w:spacing w:after="0" w:line="196" w:lineRule="auto"/>
        <w:framePr w:w="480" w:h="160" w:wrap="auto" w:vAnchor="page" w:hAnchor="page" w:x="1580" w:y="10145"/>
        <w:rPr>
          <w:rFonts w:ascii="Arial" w:cs="Arial" w:eastAsia="Arial" w:hAnsi="Arial"/>
          <w:sz w:val="17"/>
          <w:szCs w:val="17"/>
          <w:color w:val="auto"/>
        </w:rPr>
      </w:pPr>
      <w:r>
        <w:rPr>
          <w:rFonts w:ascii="Arial" w:cs="Arial" w:eastAsia="Arial" w:hAnsi="Arial"/>
          <w:sz w:val="17"/>
          <w:szCs w:val="17"/>
          <w:color w:val="auto"/>
        </w:rPr>
        <w:t>23.2*</w:t>
      </w:r>
    </w:p>
    <w:p>
      <w:pPr>
        <w:spacing w:after="0" w:line="209" w:lineRule="auto"/>
        <w:framePr w:w="380" w:h="160" w:wrap="auto" w:vAnchor="page" w:hAnchor="page" w:x="1680" w:y="9200"/>
        <w:rPr>
          <w:rFonts w:ascii="Arial" w:cs="Arial" w:eastAsia="Arial" w:hAnsi="Arial"/>
          <w:sz w:val="16"/>
          <w:szCs w:val="16"/>
          <w:color w:val="auto"/>
        </w:rPr>
      </w:pPr>
      <w:r>
        <w:rPr>
          <w:rFonts w:ascii="Arial" w:cs="Arial" w:eastAsia="Arial" w:hAnsi="Arial"/>
          <w:sz w:val="16"/>
          <w:szCs w:val="16"/>
          <w:color w:val="auto"/>
        </w:rPr>
        <w:t>5.1*</w:t>
      </w:r>
    </w:p>
    <w:p>
      <w:pPr>
        <w:spacing w:after="0" w:line="223" w:lineRule="auto"/>
        <w:framePr w:w="300" w:h="160" w:wrap="auto" w:vAnchor="page" w:hAnchor="page" w:x="1760" w:y="8741"/>
        <w:rPr>
          <w:rFonts w:ascii="Arial" w:cs="Arial" w:eastAsia="Arial" w:hAnsi="Arial"/>
          <w:sz w:val="15"/>
          <w:szCs w:val="15"/>
          <w:color w:val="auto"/>
        </w:rPr>
      </w:pPr>
      <w:r>
        <w:rPr>
          <w:rFonts w:ascii="Arial" w:cs="Arial" w:eastAsia="Arial" w:hAnsi="Arial"/>
          <w:sz w:val="15"/>
          <w:szCs w:val="15"/>
          <w:color w:val="auto"/>
        </w:rPr>
        <w:t>4.3</w:t>
      </w:r>
    </w:p>
    <w:p>
      <w:pPr>
        <w:spacing w:after="0" w:line="223" w:lineRule="auto"/>
        <w:framePr w:w="300" w:h="160" w:wrap="auto" w:vAnchor="page" w:hAnchor="page" w:x="1760" w:y="8282"/>
        <w:rPr>
          <w:rFonts w:ascii="Arial" w:cs="Arial" w:eastAsia="Arial" w:hAnsi="Arial"/>
          <w:sz w:val="15"/>
          <w:szCs w:val="15"/>
          <w:color w:val="auto"/>
        </w:rPr>
      </w:pPr>
      <w:r>
        <w:rPr>
          <w:rFonts w:ascii="Arial" w:cs="Arial" w:eastAsia="Arial" w:hAnsi="Arial"/>
          <w:sz w:val="15"/>
          <w:szCs w:val="15"/>
          <w:color w:val="auto"/>
        </w:rPr>
        <w:t>4.2</w:t>
      </w:r>
    </w:p>
    <w:p>
      <w:pPr>
        <w:spacing w:after="0" w:line="245" w:lineRule="auto"/>
        <w:framePr w:w="600" w:h="376" w:wrap="auto" w:vAnchor="page" w:hAnchor="page" w:x="1460" w:y="7364"/>
        <w:rPr>
          <w:rFonts w:ascii="Arial" w:cs="Arial" w:eastAsia="Arial" w:hAnsi="Arial"/>
          <w:sz w:val="16"/>
          <w:szCs w:val="16"/>
          <w:u w:val="single" w:color="auto"/>
          <w:color w:val="auto"/>
        </w:rPr>
      </w:pPr>
      <w:r>
        <w:rPr>
          <w:rFonts w:ascii="Arial" w:cs="Arial" w:eastAsia="Arial" w:hAnsi="Arial"/>
          <w:sz w:val="16"/>
          <w:szCs w:val="16"/>
          <w:u w:val="single" w:color="auto"/>
          <w:color w:val="auto"/>
        </w:rPr>
        <w:t>Exhibit No.</w:t>
      </w:r>
    </w:p>
    <w:p>
      <w:pPr>
        <w:spacing w:after="0" w:line="223" w:lineRule="auto"/>
        <w:framePr w:w="300" w:h="160" w:wrap="auto" w:vAnchor="page" w:hAnchor="page" w:x="1760" w:y="7823"/>
        <w:rPr>
          <w:rFonts w:ascii="Arial" w:cs="Arial" w:eastAsia="Arial" w:hAnsi="Arial"/>
          <w:sz w:val="15"/>
          <w:szCs w:val="15"/>
          <w:u w:val="single" w:color="auto"/>
          <w:color w:val="auto"/>
        </w:rPr>
      </w:pPr>
      <w:r>
        <w:rPr>
          <w:rFonts w:ascii="Arial" w:cs="Arial" w:eastAsia="Arial" w:hAnsi="Arial"/>
          <w:sz w:val="15"/>
          <w:szCs w:val="15"/>
          <w:u w:val="single" w:color="auto"/>
          <w:color w:val="auto"/>
        </w:rPr>
        <w:t>4.1</w:t>
      </w:r>
    </w:p>
    <w:p>
      <w:pPr>
        <w:ind w:right="79"/>
        <w:spacing w:after="0" w:line="257" w:lineRule="auto"/>
        <w:rPr>
          <w:sz w:val="20"/>
          <w:szCs w:val="20"/>
          <w:color w:val="auto"/>
        </w:rPr>
      </w:pPr>
      <w:r>
        <w:rPr>
          <w:rFonts w:ascii="Arial" w:cs="Arial" w:eastAsia="Arial" w:hAnsi="Arial"/>
          <w:sz w:val="18"/>
          <w:szCs w:val="18"/>
          <w:color w:val="auto"/>
        </w:rPr>
        <w:t>officer, employee or agent to the corporation. The Delaware General Corporation law provides that Section 145 is not exclusive of other rights to which those seeking indemnification may be entitled under any bylaw, agreement, vote of stockholders or disinterested directors or otherwise. The Company’s amended and restated certificate of incorporation provides for indemnification by the Company of its directors, officers, employees and agents to the fullest extent permitted by the Delaware General Corporation Law.</w:t>
      </w:r>
    </w:p>
    <w:p>
      <w:pPr>
        <w:spacing w:after="0" w:line="188" w:lineRule="exact"/>
        <w:rPr>
          <w:rFonts w:ascii="Arial" w:cs="Arial" w:eastAsia="Arial" w:hAnsi="Arial"/>
          <w:sz w:val="15"/>
          <w:szCs w:val="15"/>
          <w:u w:val="single" w:color="auto"/>
          <w:color w:val="auto"/>
        </w:rPr>
      </w:pPr>
    </w:p>
    <w:p>
      <w:pPr>
        <w:ind w:right="279" w:firstLine="648"/>
        <w:spacing w:after="0" w:line="272"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Company’s amended and restated certificate of incorporation provides for such limitation of liability.</w:t>
      </w:r>
    </w:p>
    <w:p>
      <w:pPr>
        <w:spacing w:after="0" w:line="177" w:lineRule="exact"/>
        <w:rPr>
          <w:rFonts w:ascii="Arial" w:cs="Arial" w:eastAsia="Arial" w:hAnsi="Arial"/>
          <w:sz w:val="15"/>
          <w:szCs w:val="15"/>
          <w:u w:val="single" w:color="auto"/>
          <w:color w:val="auto"/>
        </w:rPr>
      </w:pPr>
    </w:p>
    <w:p>
      <w:pPr>
        <w:ind w:right="599" w:firstLine="648"/>
        <w:spacing w:after="0" w:line="342" w:lineRule="auto"/>
        <w:rPr>
          <w:sz w:val="20"/>
          <w:szCs w:val="20"/>
          <w:color w:val="auto"/>
        </w:rPr>
      </w:pPr>
      <w:r>
        <w:rPr>
          <w:rFonts w:ascii="Arial" w:cs="Arial" w:eastAsia="Arial" w:hAnsi="Arial"/>
          <w:sz w:val="16"/>
          <w:szCs w:val="16"/>
          <w:color w:val="auto"/>
        </w:rPr>
        <w:t>In addition, we maintain directors’ and officers’ liability insurance to provide our directors and officers with insurance coverage for losses arising from claims based on breaches of duty, negligence, error and other wrongful acts.</w:t>
      </w:r>
    </w:p>
    <w:p>
      <w:pPr>
        <w:spacing w:after="0" w:line="124" w:lineRule="exact"/>
        <w:rPr>
          <w:rFonts w:ascii="Arial" w:cs="Arial" w:eastAsia="Arial" w:hAnsi="Arial"/>
          <w:sz w:val="15"/>
          <w:szCs w:val="15"/>
          <w:u w:val="single" w:color="auto"/>
          <w:color w:val="auto"/>
        </w:rPr>
      </w:pPr>
    </w:p>
    <w:p>
      <w:pPr>
        <w:ind w:right="99" w:firstLine="648"/>
        <w:spacing w:after="0" w:line="286" w:lineRule="auto"/>
        <w:rPr>
          <w:sz w:val="20"/>
          <w:szCs w:val="20"/>
          <w:color w:val="auto"/>
        </w:rPr>
      </w:pPr>
      <w:r>
        <w:rPr>
          <w:rFonts w:ascii="Arial" w:cs="Arial" w:eastAsia="Arial" w:hAnsi="Arial"/>
          <w:sz w:val="17"/>
          <w:szCs w:val="17"/>
          <w:color w:val="auto"/>
        </w:rPr>
        <w:t>We also entered into indemnification agreements with our directors and our executive officers. These agreements contain provisions that may require us, among other things, to indemnify these directors and executive officers against certain liabilities that may arise because of their status or service as directors or executive officers.</w:t>
      </w:r>
    </w:p>
    <w:p>
      <w:pPr>
        <w:spacing w:after="0" w:line="165" w:lineRule="exact"/>
        <w:rPr>
          <w:rFonts w:ascii="Arial" w:cs="Arial" w:eastAsia="Arial" w:hAnsi="Arial"/>
          <w:sz w:val="15"/>
          <w:szCs w:val="15"/>
          <w:u w:val="single" w:color="auto"/>
          <w:color w:val="auto"/>
        </w:rPr>
      </w:pPr>
    </w:p>
    <w:p>
      <w:pPr>
        <w:ind w:right="139" w:firstLine="648"/>
        <w:spacing w:after="0" w:line="263" w:lineRule="auto"/>
        <w:rPr>
          <w:sz w:val="20"/>
          <w:szCs w:val="20"/>
          <w:color w:val="auto"/>
        </w:rPr>
      </w:pPr>
      <w:r>
        <w:rPr>
          <w:rFonts w:ascii="Arial" w:cs="Arial" w:eastAsia="Arial" w:hAnsi="Arial"/>
          <w:sz w:val="18"/>
          <w:szCs w:val="18"/>
          <w:color w:val="auto"/>
        </w:rPr>
        <w:t>At present there is no pending litigation or proceeding involving any director, officer, employee or agent as to which indemnification is required or permitted. We are not aware of any threatened litigation or proceeding which may result in a claim for such indemnification.</w:t>
      </w:r>
    </w:p>
    <w:p>
      <w:pPr>
        <w:spacing w:after="0" w:line="193" w:lineRule="exact"/>
        <w:rPr>
          <w:rFonts w:ascii="Arial" w:cs="Arial" w:eastAsia="Arial" w:hAnsi="Arial"/>
          <w:sz w:val="15"/>
          <w:szCs w:val="15"/>
          <w:u w:val="single" w:color="auto"/>
          <w:color w:val="auto"/>
        </w:rPr>
      </w:pPr>
    </w:p>
    <w:p>
      <w:pPr>
        <w:ind w:left="2280"/>
        <w:spacing w:after="0"/>
        <w:tabs>
          <w:tab w:leader="none" w:pos="32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43" w:lineRule="exact"/>
        <w:rPr>
          <w:rFonts w:ascii="Arial" w:cs="Arial" w:eastAsia="Arial" w:hAnsi="Arial"/>
          <w:sz w:val="15"/>
          <w:szCs w:val="15"/>
          <w:u w:val="single" w:color="auto"/>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5"/>
          <w:szCs w:val="15"/>
          <w:u w:val="single" w:color="auto"/>
          <w:color w:val="auto"/>
        </w:rPr>
      </w:pPr>
    </w:p>
    <w:p>
      <w:pPr>
        <w:spacing w:after="0" w:line="251" w:lineRule="exact"/>
        <w:rPr>
          <w:rFonts w:ascii="Arial" w:cs="Arial" w:eastAsia="Arial" w:hAnsi="Arial"/>
          <w:sz w:val="15"/>
          <w:szCs w:val="15"/>
          <w:u w:val="single" w:color="auto"/>
          <w:color w:val="auto"/>
        </w:rPr>
      </w:pPr>
    </w:p>
    <w:p>
      <w:pPr>
        <w:ind w:left="3600"/>
        <w:spacing w:after="0"/>
        <w:tabs>
          <w:tab w:leader="none" w:pos="46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00" w:lineRule="exact"/>
        <w:rPr>
          <w:rFonts w:ascii="Arial" w:cs="Arial" w:eastAsia="Arial" w:hAnsi="Arial"/>
          <w:sz w:val="15"/>
          <w:szCs w:val="15"/>
          <w:u w:val="single" w:color="auto"/>
          <w:color w:val="auto"/>
        </w:rPr>
      </w:pPr>
    </w:p>
    <w:p>
      <w:pPr>
        <w:spacing w:after="0" w:line="200" w:lineRule="exact"/>
        <w:rPr>
          <w:rFonts w:ascii="Arial" w:cs="Arial" w:eastAsia="Arial" w:hAnsi="Arial"/>
          <w:sz w:val="15"/>
          <w:szCs w:val="15"/>
          <w:u w:val="single" w:color="auto"/>
          <w:color w:val="auto"/>
        </w:rPr>
      </w:pPr>
    </w:p>
    <w:p>
      <w:pPr>
        <w:spacing w:after="0" w:line="315" w:lineRule="exact"/>
        <w:rPr>
          <w:rFonts w:ascii="Arial" w:cs="Arial" w:eastAsia="Arial" w:hAnsi="Arial"/>
          <w:sz w:val="15"/>
          <w:szCs w:val="15"/>
          <w:u w:val="single" w:color="auto"/>
          <w:color w:val="auto"/>
        </w:rPr>
      </w:pPr>
    </w:p>
    <w:p>
      <w:pPr>
        <w:ind w:left="4480"/>
        <w:spacing w:after="0"/>
        <w:rPr>
          <w:sz w:val="20"/>
          <w:szCs w:val="20"/>
          <w:color w:val="auto"/>
        </w:rPr>
      </w:pPr>
      <w:r>
        <w:rPr>
          <w:rFonts w:ascii="Arial" w:cs="Arial" w:eastAsia="Arial" w:hAnsi="Arial"/>
          <w:sz w:val="18"/>
          <w:szCs w:val="18"/>
          <w:u w:val="single" w:color="auto"/>
          <w:color w:val="auto"/>
        </w:rPr>
        <w:t>Description</w:t>
      </w:r>
    </w:p>
    <w:p>
      <w:pPr>
        <w:spacing w:after="0" w:line="36" w:lineRule="exact"/>
        <w:rPr>
          <w:rFonts w:ascii="Arial" w:cs="Arial" w:eastAsia="Arial" w:hAnsi="Arial"/>
          <w:sz w:val="15"/>
          <w:szCs w:val="15"/>
          <w:u w:val="single" w:color="auto"/>
          <w:color w:val="auto"/>
        </w:rPr>
      </w:pPr>
    </w:p>
    <w:p>
      <w:pPr>
        <w:ind w:left="900" w:right="619"/>
        <w:spacing w:after="0" w:line="266" w:lineRule="auto"/>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Amended and Restated Certificate of Incorporation of BellRing Brands, Inc. (Incorporated by reference to</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Exhibit 3.1 to the Company’s Form 8-K filed on October 21, 2019)</w:t>
        </w:r>
      </w:hyperlink>
    </w:p>
    <w:p>
      <w:pPr>
        <w:ind w:left="900" w:right="759"/>
        <w:spacing w:after="0" w:line="266" w:lineRule="auto"/>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Amended and Restated Bylaws of BellRing Brands, Inc. (Incorporated by reference to Exhibit 3.2 to the</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Company’s Form 8-K filed on October 21, 2019)</w:t>
        </w:r>
      </w:hyperlink>
    </w:p>
    <w:p>
      <w:pPr>
        <w:ind w:left="900" w:right="419"/>
        <w:spacing w:after="0" w:line="266" w:lineRule="auto"/>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Deferred Compensation Plan for Directors, dated as of January 1, 2020 (Incorporated by reference to Exhibit</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10.20 to the Company’s Form 10-K filed on February 7, 2020</w:t>
        </w:r>
      </w:hyperlink>
    </w:p>
    <w:p>
      <w:pPr>
        <w:ind w:left="900" w:right="199"/>
        <w:spacing w:after="0" w:line="266" w:lineRule="auto"/>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Opinion of Craig L. Rosenthal, Esq., Senior Vice President and General Counsel, Secretary of BellRing Brands,</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Inc.</w:t>
        </w:r>
      </w:hyperlink>
    </w:p>
    <w:p>
      <w:pPr>
        <w:ind w:left="90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Consent of PricewaterhouseCoopers LLP</w:t>
        </w:r>
      </w:hyperlink>
    </w:p>
    <w:p>
      <w:pPr>
        <w:spacing w:after="0" w:line="36" w:lineRule="exact"/>
        <w:rPr>
          <w:sz w:val="20"/>
          <w:szCs w:val="20"/>
          <w:color w:val="auto"/>
        </w:rPr>
      </w:pPr>
    </w:p>
    <w:p>
      <w:pPr>
        <w:ind w:left="90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Consent of PricewaterhouseCoopers LLP</w:t>
        </w:r>
      </w:hyperlink>
    </w:p>
    <w:p>
      <w:pPr>
        <w:spacing w:after="0" w:line="36" w:lineRule="exact"/>
        <w:rPr>
          <w:sz w:val="20"/>
          <w:szCs w:val="20"/>
          <w:color w:val="auto"/>
        </w:rPr>
      </w:pPr>
    </w:p>
    <w:p>
      <w:pPr>
        <w:ind w:left="900" w:right="199"/>
        <w:spacing w:after="0" w:line="266"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Consent of Craig L. Rosenthal, Esq., Senior Vice President and General Counsel, Secretary of BellRing Brands,</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Inc. (included in Exhibit 5.1)</w:t>
        </w:r>
      </w:hyperlink>
    </w:p>
    <w:p>
      <w:pPr>
        <w:ind w:left="320"/>
        <w:spacing w:after="0"/>
        <w:tabs>
          <w:tab w:leader="none" w:pos="8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right="679" w:firstLine="648"/>
        <w:spacing w:after="0" w:line="277" w:lineRule="auto"/>
        <w:tabs>
          <w:tab w:leader="none" w:pos="893" w:val="left"/>
        </w:tabs>
        <w:numPr>
          <w:ilvl w:val="0"/>
          <w:numId w:val="3"/>
        </w:numPr>
        <w:rPr>
          <w:rFonts w:ascii="Arial" w:cs="Arial" w:eastAsia="Arial" w:hAnsi="Arial"/>
          <w:sz w:val="18"/>
          <w:szCs w:val="18"/>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170" w:lineRule="exact"/>
        <w:rPr>
          <w:rFonts w:ascii="Arial" w:cs="Arial" w:eastAsia="Arial" w:hAnsi="Arial"/>
          <w:sz w:val="18"/>
          <w:szCs w:val="18"/>
          <w:color w:val="auto"/>
        </w:rPr>
      </w:pPr>
    </w:p>
    <w:p>
      <w:pPr>
        <w:ind w:left="1560" w:hanging="264"/>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ectPr>
          <w:pgSz w:w="11900" w:h="16838" w:orient="portrait"/>
          <w:cols w:equalWidth="0" w:num="1">
            <w:col w:w="9159"/>
          </w:cols>
          <w:pgMar w:left="1300" w:top="12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57607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extLst>
                    </a:blip>
                    <a:srcRect/>
                    <a:stretch>
                      <a:fillRect/>
                    </a:stretch>
                  </pic:blipFill>
                  <pic:spPr bwMode="auto">
                    <a:xfrm>
                      <a:off x="0" y="0"/>
                      <a:ext cx="5760720" cy="43180"/>
                    </a:xfrm>
                    <a:prstGeom prst="rect">
                      <a:avLst/>
                    </a:prstGeom>
                    <a:noFill/>
                  </pic:spPr>
                </pic:pic>
              </a:graphicData>
            </a:graphic>
          </wp:anchor>
        </w:drawing>
      </w:r>
    </w:p>
    <w:p>
      <w:pPr>
        <w:sectPr>
          <w:pgSz w:w="11900" w:h="16838" w:orient="portrait"/>
          <w:cols w:equalWidth="0" w:num="1">
            <w:col w:w="9159"/>
          </w:cols>
          <w:pgMar w:left="1300" w:top="125" w:right="1440" w:bottom="1440" w:gutter="0" w:footer="0" w:header="0"/>
          <w:type w:val="continuous"/>
        </w:sectPr>
      </w:pPr>
    </w:p>
    <w:bookmarkStart w:id="4" w:name="page5"/>
    <w:bookmarkEnd w:id="4"/>
    <w:p>
      <w:pPr>
        <w:ind w:left="-20" w:right="99" w:firstLine="1296"/>
        <w:spacing w:after="0" w:line="271" w:lineRule="auto"/>
        <w:tabs>
          <w:tab w:leader="none" w:pos="1586"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20" w:right="139" w:firstLine="1296"/>
        <w:spacing w:after="0" w:line="296" w:lineRule="auto"/>
        <w:tabs>
          <w:tab w:leader="none" w:pos="1636"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 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61" w:lineRule="exact"/>
        <w:rPr>
          <w:rFonts w:ascii="Arial" w:cs="Arial" w:eastAsia="Arial" w:hAnsi="Arial"/>
          <w:sz w:val="16"/>
          <w:szCs w:val="16"/>
          <w:color w:val="auto"/>
        </w:rPr>
      </w:pPr>
    </w:p>
    <w:p>
      <w:pPr>
        <w:ind w:left="-20" w:right="339" w:firstLine="648"/>
        <w:spacing w:after="0" w:line="286" w:lineRule="auto"/>
        <w:tabs>
          <w:tab w:leader="none" w:pos="92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Arial" w:cs="Arial" w:eastAsia="Arial" w:hAnsi="Arial"/>
          <w:sz w:val="17"/>
          <w:szCs w:val="17"/>
          <w:color w:val="auto"/>
        </w:rPr>
      </w:pPr>
    </w:p>
    <w:p>
      <w:pPr>
        <w:ind w:left="-20" w:right="519" w:firstLine="648"/>
        <w:spacing w:after="0" w:line="277" w:lineRule="auto"/>
        <w:tabs>
          <w:tab w:leader="none" w:pos="9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both"/>
        <w:ind w:left="-20" w:right="139" w:firstLine="648"/>
        <w:spacing w:after="0" w:line="257" w:lineRule="auto"/>
        <w:tabs>
          <w:tab w:leader="none" w:pos="9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20" w:right="119" w:firstLine="648"/>
        <w:spacing w:after="0" w:line="289" w:lineRule="auto"/>
        <w:tabs>
          <w:tab w:leader="none" w:pos="918"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186055</wp:posOffset>
            </wp:positionV>
            <wp:extent cx="57607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extLst>
                    </a:blip>
                    <a:srcRect/>
                    <a:stretch>
                      <a:fillRect/>
                    </a:stretch>
                  </pic:blipFill>
                  <pic:spPr bwMode="auto">
                    <a:xfrm>
                      <a:off x="0" y="0"/>
                      <a:ext cx="5760720" cy="43180"/>
                    </a:xfrm>
                    <a:prstGeom prst="rect">
                      <a:avLst/>
                    </a:prstGeom>
                    <a:noFill/>
                  </pic:spPr>
                </pic:pic>
              </a:graphicData>
            </a:graphic>
          </wp:anchor>
        </w:drawing>
      </w:r>
    </w:p>
    <w:p>
      <w:pPr>
        <w:sectPr>
          <w:pgSz w:w="11900" w:h="16838" w:orient="portrait"/>
          <w:cols w:equalWidth="0" w:num="1">
            <w:col w:w="9139"/>
          </w:cols>
          <w:pgMar w:left="1320" w:top="125" w:right="1440"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County of St. Louis, State of Missouri on March 30, 2020.</w:t>
      </w:r>
    </w:p>
    <w:p>
      <w:pPr>
        <w:spacing w:after="0" w:line="18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BellRing Brands, Inc.</w:t>
      </w:r>
    </w:p>
    <w:p>
      <w:pPr>
        <w:spacing w:after="0" w:line="337" w:lineRule="exact"/>
        <w:rPr>
          <w:sz w:val="20"/>
          <w:szCs w:val="20"/>
          <w:color w:val="auto"/>
        </w:rPr>
      </w:pPr>
    </w:p>
    <w:p>
      <w:pPr>
        <w:ind w:left="3460"/>
        <w:spacing w:after="0"/>
        <w:tabs>
          <w:tab w:leader="none" w:pos="3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31750</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Darcy Horn Davenport</w:t>
      </w:r>
    </w:p>
    <w:p>
      <w:pPr>
        <w:spacing w:after="0" w:line="77" w:lineRule="exact"/>
        <w:rPr>
          <w:sz w:val="20"/>
          <w:szCs w:val="20"/>
          <w:color w:val="auto"/>
        </w:rPr>
      </w:pPr>
    </w:p>
    <w:p>
      <w:pPr>
        <w:ind w:left="3460"/>
        <w:spacing w:after="0"/>
        <w:tabs>
          <w:tab w:leader="none" w:pos="3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each of Craig L. Rosenthal and Paul A. Rode, with full power to each of them to act alone, his or her true and lawful attorney-in-fact and agent, with full power of substitution and resubstitution, for him or her and in his or her name, place and stead, in any and all capacities, to sign any and all amendments including post-effective amendments, and to file the same, with all exhibits thereto, and other documents in connection therewith, with the Securities and Exchange Commission, granting unto said attorneys-in-fact and agents, and each of them, or their substitute or substitutes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63" w:lineRule="exact"/>
        <w:rPr>
          <w:sz w:val="20"/>
          <w:szCs w:val="20"/>
          <w:color w:val="auto"/>
        </w:rPr>
      </w:pPr>
    </w:p>
    <w:p>
      <w:pPr>
        <w:ind w:left="1580"/>
        <w:spacing w:after="0"/>
        <w:tabs>
          <w:tab w:leader="none" w:pos="4600" w:val="left"/>
          <w:tab w:leader="none" w:pos="746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34290</wp:posOffset>
            </wp:positionV>
            <wp:extent cx="5220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ectPr>
          <w:pgSz w:w="11900" w:h="16838" w:orient="portrait"/>
          <w:cols w:equalWidth="0" w:num="1">
            <w:col w:w="9660"/>
          </w:cols>
          <w:pgMar w:left="980" w:top="12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31750</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57"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Robert V. Vitale</w:t>
      </w:r>
    </w:p>
    <w:p>
      <w:pPr>
        <w:spacing w:after="0" w:line="200" w:lineRule="exact"/>
        <w:rPr>
          <w:sz w:val="20"/>
          <w:szCs w:val="20"/>
          <w:color w:val="auto"/>
        </w:rPr>
      </w:pPr>
    </w:p>
    <w:p>
      <w:pPr>
        <w:spacing w:after="0" w:line="282"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31750</wp:posOffset>
            </wp:positionV>
            <wp:extent cx="157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57"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Darcy Horn Davenport</w:t>
      </w:r>
    </w:p>
    <w:p>
      <w:pPr>
        <w:spacing w:after="0" w:line="200" w:lineRule="exact"/>
        <w:rPr>
          <w:sz w:val="20"/>
          <w:szCs w:val="20"/>
          <w:color w:val="auto"/>
        </w:rPr>
      </w:pPr>
    </w:p>
    <w:p>
      <w:pPr>
        <w:spacing w:after="0" w:line="282"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31750</wp:posOffset>
            </wp:positionV>
            <wp:extent cx="1577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57"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Paul A. Rode</w:t>
      </w:r>
    </w:p>
    <w:p>
      <w:pPr>
        <w:spacing w:after="0" w:line="200" w:lineRule="exact"/>
        <w:rPr>
          <w:sz w:val="20"/>
          <w:szCs w:val="20"/>
          <w:color w:val="auto"/>
        </w:rPr>
      </w:pPr>
    </w:p>
    <w:p>
      <w:pPr>
        <w:spacing w:after="0" w:line="214"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31750</wp:posOffset>
            </wp:positionV>
            <wp:extent cx="1577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57"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Thomas P. Erickson</w:t>
      </w:r>
    </w:p>
    <w:p>
      <w:pPr>
        <w:spacing w:after="0" w:line="333" w:lineRule="exact"/>
        <w:rPr>
          <w:sz w:val="20"/>
          <w:szCs w:val="20"/>
          <w:color w:val="auto"/>
        </w:rPr>
      </w:pPr>
    </w:p>
    <w:p>
      <w:pPr>
        <w:jc w:val="center"/>
        <w:ind w:left="820"/>
        <w:spacing w:after="0"/>
        <w:rPr>
          <w:sz w:val="20"/>
          <w:szCs w:val="20"/>
          <w:color w:val="auto"/>
        </w:rPr>
      </w:pPr>
      <w:r>
        <w:rPr>
          <w:rFonts w:ascii="Arial" w:cs="Arial" w:eastAsia="Arial" w:hAnsi="Arial"/>
          <w:sz w:val="16"/>
          <w:szCs w:val="16"/>
          <w:color w:val="auto"/>
        </w:rPr>
        <w:t>/s/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46355</wp:posOffset>
            </wp:positionV>
            <wp:extent cx="1577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0" w:lineRule="exact"/>
        <w:rPr>
          <w:sz w:val="20"/>
          <w:szCs w:val="20"/>
          <w:color w:val="auto"/>
        </w:rPr>
      </w:pPr>
    </w:p>
    <w:p>
      <w:pPr>
        <w:jc w:val="center"/>
        <w:ind w:left="840"/>
        <w:spacing w:after="0"/>
        <w:rPr>
          <w:sz w:val="20"/>
          <w:szCs w:val="20"/>
          <w:color w:val="auto"/>
        </w:rPr>
      </w:pPr>
      <w:r>
        <w:rPr>
          <w:rFonts w:ascii="Arial" w:cs="Arial" w:eastAsia="Arial" w:hAnsi="Arial"/>
          <w:sz w:val="17"/>
          <w:szCs w:val="17"/>
          <w:color w:val="auto"/>
        </w:rPr>
        <w:t>Jennifer Kuperman Johnson</w:t>
      </w:r>
    </w:p>
    <w:p>
      <w:pPr>
        <w:spacing w:after="0" w:line="34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31750</wp:posOffset>
            </wp:positionV>
            <wp:extent cx="1577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57"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Elliot H. Stein,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jc w:val="center"/>
              <w:ind w:right="290"/>
              <w:spacing w:after="0"/>
              <w:rPr>
                <w:sz w:val="20"/>
                <w:szCs w:val="20"/>
                <w:color w:val="auto"/>
              </w:rPr>
            </w:pPr>
            <w:r>
              <w:rPr>
                <w:rFonts w:ascii="Arial" w:cs="Arial" w:eastAsia="Arial" w:hAnsi="Arial"/>
                <w:sz w:val="18"/>
                <w:szCs w:val="18"/>
                <w:color w:val="auto"/>
                <w:w w:val="91"/>
              </w:rPr>
              <w:t>Executive Chairman</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jc w:val="center"/>
              <w:ind w:right="290"/>
              <w:spacing w:after="0"/>
              <w:rPr>
                <w:sz w:val="20"/>
                <w:szCs w:val="20"/>
                <w:color w:val="auto"/>
              </w:rPr>
            </w:pPr>
            <w:r>
              <w:rPr>
                <w:rFonts w:ascii="Arial" w:cs="Arial" w:eastAsia="Arial" w:hAnsi="Arial"/>
                <w:sz w:val="18"/>
                <w:szCs w:val="18"/>
                <w:color w:val="auto"/>
                <w:w w:val="92"/>
              </w:rPr>
              <w:t>(Co-Principal Executive Officer and</w:t>
            </w:r>
          </w:p>
        </w:tc>
        <w:tc>
          <w:tcPr>
            <w:tcW w:w="1540" w:type="dxa"/>
            <w:vAlign w:val="bottom"/>
          </w:tcPr>
          <w:p>
            <w:pPr>
              <w:ind w:left="400"/>
              <w:spacing w:after="0"/>
              <w:rPr>
                <w:sz w:val="20"/>
                <w:szCs w:val="20"/>
                <w:color w:val="auto"/>
              </w:rPr>
            </w:pPr>
            <w:r>
              <w:rPr>
                <w:rFonts w:ascii="Arial" w:cs="Arial" w:eastAsia="Arial" w:hAnsi="Arial"/>
                <w:sz w:val="18"/>
                <w:szCs w:val="18"/>
                <w:color w:val="auto"/>
                <w:w w:val="89"/>
              </w:rPr>
              <w:t>March 30, 2020</w:t>
            </w:r>
          </w:p>
        </w:tc>
        <w:tc>
          <w:tcPr>
            <w:tcW w:w="0" w:type="dxa"/>
            <w:vAlign w:val="bottom"/>
          </w:tcPr>
          <w:p>
            <w:pPr>
              <w:spacing w:after="0"/>
              <w:rPr>
                <w:sz w:val="1"/>
                <w:szCs w:val="1"/>
                <w:color w:val="auto"/>
              </w:rPr>
            </w:pPr>
          </w:p>
        </w:tc>
      </w:tr>
      <w:tr>
        <w:trPr>
          <w:trHeight w:val="230"/>
        </w:trPr>
        <w:tc>
          <w:tcPr>
            <w:tcW w:w="3420" w:type="dxa"/>
            <w:vAlign w:val="bottom"/>
          </w:tcPr>
          <w:p>
            <w:pPr>
              <w:jc w:val="center"/>
              <w:ind w:right="31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420" w:type="dxa"/>
            <w:vAlign w:val="bottom"/>
          </w:tcPr>
          <w:p>
            <w:pPr>
              <w:jc w:val="center"/>
              <w:ind w:right="290"/>
              <w:spacing w:after="0"/>
              <w:rPr>
                <w:sz w:val="20"/>
                <w:szCs w:val="20"/>
                <w:color w:val="auto"/>
              </w:rPr>
            </w:pPr>
            <w:r>
              <w:rPr>
                <w:rFonts w:ascii="Arial" w:cs="Arial" w:eastAsia="Arial" w:hAnsi="Arial"/>
                <w:sz w:val="18"/>
                <w:szCs w:val="18"/>
                <w:color w:val="auto"/>
                <w:w w:val="90"/>
              </w:rPr>
              <w:t>President and Chief Executive Officer and</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ind w:left="400"/>
              <w:spacing w:after="0"/>
              <w:rPr>
                <w:sz w:val="20"/>
                <w:szCs w:val="20"/>
                <w:color w:val="auto"/>
              </w:rPr>
            </w:pPr>
            <w:r>
              <w:rPr>
                <w:rFonts w:ascii="Arial" w:cs="Arial" w:eastAsia="Arial" w:hAnsi="Arial"/>
                <w:sz w:val="18"/>
                <w:szCs w:val="18"/>
                <w:color w:val="auto"/>
                <w:w w:val="89"/>
              </w:rPr>
              <w:t>March 30, 2020</w:t>
            </w:r>
          </w:p>
        </w:tc>
        <w:tc>
          <w:tcPr>
            <w:tcW w:w="0" w:type="dxa"/>
            <w:vAlign w:val="bottom"/>
          </w:tcPr>
          <w:p>
            <w:pPr>
              <w:spacing w:after="0"/>
              <w:rPr>
                <w:sz w:val="1"/>
                <w:szCs w:val="1"/>
                <w:color w:val="auto"/>
              </w:rPr>
            </w:pPr>
          </w:p>
        </w:tc>
      </w:tr>
      <w:tr>
        <w:trPr>
          <w:trHeight w:val="230"/>
        </w:trPr>
        <w:tc>
          <w:tcPr>
            <w:tcW w:w="3420" w:type="dxa"/>
            <w:vAlign w:val="bottom"/>
          </w:tcPr>
          <w:p>
            <w:pPr>
              <w:jc w:val="center"/>
              <w:ind w:right="290"/>
              <w:spacing w:after="0"/>
              <w:rPr>
                <w:sz w:val="20"/>
                <w:szCs w:val="20"/>
                <w:color w:val="auto"/>
              </w:rPr>
            </w:pPr>
            <w:r>
              <w:rPr>
                <w:rFonts w:ascii="Arial" w:cs="Arial" w:eastAsia="Arial" w:hAnsi="Arial"/>
                <w:sz w:val="18"/>
                <w:szCs w:val="18"/>
                <w:color w:val="auto"/>
                <w:w w:val="93"/>
              </w:rPr>
              <w:t>(Co-Principal Executive Officer)</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420" w:type="dxa"/>
            <w:vAlign w:val="bottom"/>
          </w:tcPr>
          <w:p>
            <w:pPr>
              <w:jc w:val="center"/>
              <w:ind w:right="310"/>
              <w:spacing w:after="0"/>
              <w:rPr>
                <w:sz w:val="20"/>
                <w:szCs w:val="20"/>
                <w:color w:val="auto"/>
              </w:rPr>
            </w:pPr>
            <w:r>
              <w:rPr>
                <w:rFonts w:ascii="Arial" w:cs="Arial" w:eastAsia="Arial" w:hAnsi="Arial"/>
                <w:sz w:val="18"/>
                <w:szCs w:val="18"/>
                <w:color w:val="auto"/>
                <w:w w:val="91"/>
              </w:rPr>
              <w:t>Chief Financial Officer and Treasurer</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jc w:val="center"/>
              <w:ind w:right="310"/>
              <w:spacing w:after="0"/>
              <w:rPr>
                <w:sz w:val="20"/>
                <w:szCs w:val="20"/>
                <w:color w:val="auto"/>
              </w:rPr>
            </w:pPr>
            <w:r>
              <w:rPr>
                <w:rFonts w:ascii="Arial" w:cs="Arial" w:eastAsia="Arial" w:hAnsi="Arial"/>
                <w:sz w:val="18"/>
                <w:szCs w:val="18"/>
                <w:color w:val="auto"/>
                <w:w w:val="93"/>
              </w:rPr>
              <w:t>(Principal Financial and Accounting</w:t>
            </w:r>
          </w:p>
        </w:tc>
        <w:tc>
          <w:tcPr>
            <w:tcW w:w="1540" w:type="dxa"/>
            <w:vAlign w:val="bottom"/>
          </w:tcPr>
          <w:p>
            <w:pPr>
              <w:ind w:left="400"/>
              <w:spacing w:after="0"/>
              <w:rPr>
                <w:sz w:val="20"/>
                <w:szCs w:val="20"/>
                <w:color w:val="auto"/>
              </w:rPr>
            </w:pPr>
            <w:r>
              <w:rPr>
                <w:rFonts w:ascii="Arial" w:cs="Arial" w:eastAsia="Arial" w:hAnsi="Arial"/>
                <w:sz w:val="18"/>
                <w:szCs w:val="18"/>
                <w:color w:val="auto"/>
                <w:w w:val="89"/>
              </w:rPr>
              <w:t>March 30, 2020</w:t>
            </w:r>
          </w:p>
        </w:tc>
        <w:tc>
          <w:tcPr>
            <w:tcW w:w="0" w:type="dxa"/>
            <w:vAlign w:val="bottom"/>
          </w:tcPr>
          <w:p>
            <w:pPr>
              <w:spacing w:after="0"/>
              <w:rPr>
                <w:sz w:val="1"/>
                <w:szCs w:val="1"/>
                <w:color w:val="auto"/>
              </w:rPr>
            </w:pPr>
          </w:p>
        </w:tc>
      </w:tr>
      <w:tr>
        <w:trPr>
          <w:trHeight w:val="230"/>
        </w:trPr>
        <w:tc>
          <w:tcPr>
            <w:tcW w:w="3420" w:type="dxa"/>
            <w:vAlign w:val="bottom"/>
          </w:tcPr>
          <w:p>
            <w:pPr>
              <w:jc w:val="center"/>
              <w:ind w:right="310"/>
              <w:spacing w:after="0"/>
              <w:rPr>
                <w:sz w:val="20"/>
                <w:szCs w:val="20"/>
                <w:color w:val="auto"/>
              </w:rPr>
            </w:pPr>
            <w:r>
              <w:rPr>
                <w:rFonts w:ascii="Arial" w:cs="Arial" w:eastAsia="Arial" w:hAnsi="Arial"/>
                <w:sz w:val="18"/>
                <w:szCs w:val="18"/>
                <w:color w:val="auto"/>
                <w:w w:val="98"/>
              </w:rPr>
              <w:t>Officer)</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342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ind w:left="400"/>
              <w:spacing w:after="0"/>
              <w:rPr>
                <w:sz w:val="20"/>
                <w:szCs w:val="20"/>
                <w:color w:val="auto"/>
              </w:rPr>
            </w:pPr>
            <w:r>
              <w:rPr>
                <w:rFonts w:ascii="Arial" w:cs="Arial" w:eastAsia="Arial" w:hAnsi="Arial"/>
                <w:sz w:val="18"/>
                <w:szCs w:val="18"/>
                <w:color w:val="auto"/>
                <w:w w:val="89"/>
              </w:rPr>
              <w:t>March 30, 2020</w:t>
            </w:r>
          </w:p>
        </w:tc>
        <w:tc>
          <w:tcPr>
            <w:tcW w:w="0" w:type="dxa"/>
            <w:vAlign w:val="bottom"/>
          </w:tcPr>
          <w:p>
            <w:pPr>
              <w:spacing w:after="0"/>
              <w:rPr>
                <w:sz w:val="1"/>
                <w:szCs w:val="1"/>
                <w:color w:val="auto"/>
              </w:rPr>
            </w:pPr>
          </w:p>
        </w:tc>
      </w:tr>
      <w:tr>
        <w:trPr>
          <w:trHeight w:val="823"/>
        </w:trPr>
        <w:tc>
          <w:tcPr>
            <w:tcW w:w="342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ind w:left="400"/>
              <w:spacing w:after="0"/>
              <w:rPr>
                <w:sz w:val="20"/>
                <w:szCs w:val="20"/>
                <w:color w:val="auto"/>
              </w:rPr>
            </w:pPr>
            <w:r>
              <w:rPr>
                <w:rFonts w:ascii="Arial" w:cs="Arial" w:eastAsia="Arial" w:hAnsi="Arial"/>
                <w:sz w:val="18"/>
                <w:szCs w:val="18"/>
                <w:color w:val="auto"/>
                <w:w w:val="89"/>
              </w:rPr>
              <w:t>March 30, 2020</w:t>
            </w:r>
          </w:p>
        </w:tc>
        <w:tc>
          <w:tcPr>
            <w:tcW w:w="0" w:type="dxa"/>
            <w:vAlign w:val="bottom"/>
          </w:tcPr>
          <w:p>
            <w:pPr>
              <w:spacing w:after="0"/>
              <w:rPr>
                <w:sz w:val="1"/>
                <w:szCs w:val="1"/>
                <w:color w:val="auto"/>
              </w:rPr>
            </w:pPr>
          </w:p>
        </w:tc>
      </w:tr>
      <w:tr>
        <w:trPr>
          <w:trHeight w:val="688"/>
        </w:trPr>
        <w:tc>
          <w:tcPr>
            <w:tcW w:w="342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1540" w:type="dxa"/>
            <w:vAlign w:val="bottom"/>
            <w:vMerge w:val="restart"/>
          </w:tcPr>
          <w:p>
            <w:pPr>
              <w:ind w:left="400"/>
              <w:spacing w:after="0"/>
              <w:rPr>
                <w:sz w:val="20"/>
                <w:szCs w:val="20"/>
                <w:color w:val="auto"/>
              </w:rPr>
            </w:pPr>
            <w:r>
              <w:rPr>
                <w:rFonts w:ascii="Arial" w:cs="Arial" w:eastAsia="Arial" w:hAnsi="Arial"/>
                <w:sz w:val="18"/>
                <w:szCs w:val="18"/>
                <w:color w:val="auto"/>
                <w:w w:val="89"/>
              </w:rPr>
              <w:t>March 30, 2020</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2">
            <w:col w:w="3060" w:space="220"/>
            <w:col w:w="6380"/>
          </w:cols>
          <w:pgMar w:left="980" w:top="121" w:right="1259" w:bottom="1440" w:gutter="0" w:footer="0" w:header="0"/>
          <w:type w:val="continuous"/>
        </w:sectPr>
      </w:pPr>
    </w:p>
    <w:bookmarkStart w:id="6" w:name="page7"/>
    <w:bookmarkEnd w:id="6"/>
    <w:p>
      <w:pPr>
        <w:jc w:val="right"/>
        <w:ind w:right="399"/>
        <w:spacing w:after="0"/>
        <w:rPr>
          <w:sz w:val="20"/>
          <w:szCs w:val="20"/>
          <w:color w:val="auto"/>
        </w:rPr>
      </w:pPr>
      <w:r>
        <w:rPr>
          <w:rFonts w:ascii="Arial" w:cs="Arial" w:eastAsia="Arial" w:hAnsi="Arial"/>
          <w:sz w:val="18"/>
          <w:szCs w:val="18"/>
          <w:u w:val="single" w:color="auto"/>
          <w:color w:val="auto"/>
        </w:rPr>
        <w:t>Exhibit 5.1</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30, 2020</w:t>
      </w: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 Louis, Missouri 63144</w:t>
      </w: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 BellRing Brands, Inc. Deferred Compensation Plan for Directors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ind w:left="180" w:right="499"/>
        <w:spacing w:after="0" w:line="286" w:lineRule="auto"/>
        <w:rPr>
          <w:sz w:val="20"/>
          <w:szCs w:val="20"/>
          <w:color w:val="auto"/>
        </w:rPr>
      </w:pPr>
      <w:r>
        <w:rPr>
          <w:rFonts w:ascii="Arial" w:cs="Arial" w:eastAsia="Arial" w:hAnsi="Arial"/>
          <w:sz w:val="16"/>
          <w:szCs w:val="16"/>
          <w:color w:val="auto"/>
        </w:rPr>
        <w:t>I am an attorney duly licensed to practice law in the State of Missouri. With reference to the registration statement on Form S-8 (the “Registration Statement”) being filed with the Securities and Exchange Commission pursuant to the Securities Act of 1933, as amended (the “Securities Act”), on March 30, 2020, by BellRing Brands, Inc., a Delaware corporation (the “Company”), pertaining to the proposed issuance by the Company of up to 300,000 shares of the Company’s Class A common stock, $0.01 par value per share (the “Shares”), pursuant to the BellRing Brands, Inc. Deferred Compensation Plan for Directors (the “Plan”), I have examined such corporate records of the Company, such laws and such other information as I have deemed relevant, including the Company’s Amended and Restated Certificate of Incorporation and Amended and Restated Bylaws and resolutions adopted by the Board of Directors relating to such issuance, the written document constituting the Plan, certificates received from state officials and statements I have received from officers and representatives of the Company. In delivering this opinion, I have assumed the genuineness of all signatures, the authenticity of all documents submitted to me as originals, the conformity to the originals of all documents submitted to me as certified, photostatic or conformed copies, the authenticity of originals of all such latter documents and the correctness of statements submitted to me by officers and representatives of the Company.</w:t>
      </w:r>
    </w:p>
    <w:p>
      <w:pPr>
        <w:spacing w:after="0" w:line="198" w:lineRule="exact"/>
        <w:rPr>
          <w:sz w:val="20"/>
          <w:szCs w:val="20"/>
          <w:color w:val="auto"/>
        </w:rPr>
      </w:pPr>
    </w:p>
    <w:p>
      <w:pPr>
        <w:ind w:left="180" w:right="499"/>
        <w:spacing w:after="0" w:line="263" w:lineRule="auto"/>
        <w:rPr>
          <w:sz w:val="20"/>
          <w:szCs w:val="20"/>
          <w:color w:val="auto"/>
        </w:rPr>
      </w:pPr>
      <w:r>
        <w:rPr>
          <w:rFonts w:ascii="Arial" w:cs="Arial" w:eastAsia="Arial" w:hAnsi="Arial"/>
          <w:sz w:val="18"/>
          <w:szCs w:val="18"/>
          <w:color w:val="auto"/>
        </w:rPr>
        <w:t>Based solely on the foregoing, I am of the opinion that the Shares to be issued by the Company pursuant to the Plan have been duly authorized and, when issued by the Company in accordance with the Plan, will be validly issued, fully paid and nonassessable.</w:t>
      </w:r>
    </w:p>
    <w:p>
      <w:pPr>
        <w:spacing w:after="0" w:line="211" w:lineRule="exact"/>
        <w:rPr>
          <w:sz w:val="20"/>
          <w:szCs w:val="20"/>
          <w:color w:val="auto"/>
        </w:rPr>
      </w:pPr>
    </w:p>
    <w:p>
      <w:pPr>
        <w:ind w:left="180" w:right="499"/>
        <w:spacing w:after="0" w:line="263" w:lineRule="auto"/>
        <w:rPr>
          <w:sz w:val="20"/>
          <w:szCs w:val="20"/>
          <w:color w:val="auto"/>
        </w:rPr>
      </w:pPr>
      <w:r>
        <w:rPr>
          <w:rFonts w:ascii="Arial" w:cs="Arial" w:eastAsia="Arial" w:hAnsi="Arial"/>
          <w:sz w:val="18"/>
          <w:szCs w:val="18"/>
          <w:color w:val="auto"/>
        </w:rPr>
        <w:t>I consent to the filing of this opinion as Exhibit 5.1 to the Registration Statement. In giving this consent, I do not hereby admit that I am in the category of persons whose consent is required under Section 7 of the Securities Act or the rules and regulations thereunder.</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Sincerely,</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Craig L. Rosenthal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Craig L. Rosenthal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9019"/>
          </w:cols>
          <w:pgMar w:left="1440" w:top="125" w:right="1440" w:bottom="1440" w:gutter="0" w:footer="0" w:header="0"/>
        </w:sectPr>
      </w:pPr>
    </w:p>
    <w:bookmarkStart w:id="7" w:name="page8"/>
    <w:bookmarkEnd w:id="7"/>
    <w:p>
      <w:pPr>
        <w:ind w:left="7600"/>
        <w:spacing w:after="0"/>
        <w:rPr>
          <w:sz w:val="20"/>
          <w:szCs w:val="20"/>
          <w:color w:val="auto"/>
        </w:rPr>
      </w:pPr>
      <w:r>
        <w:rPr>
          <w:rFonts w:ascii="Arial" w:cs="Arial" w:eastAsia="Arial" w:hAnsi="Arial"/>
          <w:sz w:val="17"/>
          <w:szCs w:val="17"/>
          <w:u w:val="single" w:color="auto"/>
          <w:color w:val="auto"/>
        </w:rPr>
        <w:t>Exhibit 23.1</w:t>
      </w:r>
    </w:p>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ind w:left="180" w:right="499"/>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S-8 of Bellring Brands, Inc. of our report dated November 22, 2019 relating to the financial statement of BellRing Brands, Inc., which appears in BellRing Brands, Inc.’s Annual Report on Form 10-K for the year ended September 30, 2019.</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30, 2020</w:t>
      </w:r>
    </w:p>
    <w:p>
      <w:pPr>
        <w:sectPr>
          <w:pgSz w:w="11900" w:h="16838" w:orient="portrait"/>
          <w:cols w:equalWidth="0" w:num="1">
            <w:col w:w="9019"/>
          </w:cols>
          <w:pgMar w:left="1440" w:top="125" w:right="1440" w:bottom="1440" w:gutter="0" w:footer="0" w:header="0"/>
        </w:sectPr>
      </w:pPr>
    </w:p>
    <w:bookmarkStart w:id="8" w:name="page9"/>
    <w:bookmarkEnd w:id="8"/>
    <w:p>
      <w:pPr>
        <w:jc w:val="right"/>
        <w:ind w:right="459"/>
        <w:spacing w:after="0"/>
        <w:rPr>
          <w:sz w:val="20"/>
          <w:szCs w:val="20"/>
          <w:color w:val="auto"/>
        </w:rPr>
      </w:pPr>
      <w:r>
        <w:rPr>
          <w:rFonts w:ascii="Arial" w:cs="Arial" w:eastAsia="Arial" w:hAnsi="Arial"/>
          <w:sz w:val="18"/>
          <w:szCs w:val="18"/>
          <w:u w:val="single" w:color="auto"/>
          <w:color w:val="auto"/>
        </w:rPr>
        <w:t>Exhibit 23.2</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ind w:left="180" w:right="719"/>
        <w:spacing w:after="0" w:line="275" w:lineRule="auto"/>
        <w:rPr>
          <w:sz w:val="20"/>
          <w:szCs w:val="20"/>
          <w:color w:val="auto"/>
        </w:rPr>
      </w:pPr>
      <w:r>
        <w:rPr>
          <w:rFonts w:ascii="Arial" w:cs="Arial" w:eastAsia="Arial" w:hAnsi="Arial"/>
          <w:sz w:val="17"/>
          <w:szCs w:val="17"/>
          <w:color w:val="auto"/>
        </w:rPr>
        <w:t>We hereby consent to the incorporation by reference in this Registration Statement on Form S-8 of BellRing Brands, Inc. of our report dated November 22, 2019 relating to the financial statements of Active Nutrition (the combination of Premier Nutrition Company, LLC (formerly known as Premier Nutrition Corporation), Dymatize Enterprises, LLC and Active Nutrition International GmbH of Post Holdings, Inc.), which appears in BellRing Brands, Inc.’s Annual Report on Form 10-K for the year ended September 30, 2019.</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30, 2020</w:t>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lvl w:ilvl="1">
      <w:lvlJc w:val="left"/>
      <w:lvlText w:val="(%2)"/>
      <w:numFmt w:val="lowerLetter"/>
      <w:start w:val="9"/>
    </w:lvl>
  </w:abstractNum>
  <w:abstractNum w:abstractNumId="3">
    <w:nsid w:val="46E87CCD"/>
    <w:multiLevelType w:val="hybridMultilevel"/>
    <w:lvl w:ilvl="0">
      <w:lvlJc w:val="left"/>
      <w:lvlText w:val="%1"/>
      <w:numFmt w:val="decimal"/>
      <w:start w:val="1"/>
    </w:lvl>
    <w:lvl w:ilvl="1">
      <w:lvlJc w:val="left"/>
      <w:lvlText w:val="(%2)"/>
      <w:numFmt w:val="lowerRoman"/>
      <w:start w:val="2"/>
    </w:lvl>
  </w:abstractNum>
  <w:abstractNum w:abstractNumId="4">
    <w:nsid w:val="3D1B58BA"/>
    <w:multiLevelType w:val="hybridMultilevel"/>
    <w:lvl w:ilvl="0">
      <w:lvlJc w:val="left"/>
      <w:lvlText w:val="(%1)"/>
      <w:numFmt w:val="decimal"/>
      <w:start w:val="2"/>
    </w:lvl>
    <w:lvl w:ilvl="1">
      <w:lvlJc w:val="left"/>
      <w:lvlText w:val="%2"/>
      <w:numFmt w:val="lowerRoman"/>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7"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10" Type="http://schemas.openxmlformats.org/officeDocument/2006/relationships/hyperlink" Target="http://www.sec.gov/Archives/edgar/data/1772016/000177201619000038/brbrfy201910k.htm" TargetMode="External"/><Relationship Id="rId11" Type="http://schemas.openxmlformats.org/officeDocument/2006/relationships/hyperlink" Target="http://www.sec.gov/Archives/edgar/data/1772016/000177201619000046/brbr_8kx112019.htm" TargetMode="External"/><Relationship Id="rId12" Type="http://schemas.openxmlformats.org/officeDocument/2006/relationships/hyperlink" Target="http://www.sec.gov/Archives/edgar/data/1772016/000162828019014872/brbrform8kfonterraagmt1209.htm" TargetMode="External"/><Relationship Id="rId13" Type="http://schemas.openxmlformats.org/officeDocument/2006/relationships/hyperlink" Target="http://www.sec.gov/Archives/edgar/data/1772016/000177201620000002/brbrform8k-executivesevera.htm" TargetMode="External"/><Relationship Id="rId14" Type="http://schemas.openxmlformats.org/officeDocument/2006/relationships/hyperlink" Target="http://www.sec.gov/Archives/edgar/data/1772016/000177201620000020/brbrform8-kx2020annual.htm" TargetMode="External"/><Relationship Id="rId15" Type="http://schemas.openxmlformats.org/officeDocument/2006/relationships/hyperlink" Target="http://www.sec.gov/Archives/edgar/data/1772016/000177201620000022/brbrform8-kxrevolverdr.htm" TargetMode="External"/><Relationship Id="rId16" Type="http://schemas.openxmlformats.org/officeDocument/2006/relationships/hyperlink" Target="http://www.sec.gov/Archives/edgar/data/1772016/000119312519268568/d819491d8a12b.htm" TargetMode="External"/><Relationship Id="rId18" Type="http://schemas.openxmlformats.org/officeDocument/2006/relationships/hyperlink" Target="http://www.sec.gov/Archives/edgar/data/1772016/000119312519270862/d812149dex31.htm" TargetMode="External"/><Relationship Id="rId19" Type="http://schemas.openxmlformats.org/officeDocument/2006/relationships/hyperlink" Target="http://www.sec.gov/Archives/edgar/data/1772016/000119312519270862/d812149dex32.htm" TargetMode="External"/><Relationship Id="rId20" Type="http://schemas.openxmlformats.org/officeDocument/2006/relationships/hyperlink" Target="http://www.sec.gov/Archives/edgar/data/1772016/000177201620000018/brbrq12020ex1020.htm" TargetMode="External"/><Relationship Id="rId21" Type="http://schemas.openxmlformats.org/officeDocument/2006/relationships/hyperlink" Target="file:///data/convert/brbr_ex5z1.htm" TargetMode="External"/><Relationship Id="rId22" Type="http://schemas.openxmlformats.org/officeDocument/2006/relationships/hyperlink" Target="file:///data/convert/brbr_ex23z1.htm" TargetMode="External"/><Relationship Id="rId23" Type="http://schemas.openxmlformats.org/officeDocument/2006/relationships/hyperlink" Target="file:///data/convert/brbr_ex23z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2020-03-30T16:43:41Z</dcterms:created>
  <dcterms:modified xsi:type="dcterms:W3CDTF">2020-03-30T16:43:41Z</dcterms:modified>
</cp:coreProperties>
</file>