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71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7100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VITALE ROBERT V</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03/02/2026</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2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 N BRENTWOOD BLVD., SUITE 1550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63105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82,000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5"/>
              <w:spacing w:after="0"/>
              <w:rPr>
                <w:sz w:val="20"/>
                <w:szCs w:val="20"/>
                <w:color w:val="auto"/>
              </w:rPr>
            </w:pPr>
            <w:r>
              <w:rPr>
                <w:rFonts w:ascii="Times New Roman" w:cs="Times New Roman" w:eastAsia="Times New Roman" w:hAnsi="Times New Roman"/>
                <w:sz w:val="17"/>
                <w:szCs w:val="17"/>
                <w:color w:val="0000FF"/>
              </w:rPr>
              <w:t>726,848</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82,000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5"/>
              <w:spacing w:after="0"/>
              <w:rPr>
                <w:sz w:val="20"/>
                <w:szCs w:val="20"/>
                <w:color w:val="auto"/>
              </w:rPr>
            </w:pPr>
            <w:r>
              <w:rPr>
                <w:rFonts w:ascii="Times New Roman" w:cs="Times New Roman" w:eastAsia="Times New Roman" w:hAnsi="Times New Roman"/>
                <w:sz w:val="17"/>
                <w:szCs w:val="17"/>
                <w:color w:val="0000FF"/>
              </w:rPr>
              <w:t>644,848</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65"/>
              <w:spacing w:after="0"/>
              <w:rPr>
                <w:sz w:val="20"/>
                <w:szCs w:val="20"/>
                <w:color w:val="auto"/>
              </w:rPr>
            </w:pPr>
            <w:r>
              <w:rPr>
                <w:rFonts w:ascii="Times New Roman" w:cs="Times New Roman" w:eastAsia="Times New Roman" w:hAnsi="Times New Roman"/>
                <w:sz w:val="17"/>
                <w:szCs w:val="17"/>
                <w:color w:val="0000FF"/>
              </w:rPr>
              <w:t>82,000</w:t>
            </w:r>
          </w:p>
        </w:tc>
        <w:tc>
          <w:tcPr>
            <w:tcW w:w="940" w:type="dxa"/>
            <w:vAlign w:val="bottom"/>
            <w:vMerge w:val="restart"/>
          </w:tcPr>
          <w:p>
            <w:pPr>
              <w:jc w:val="center"/>
              <w:ind w:right="60"/>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(1)</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left="65"/>
              <w:spacing w:after="0"/>
              <w:rPr>
                <w:sz w:val="20"/>
                <w:szCs w:val="20"/>
                <w:color w:val="auto"/>
              </w:rPr>
            </w:pPr>
            <w:r>
              <w:rPr>
                <w:rFonts w:ascii="Times New Roman" w:cs="Times New Roman" w:eastAsia="Times New Roman" w:hAnsi="Times New Roman"/>
                <w:sz w:val="17"/>
                <w:szCs w:val="17"/>
                <w:color w:val="0000FF"/>
              </w:rPr>
              <w:t>214,483</w:t>
            </w:r>
          </w:p>
        </w:tc>
        <w:tc>
          <w:tcPr>
            <w:tcW w:w="940" w:type="dxa"/>
            <w:vAlign w:val="bottom"/>
          </w:tcPr>
          <w:p>
            <w:pPr>
              <w:jc w:val="center"/>
              <w:ind w:right="6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(Robert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Vitale)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center"/>
              <w:ind w:left="65"/>
              <w:spacing w:after="0"/>
              <w:rPr>
                <w:sz w:val="20"/>
                <w:szCs w:val="20"/>
                <w:color w:val="auto"/>
              </w:rPr>
            </w:pPr>
            <w:r>
              <w:rPr>
                <w:rFonts w:ascii="Times New Roman" w:cs="Times New Roman" w:eastAsia="Times New Roman" w:hAnsi="Times New Roman"/>
                <w:sz w:val="17"/>
                <w:szCs w:val="17"/>
                <w:color w:val="0000FF"/>
              </w:rPr>
              <w:t>166,021</w:t>
            </w:r>
          </w:p>
        </w:tc>
        <w:tc>
          <w:tcPr>
            <w:tcW w:w="940" w:type="dxa"/>
            <w:vAlign w:val="bottom"/>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2026, the reporting person transferred 82,000 shares of Issuer common stock to the reporting person's spouse for no consideration.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 2026, the reporting person transferred 82,000 shares of Issuer common stock to the 2020 Family Trust for no consideration. The reporting person and his spouse are trustees of the trust, and the reporting person and members of his immediate family are the sole beneficiaries of the trust. The reporting person remains the beneficial owner of the securities held by the trust.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0021"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2026-03-04T16:48:35Z</dcterms:created>
  <dcterms:modified xsi:type="dcterms:W3CDTF">2026-03-04T16:48:35Z</dcterms:modified>
</cp:coreProperties>
</file>