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079823100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980" w:firstLine="8"/>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00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86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auto"/>
              <w:right w:val="single" w:sz="8" w:color="auto"/>
            </w:tcBorders>
          </w:tcPr>
          <w:p>
            <w:pPr>
              <w:spacing w:after="0"/>
              <w:rPr>
                <w:sz w:val="19"/>
                <w:szCs w:val="19"/>
                <w:color w:val="auto"/>
              </w:rPr>
            </w:pPr>
          </w:p>
        </w:tc>
        <w:tc>
          <w:tcPr>
            <w:tcW w:w="862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80" w:type="dxa"/>
            <w:vAlign w:val="bottom"/>
            <w:tcBorders>
              <w:right w:val="single" w:sz="8" w:color="auto"/>
            </w:tcBorders>
            <w:vMerge w:val="continue"/>
          </w:tcPr>
          <w:p>
            <w:pPr>
              <w:spacing w:after="0"/>
              <w:rPr>
                <w:sz w:val="8"/>
                <w:szCs w:val="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6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8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80" w:type="dxa"/>
            <w:vAlign w:val="bottom"/>
            <w:tcBorders>
              <w:bottom w:val="single" w:sz="8" w:color="auto"/>
              <w:right w:val="single" w:sz="8" w:color="auto"/>
            </w:tcBorders>
          </w:tcPr>
          <w:p>
            <w:pPr>
              <w:spacing w:after="0"/>
              <w:rPr>
                <w:sz w:val="12"/>
                <w:szCs w:val="12"/>
                <w:color w:val="auto"/>
              </w:rPr>
            </w:pPr>
          </w:p>
        </w:tc>
        <w:tc>
          <w:tcPr>
            <w:tcW w:w="862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8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2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208,333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420"/>
          </w:cols>
          <w:pgMar w:left="240" w:top="5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420"/>
          </w:cols>
          <w:pgMar w:left="240" w:top="5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208,333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208,333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208,333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208,333 (See Item 4(a))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54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3560" w:type="dxa"/>
            <w:vAlign w:val="bottom"/>
          </w:tcPr>
          <w:p>
            <w:pPr>
              <w:ind w:left="224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320" w:hanging="39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BellRing Brands, Inc., a Delaware corporation (the "Issuer").</w:t>
      </w:r>
    </w:p>
    <w:p>
      <w:pPr>
        <w:spacing w:after="0" w:line="231" w:lineRule="exact"/>
        <w:rPr>
          <w:rFonts w:ascii="Arial" w:cs="Arial" w:eastAsia="Arial" w:hAnsi="Arial"/>
          <w:sz w:val="18"/>
          <w:szCs w:val="18"/>
          <w:color w:val="auto"/>
        </w:rPr>
      </w:pPr>
    </w:p>
    <w:p>
      <w:pPr>
        <w:ind w:left="1320" w:hanging="39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St. Louis, Missouri 63144</w:t>
      </w:r>
    </w:p>
    <w:p>
      <w:pPr>
        <w:spacing w:after="0" w:line="217"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320" w:hanging="39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20" w:hanging="39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320" w:right="408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ICS Opportunities II LLC</w:t>
      </w:r>
    </w:p>
    <w:p>
      <w:pPr>
        <w:spacing w:after="0" w:line="15" w:lineRule="exact"/>
        <w:rPr>
          <w:rFonts w:ascii="Arial" w:cs="Arial" w:eastAsia="Arial" w:hAnsi="Arial"/>
          <w:sz w:val="18"/>
          <w:szCs w:val="18"/>
          <w:color w:val="auto"/>
        </w:rPr>
      </w:pPr>
    </w:p>
    <w:p>
      <w:pPr>
        <w:ind w:left="1320" w:right="34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320" w:right="46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320" w:right="34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320" w:right="46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320" w:right="370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right="45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right="402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320" w:right="42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320" w:hanging="39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5"/>
          <w:szCs w:val="15"/>
          <w:color w:val="auto"/>
        </w:rPr>
        <w:t>Class A common stock, par value $0.01 per share ("Class A Common Stock")</w:t>
      </w:r>
    </w:p>
    <w:p>
      <w:pPr>
        <w:spacing w:after="0" w:line="286" w:lineRule="exact"/>
        <w:rPr>
          <w:rFonts w:ascii="Arial" w:cs="Arial" w:eastAsia="Arial" w:hAnsi="Arial"/>
          <w:sz w:val="18"/>
          <w:szCs w:val="18"/>
          <w:color w:val="auto"/>
        </w:rPr>
      </w:pPr>
    </w:p>
    <w:p>
      <w:pPr>
        <w:ind w:left="1320" w:right="5520" w:hanging="394"/>
        <w:spacing w:after="0" w:line="613"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079823100</w:t>
      </w:r>
    </w:p>
    <w:p>
      <w:pPr>
        <w:spacing w:after="0" w:line="20" w:lineRule="exact"/>
        <w:rPr>
          <w:sz w:val="20"/>
          <w:szCs w:val="20"/>
          <w:color w:val="auto"/>
        </w:rPr>
      </w:pPr>
      <w:r>
        <w:rPr>
          <w:sz w:val="20"/>
          <w:szCs w:val="20"/>
          <w:color w:val="auto"/>
        </w:rPr>
        <w:br w:type="column"/>
      </w:r>
    </w:p>
    <w:p>
      <w:pPr>
        <w:spacing w:after="0"/>
        <w:tabs>
          <w:tab w:leader="none" w:pos="840" w:val="left"/>
          <w:tab w:leader="none" w:pos="1460" w:val="left"/>
          <w:tab w:leader="none" w:pos="214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-127635</wp:posOffset>
            </wp:positionV>
            <wp:extent cx="142748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7480" cy="158750"/>
                    </a:xfrm>
                    <a:prstGeom prst="rect">
                      <a:avLst/>
                    </a:prstGeom>
                    <a:noFill/>
                  </pic:spPr>
                </pic:pic>
              </a:graphicData>
            </a:graphic>
          </wp:anchor>
        </w:drawing>
      </w:r>
    </w:p>
    <w:p>
      <w:pPr>
        <w:sectPr>
          <w:pgSz w:w="11900" w:h="16838" w:orient="portrait"/>
          <w:cols w:equalWidth="0" w:num="2">
            <w:col w:w="8000" w:space="720"/>
            <w:col w:w="2340"/>
          </w:cols>
          <w:pgMar w:left="240" w:top="332" w:right="5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420"/>
          </w:cols>
          <w:pgMar w:left="240" w:top="54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4" w:lineRule="exact"/>
        <w:rPr>
          <w:sz w:val="20"/>
          <w:szCs w:val="20"/>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80" w:right="140" w:hanging="899"/>
        <w:spacing w:after="0" w:line="268"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close of business on December 31, 2019:</w:t>
      </w:r>
    </w:p>
    <w:p>
      <w:pPr>
        <w:spacing w:after="0" w:line="185" w:lineRule="exact"/>
        <w:rPr>
          <w:sz w:val="20"/>
          <w:szCs w:val="20"/>
          <w:color w:val="auto"/>
        </w:rPr>
      </w:pPr>
    </w:p>
    <w:p>
      <w:pPr>
        <w:ind w:firstLine="157"/>
        <w:spacing w:after="0" w:line="268" w:lineRule="auto"/>
        <w:tabs>
          <w:tab w:leader="none" w:pos="3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208,333 shares of the Issuer’s Class A Common Stock;</w:t>
      </w:r>
    </w:p>
    <w:p>
      <w:pPr>
        <w:spacing w:after="0" w:line="145" w:lineRule="exact"/>
        <w:rPr>
          <w:sz w:val="20"/>
          <w:szCs w:val="20"/>
          <w:color w:val="auto"/>
        </w:rPr>
      </w:pPr>
    </w:p>
    <w:p>
      <w:pPr>
        <w:ind w:left="340" w:hanging="200"/>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ICS Opportunities II LLC, a Cayman Islands limited liability company, no longer beneficially owned any shares of the Issuer’s Class A Common Stock; and</w:t>
      </w:r>
    </w:p>
    <w:p>
      <w:pPr>
        <w:spacing w:after="0" w:line="207" w:lineRule="exact"/>
        <w:rPr>
          <w:rFonts w:ascii="Arial" w:cs="Arial" w:eastAsia="Arial" w:hAnsi="Arial"/>
          <w:sz w:val="16"/>
          <w:szCs w:val="16"/>
          <w:color w:val="auto"/>
        </w:rPr>
      </w:pPr>
    </w:p>
    <w:p>
      <w:pPr>
        <w:ind w:firstLine="177"/>
        <w:spacing w:after="0" w:line="268" w:lineRule="auto"/>
        <w:tabs>
          <w:tab w:leader="none" w:pos="4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ICS Opportunities, Ltd., an exempted company organized under the laws of the Cayman Islands, no longer beneficially owned any shares of the Issuer’s Class A Common Stock.</w:t>
      </w:r>
    </w:p>
    <w:p>
      <w:pPr>
        <w:spacing w:after="0" w:line="145" w:lineRule="exact"/>
        <w:rPr>
          <w:sz w:val="20"/>
          <w:szCs w:val="20"/>
          <w:color w:val="auto"/>
        </w:rPr>
      </w:pPr>
    </w:p>
    <w:p>
      <w:pPr>
        <w:jc w:val="both"/>
        <w:ind w:firstLine="132"/>
        <w:spacing w:after="0" w:line="332"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w:t>
      </w:r>
    </w:p>
    <w:p>
      <w:pPr>
        <w:spacing w:after="0" w:line="99" w:lineRule="exact"/>
        <w:rPr>
          <w:sz w:val="20"/>
          <w:szCs w:val="20"/>
          <w:color w:val="auto"/>
        </w:rPr>
      </w:pPr>
    </w:p>
    <w:p>
      <w:pPr>
        <w:jc w:val="both"/>
        <w:ind w:firstLine="199"/>
        <w:spacing w:after="0" w:line="332" w:lineRule="auto"/>
        <w:rPr>
          <w:sz w:val="20"/>
          <w:szCs w:val="20"/>
          <w:color w:val="auto"/>
        </w:rPr>
      </w:pPr>
      <w:r>
        <w:rPr>
          <w:rFonts w:ascii="Arial" w:cs="Arial" w:eastAsia="Arial" w:hAnsi="Arial"/>
          <w:sz w:val="16"/>
          <w:szCs w:val="16"/>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w:t>
      </w:r>
    </w:p>
    <w:p>
      <w:pPr>
        <w:spacing w:after="0" w:line="99"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w:t>
      </w:r>
    </w:p>
    <w:p>
      <w:pPr>
        <w:spacing w:after="0" w:line="154" w:lineRule="exact"/>
        <w:rPr>
          <w:sz w:val="20"/>
          <w:szCs w:val="20"/>
          <w:color w:val="auto"/>
        </w:rPr>
      </w:pPr>
    </w:p>
    <w:p>
      <w:pPr>
        <w:jc w:val="both"/>
        <w:ind w:right="20" w:firstLine="163"/>
        <w:spacing w:after="0" w:line="268" w:lineRule="auto"/>
        <w:rPr>
          <w:sz w:val="20"/>
          <w:szCs w:val="20"/>
          <w:color w:val="auto"/>
        </w:rPr>
      </w:pPr>
      <w:r>
        <w:rPr>
          <w:rFonts w:ascii="Arial" w:cs="Arial" w:eastAsia="Arial" w:hAnsi="Arial"/>
          <w:sz w:val="18"/>
          <w:szCs w:val="18"/>
          <w:color w:val="auto"/>
        </w:rPr>
        <w:t>The foregoing should not be construed in and of itself as an admission by Millennium Management, Millennium Group Management or Mr. Englander as to beneficial ownership of the securities owned by Integrated Core Strategies.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54"/>
        <w:spacing w:after="0" w:line="298" w:lineRule="auto"/>
        <w:rPr>
          <w:sz w:val="20"/>
          <w:szCs w:val="20"/>
          <w:color w:val="auto"/>
        </w:rPr>
      </w:pPr>
      <w:r>
        <w:rPr>
          <w:rFonts w:ascii="Arial" w:cs="Arial" w:eastAsia="Arial" w:hAnsi="Arial"/>
          <w:sz w:val="16"/>
          <w:szCs w:val="16"/>
          <w:color w:val="auto"/>
        </w:rPr>
        <w:t>As of the close of business on December 31, 2019, Integrated Core Strategies, Millennium Management, Millennium Group Management and Mr. Englander beneficially owned or may be deemed to have beneficially owned, as the case may be, 208,333 shares of the Issuer’s Class A Common Stock or 0.5% of the Issuer’s Class A Common Stock outstanding (see Item 4(a) above), which percentage was calculated based on 39,428,571 shares of the Issuer’s Class A Common Stock outstanding as of November 18, 2019, as per the Issuer’s Form 10-K dated November 22, 2019.</w:t>
      </w:r>
    </w:p>
    <w:p>
      <w:pPr>
        <w:sectPr>
          <w:pgSz w:w="11900" w:h="16838" w:orient="portrait"/>
          <w:cols w:equalWidth="0" w:num="1">
            <w:col w:w="11420"/>
          </w:cols>
          <w:pgMar w:left="240" w:top="33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920" w:hanging="132"/>
        <w:spacing w:after="0" w:line="454" w:lineRule="auto"/>
        <w:tabs>
          <w:tab w:leader="none" w:pos="7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680" w:right="7700" w:hanging="132"/>
        <w:spacing w:after="0" w:line="454" w:lineRule="auto"/>
        <w:tabs>
          <w:tab w:leader="none" w:pos="8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208,333 (See Item 4(b))</w:t>
      </w:r>
    </w:p>
    <w:p>
      <w:pPr>
        <w:ind w:left="900" w:hanging="308"/>
        <w:spacing w:after="0"/>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5" w:lineRule="exact"/>
        <w:rPr>
          <w:sz w:val="20"/>
          <w:szCs w:val="20"/>
          <w:color w:val="auto"/>
        </w:rPr>
      </w:pPr>
    </w:p>
    <w:p>
      <w:pPr>
        <w:ind w:left="680" w:right="6780" w:hanging="132"/>
        <w:spacing w:after="0" w:line="454" w:lineRule="auto"/>
        <w:tabs>
          <w:tab w:leader="none" w:pos="8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208,333 (See Item 4(b))</w:t>
      </w: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39"/>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firstLine="157"/>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3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I: Joint Filing Agreement, dated as of January 14, 2020, by and among Integrated Core Strategies (US) LLC, ICS Opportunities II LLC, ICS Opportunities, Ltd., Millennium International Management LP, Millennium Management LLC, Millennium Group Management LLC and Israel A. Englander.</w:t>
      </w:r>
    </w:p>
    <w:p>
      <w:pPr>
        <w:sectPr>
          <w:pgSz w:w="11900" w:h="16838" w:orient="portrait"/>
          <w:cols w:equalWidth="0" w:num="1">
            <w:col w:w="11420"/>
          </w:cols>
          <w:pgMar w:left="240" w:top="33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2020</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BellRing Brands,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14, 2020</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420"/>
      </w:cols>
      <w:pgMar w:left="240" w:top="332" w:right="239" w:bottom="5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7"/>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Roman"/>
      <w:start w:val="2"/>
    </w:lvl>
    <w:lvl w:ilvl="1">
      <w:lvlJc w:val="left"/>
      <w:lvlText w:val="%2)"/>
      <w:numFmt w:val="lowerRoman"/>
      <w:start w:val="3"/>
    </w:lvl>
  </w:abstractNum>
  <w:abstractNum w:abstractNumId="21">
    <w:nsid w:val="2443A85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2020-01-15T15:31:14Z</dcterms:created>
  <dcterms:modified xsi:type="dcterms:W3CDTF">2020-01-15T15:31:14Z</dcterms:modified>
</cp:coreProperties>
</file>