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685579d425.htm"/>
      <w:bookmarkStart w:id="1" w:name="ksd685579d425"/>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center"/>
        <w:rPr>
          <w:rFonts w:ascii="Times New Roman" w:hAnsi="Times New Roman"/>
          <w:b/>
          <w:sz w:val="36"/>
        </w:rPr>
      </w:pPr>
      <w:r>
        <w:rPr>
          <w:rFonts w:ascii="Times New Roman" w:hAnsi="Times New Roman"/>
          <w:b/>
          <w:sz w:val="36"/>
        </w:rPr>
        <w:t xml:space="preserve">FORM 8-K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center"/>
        <w:rPr>
          <w:rFonts w:ascii="Times New Roman" w:hAnsi="Times New Roman"/>
          <w:b/>
          <w:sz w:val="24"/>
        </w:rPr>
      </w:pPr>
      <w:r>
        <w:rPr>
          <w:rFonts w:ascii="Times New Roman" w:hAnsi="Times New Roman"/>
          <w:b/>
          <w:sz w:val="24"/>
        </w:rPr>
        <w:t xml:space="preserve">CURRENT REPORT </w:t>
      </w:r>
    </w:p>
    <w:p>
      <w:pPr>
        <w:pStyle w:val="TextBody"/>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spacing w:before="160" w:after="0"/>
        <w:jc w:val="center"/>
        <w:rPr>
          <w:rFonts w:ascii="Times New Roman" w:hAnsi="Times New Roman"/>
          <w:b/>
          <w:sz w:val="24"/>
        </w:rPr>
      </w:pPr>
      <w:r>
        <w:rPr>
          <w:rFonts w:ascii="Times New Roman" w:hAnsi="Times New Roman"/>
          <w:b/>
          <w:sz w:val="24"/>
        </w:rPr>
        <w:t xml:space="preserve">Date of Report (Date of earliest event reported): February 28, 2022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p>
      <w:pPr>
        <w:pStyle w:val="TextBody"/>
        <w:spacing w:before="0" w:after="0"/>
        <w:jc w:val="center"/>
        <w:rPr/>
      </w:pPr>
      <w:r>
        <w:rPr/>
        <w:drawing>
          <wp:inline distT="0" distB="0" distL="0" distR="0">
            <wp:extent cx="1343025"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3025" cy="685800"/>
                    </a:xfrm>
                    <a:prstGeom prst="rect">
                      <a:avLst/>
                    </a:prstGeom>
                  </pic:spPr>
                </pic:pic>
              </a:graphicData>
            </a:graphic>
          </wp:inline>
        </w:drawing>
      </w:r>
      <w:r>
        <w:rPr/>
        <w:t xml:space="preserve"> </w:t>
      </w:r>
    </w:p>
    <w:p>
      <w:pPr>
        <w:pStyle w:val="TextBody"/>
        <w:spacing w:before="0" w:after="0"/>
        <w:jc w:val="center"/>
        <w:rPr>
          <w:rFonts w:ascii="Times New Roman" w:hAnsi="Times New Roman"/>
          <w:b/>
          <w:sz w:val="48"/>
        </w:rPr>
      </w:pPr>
      <w:r>
        <w:rPr>
          <w:rFonts w:ascii="Times New Roman" w:hAnsi="Times New Roman"/>
          <w:b/>
          <w:sz w:val="48"/>
        </w:rPr>
        <w:t xml:space="preserve">BellRing Brands, Inc.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1"/>
        <w:gridCol w:w="3266"/>
        <w:gridCol w:w="101"/>
        <w:gridCol w:w="3266"/>
      </w:tblGrid>
      <w:tr>
        <w:trPr/>
        <w:tc>
          <w:tcPr>
            <w:tcW w:w="347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jc w:val="center"/>
              <w:rPr>
                <w:b/>
              </w:rPr>
            </w:pPr>
            <w:r>
              <w:rPr>
                <w:b/>
              </w:rPr>
              <w:t>Delaware</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001-39093</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87-3296749</w:t>
            </w:r>
          </w:p>
        </w:tc>
      </w:tr>
      <w:tr>
        <w:trPr/>
        <w:tc>
          <w:tcPr>
            <w:tcW w:w="3471"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745"/>
        <w:gridCol w:w="60"/>
        <w:gridCol w:w="2426"/>
        <w:gridCol w:w="108"/>
        <w:gridCol w:w="2594"/>
        <w:gridCol w:w="122"/>
        <w:gridCol w:w="2150"/>
      </w:tblGrid>
      <w:tr>
        <w:trPr/>
        <w:tc>
          <w:tcPr>
            <w:tcW w:w="27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26"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259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2150" w:type="dxa"/>
            <w:tcBorders/>
            <w:shd w:fill="auto" w:val="clear"/>
            <w:vAlign w:val="center"/>
          </w:tcPr>
          <w:p>
            <w:pPr>
              <w:pStyle w:val="TableContents"/>
              <w:spacing w:before="0" w:after="283"/>
              <w:rPr>
                <w:sz w:val="4"/>
                <w:szCs w:val="4"/>
              </w:rPr>
            </w:pPr>
            <w:r>
              <w:rPr>
                <w:sz w:val="4"/>
                <w:szCs w:val="4"/>
              </w:rPr>
            </w:r>
          </w:p>
        </w:tc>
      </w:tr>
      <w:tr>
        <w:trPr/>
        <w:tc>
          <w:tcPr>
            <w:tcW w:w="2745" w:type="dxa"/>
            <w:tcBorders/>
            <w:shd w:fill="auto" w:val="clear"/>
          </w:tcPr>
          <w:p>
            <w:pPr>
              <w:pStyle w:val="TableContents"/>
              <w:spacing w:before="0" w:after="283"/>
              <w:jc w:val="center"/>
              <w:rPr>
                <w:b/>
              </w:rPr>
            </w:pPr>
            <w:r>
              <w:rPr>
                <w:b/>
              </w:rPr>
              <w:t>2503 S. Hanley Road</w:t>
            </w:r>
          </w:p>
        </w:tc>
        <w:tc>
          <w:tcPr>
            <w:tcW w:w="60" w:type="dxa"/>
            <w:tcBorders/>
            <w:shd w:fill="auto" w:val="clear"/>
            <w:vAlign w:val="bottom"/>
          </w:tcPr>
          <w:p>
            <w:pPr>
              <w:pStyle w:val="TableContents"/>
              <w:spacing w:before="0" w:after="283"/>
              <w:rPr/>
            </w:pPr>
            <w:r>
              <w:rPr/>
              <w:t> </w:t>
            </w:r>
          </w:p>
        </w:tc>
        <w:tc>
          <w:tcPr>
            <w:tcW w:w="2426" w:type="dxa"/>
            <w:tcBorders/>
            <w:shd w:fill="auto" w:val="clear"/>
          </w:tcPr>
          <w:p>
            <w:pPr>
              <w:pStyle w:val="TableContents"/>
              <w:spacing w:before="0" w:after="283"/>
              <w:jc w:val="center"/>
              <w:rPr>
                <w:b/>
              </w:rPr>
            </w:pPr>
            <w:r>
              <w:rPr>
                <w:b/>
              </w:rPr>
              <w:t>St. Louis</w:t>
            </w:r>
          </w:p>
        </w:tc>
        <w:tc>
          <w:tcPr>
            <w:tcW w:w="108" w:type="dxa"/>
            <w:tcBorders/>
            <w:shd w:fill="auto" w:val="clear"/>
            <w:vAlign w:val="bottom"/>
          </w:tcPr>
          <w:p>
            <w:pPr>
              <w:pStyle w:val="TableContents"/>
              <w:spacing w:before="0" w:after="283"/>
              <w:rPr/>
            </w:pPr>
            <w:r>
              <w:rPr/>
              <w:t> </w:t>
            </w:r>
          </w:p>
        </w:tc>
        <w:tc>
          <w:tcPr>
            <w:tcW w:w="2594" w:type="dxa"/>
            <w:tcBorders/>
            <w:shd w:fill="auto" w:val="clear"/>
          </w:tcPr>
          <w:p>
            <w:pPr>
              <w:pStyle w:val="TableContents"/>
              <w:spacing w:before="0" w:after="283"/>
              <w:jc w:val="center"/>
              <w:rPr>
                <w:b/>
              </w:rPr>
            </w:pPr>
            <w:r>
              <w:rPr>
                <w:b/>
              </w:rPr>
              <w:t>Missouri</w:t>
            </w:r>
          </w:p>
        </w:tc>
        <w:tc>
          <w:tcPr>
            <w:tcW w:w="122" w:type="dxa"/>
            <w:tcBorders/>
            <w:shd w:fill="auto" w:val="clear"/>
            <w:vAlign w:val="bottom"/>
          </w:tcPr>
          <w:p>
            <w:pPr>
              <w:pStyle w:val="TableContents"/>
              <w:spacing w:before="0" w:after="283"/>
              <w:rPr/>
            </w:pPr>
            <w:r>
              <w:rPr/>
              <w:t>  </w:t>
            </w:r>
          </w:p>
        </w:tc>
        <w:tc>
          <w:tcPr>
            <w:tcW w:w="2150" w:type="dxa"/>
            <w:tcBorders/>
            <w:shd w:fill="auto" w:val="clear"/>
          </w:tcPr>
          <w:p>
            <w:pPr>
              <w:pStyle w:val="TableContents"/>
              <w:spacing w:before="0" w:after="283"/>
              <w:jc w:val="center"/>
              <w:rPr>
                <w:b/>
              </w:rPr>
            </w:pPr>
            <w:r>
              <w:rPr>
                <w:b/>
              </w:rPr>
              <w:t>63144</w:t>
            </w:r>
          </w:p>
        </w:tc>
      </w:tr>
      <w:tr>
        <w:trPr/>
        <w:tc>
          <w:tcPr>
            <w:tcW w:w="7933" w:type="dxa"/>
            <w:gridSpan w:val="5"/>
            <w:tcBorders/>
            <w:shd w:fill="auto" w:val="clear"/>
          </w:tcPr>
          <w:p>
            <w:pPr>
              <w:pStyle w:val="TableContents"/>
              <w:spacing w:before="0" w:after="283"/>
              <w:jc w:val="center"/>
              <w:rPr>
                <w:b/>
              </w:rPr>
            </w:pPr>
            <w:r>
              <w:rPr>
                <w:b/>
              </w:rPr>
              <w:t>(Address of Principal Executive Offices)</w:t>
            </w:r>
          </w:p>
        </w:tc>
        <w:tc>
          <w:tcPr>
            <w:tcW w:w="122" w:type="dxa"/>
            <w:tcBorders/>
            <w:shd w:fill="auto" w:val="clear"/>
            <w:vAlign w:val="bottom"/>
          </w:tcPr>
          <w:p>
            <w:pPr>
              <w:pStyle w:val="TableContents"/>
              <w:spacing w:before="0" w:after="283"/>
              <w:rPr/>
            </w:pPr>
            <w:r>
              <w:rPr/>
              <w:t>  </w:t>
            </w:r>
          </w:p>
        </w:tc>
        <w:tc>
          <w:tcPr>
            <w:tcW w:w="2150" w:type="dxa"/>
            <w:tcBorders/>
            <w:shd w:fill="auto" w:val="clear"/>
          </w:tcPr>
          <w:p>
            <w:pPr>
              <w:pStyle w:val="TableContents"/>
              <w:spacing w:before="0" w:after="283"/>
              <w:jc w:val="center"/>
              <w:rPr>
                <w:b/>
              </w:rPr>
            </w:pPr>
            <w:r>
              <w:rPr>
                <w:b/>
              </w:rPr>
              <w:t>(Zip Code)</w:t>
            </w:r>
          </w:p>
        </w:tc>
      </w:tr>
    </w:tbl>
    <w:p>
      <w:pPr>
        <w:pStyle w:val="TextBody"/>
        <w:spacing w:before="160" w:after="0"/>
        <w:jc w:val="center"/>
        <w:rPr>
          <w:rFonts w:ascii="Times New Roman" w:hAnsi="Times New Roman"/>
          <w:b/>
          <w:sz w:val="20"/>
        </w:rPr>
      </w:pPr>
      <w:r>
        <w:rPr>
          <w:rFonts w:ascii="Times New Roman" w:hAnsi="Times New Roman"/>
          <w:b/>
          <w:sz w:val="20"/>
        </w:rPr>
        <w:t xml:space="preserve">Registrants telephone number, including area code: (314) 644-7600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16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0"/>
        <w:gridCol w:w="101"/>
        <w:gridCol w:w="3266"/>
        <w:gridCol w:w="101"/>
        <w:gridCol w:w="3267"/>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101" w:type="dxa"/>
            <w:tcBorders/>
            <w:shd w:fill="auto" w:val="clear"/>
            <w:vAlign w:val="bottom"/>
          </w:tcPr>
          <w:p>
            <w:pPr>
              <w:pStyle w:val="TableContents"/>
              <w:spacing w:before="0" w:after="283"/>
              <w:rPr/>
            </w:pPr>
            <w:r>
              <w:rPr/>
              <w:t> </w:t>
            </w:r>
          </w:p>
        </w:tc>
        <w:tc>
          <w:tcPr>
            <w:tcW w:w="3266"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101" w:type="dxa"/>
            <w:tcBorders/>
            <w:shd w:fill="auto" w:val="clear"/>
            <w:vAlign w:val="bottom"/>
          </w:tcPr>
          <w:p>
            <w:pPr>
              <w:pStyle w:val="TableContents"/>
              <w:spacing w:before="0" w:after="283"/>
              <w:rPr/>
            </w:pPr>
            <w:r>
              <w:rPr/>
              <w:t> </w:t>
            </w:r>
          </w:p>
        </w:tc>
        <w:tc>
          <w:tcPr>
            <w:tcW w:w="3267"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3470" w:type="dxa"/>
            <w:tcBorders/>
            <w:shd w:fill="auto" w:val="clear"/>
          </w:tcPr>
          <w:p>
            <w:pPr>
              <w:pStyle w:val="TableContents"/>
              <w:spacing w:before="0" w:after="283"/>
              <w:jc w:val="center"/>
              <w:rPr>
                <w:b/>
              </w:rPr>
            </w:pPr>
            <w:r>
              <w:rPr>
                <w:b/>
              </w:rPr>
              <w:t>Class A common stock, $0.01 par value per share</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BRBR</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New York Stock Exchange</w:t>
            </w:r>
          </w:p>
        </w:tc>
      </w:tr>
    </w:tbl>
    <w:p>
      <w:pPr>
        <w:pStyle w:val="TextBody"/>
        <w:spacing w:before="16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spacing w:before="160" w:after="0"/>
        <w:jc w:val="left"/>
        <w:rPr>
          <w:rFonts w:ascii="Times New Roman" w:hAnsi="Times New Roman"/>
          <w:sz w:val="20"/>
        </w:rPr>
      </w:pPr>
      <w:r>
        <w:rPr>
          <w:rFonts w:ascii="Times New Roman" w:hAnsi="Times New Roman"/>
          <w:sz w:val="20"/>
        </w:rPr>
        <w:t xml:space="preserve">Emerging growth company  ☐ </w:t>
      </w:r>
    </w:p>
    <w:p>
      <w:pPr>
        <w:pStyle w:val="TextBody"/>
        <w:spacing w:before="16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122"/>
        <w:gridCol w:w="9083"/>
      </w:tblGrid>
      <w:tr>
        <w:trPr/>
        <w:tc>
          <w:tcPr>
            <w:tcW w:w="1122" w:type="dxa"/>
            <w:tcBorders/>
            <w:shd w:fill="auto" w:val="clear"/>
          </w:tcPr>
          <w:p>
            <w:pPr>
              <w:pStyle w:val="TableContents"/>
              <w:spacing w:before="0" w:after="283"/>
              <w:jc w:val="left"/>
              <w:rPr>
                <w:b/>
              </w:rPr>
            </w:pPr>
            <w:r>
              <w:rPr>
                <w:b/>
              </w:rPr>
              <w:t>Item 5.04.</w:t>
            </w:r>
          </w:p>
        </w:tc>
        <w:tc>
          <w:tcPr>
            <w:tcW w:w="9083"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Temporary Suspension of Trading Under Registrants Employee Benefit Plans. </w:t>
            </w:r>
          </w:p>
        </w:tc>
      </w:tr>
    </w:tbl>
    <w:p>
      <w:pPr>
        <w:pStyle w:val="TextBody"/>
        <w:spacing w:before="120" w:after="0"/>
        <w:jc w:val="left"/>
        <w:rPr>
          <w:rFonts w:ascii="Times New Roman" w:hAnsi="Times New Roman"/>
          <w:sz w:val="20"/>
        </w:rPr>
      </w:pPr>
      <w:r>
        <w:rPr>
          <w:rFonts w:ascii="Times New Roman" w:hAnsi="Times New Roman"/>
          <w:sz w:val="20"/>
        </w:rPr>
        <w:t xml:space="preserve">On February 28, 2022, a notification was made regarding a blackout period in respect of the BellRing Brands, Inc. Common Stock Fund (the BellRing Common Stock Fund) under the BellRing Brands, Inc. 401(k) Plan (the BellRing 401(k) plan). The blackout period relates to the upcoming plan to separate BellRing Brands, Inc. (the Company or BellRing) from Post Holdings, Inc. (Post), which transaction is expected to be completed in March 2022, subject to satisfaction or waiver of certain conditions. During the blackout period, participants in the BellRing 401(k) plan will be generally prohibited from making any transactions in the BellRing Common Stock Fund, including being temporarily unable to direct or change investments in the BellRing Common Stock Fund under the 401(k) plan or obtain a loan, a withdrawal or a distribution from the BellRing Common Stock Fund under the 401(k) plan. The blackout period is expected to begin at 1:00 p.m. Eastern Time on March 10, 2022 and to end during the week of March 20, 2022. The notification described under Section 101(i)(2)(E) of the Employment Retirement Income Security Act of 1974 relating to the blackout period was provided to the Company on February 28, 2022. The exact dates for the blackout period, as well as the duration of the blackout period, could change, be advanced or be extended. </w:t>
      </w:r>
    </w:p>
    <w:p>
      <w:pPr>
        <w:pStyle w:val="TextBody"/>
        <w:spacing w:before="240" w:after="0"/>
        <w:jc w:val="left"/>
        <w:rPr>
          <w:rFonts w:ascii="Times New Roman" w:hAnsi="Times New Roman"/>
          <w:sz w:val="20"/>
        </w:rPr>
      </w:pPr>
      <w:r>
        <w:rPr>
          <w:rFonts w:ascii="Times New Roman" w:hAnsi="Times New Roman"/>
          <w:sz w:val="20"/>
        </w:rPr>
        <w:t xml:space="preserve">On February 28, 2022, the Company also sent notice to its directors and executive officers informing them of the blackout period and related restrictions. This notice was required pursuant to Section 306 of the Sarbanes-Oxley Act of 2002 and Rule 104 of Regulation BTR under the Securities Exchange Act of 1934, as amended. </w:t>
      </w:r>
    </w:p>
    <w:p>
      <w:pPr>
        <w:pStyle w:val="TextBody"/>
        <w:spacing w:before="240" w:after="0"/>
        <w:jc w:val="left"/>
        <w:rPr>
          <w:rFonts w:ascii="Times New Roman" w:hAnsi="Times New Roman"/>
          <w:sz w:val="20"/>
        </w:rPr>
      </w:pPr>
      <w:r>
        <w:rPr>
          <w:rFonts w:ascii="Times New Roman" w:hAnsi="Times New Roman"/>
          <w:sz w:val="20"/>
        </w:rPr>
        <w:t xml:space="preserve">A copy of the notice to the directors and executive officers is attached as Exhibit 99.1. During the blackout period and for a period of two years after the ending date of the blackout period, security holders or other interested parties may obtain, without charge, information about the actual beginning and ending dates of the blackout period by contacting the Companys Corporate Secretary by telephone at (314) 644-7600 or by mail at BellRing Brands, Inc., 2503 S. Hanley Road, St. Louis, Missouri 63144.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22"/>
        <w:gridCol w:w="9083"/>
      </w:tblGrid>
      <w:tr>
        <w:trPr/>
        <w:tc>
          <w:tcPr>
            <w:tcW w:w="1122" w:type="dxa"/>
            <w:tcBorders/>
            <w:shd w:fill="auto" w:val="clear"/>
          </w:tcPr>
          <w:p>
            <w:pPr>
              <w:pStyle w:val="TableContents"/>
              <w:spacing w:before="0" w:after="283"/>
              <w:jc w:val="left"/>
              <w:rPr>
                <w:b/>
              </w:rPr>
            </w:pPr>
            <w:r>
              <w:rPr>
                <w:b/>
              </w:rPr>
              <w:t>Item 9.01.</w:t>
            </w:r>
          </w:p>
        </w:tc>
        <w:tc>
          <w:tcPr>
            <w:tcW w:w="9083"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120" w:after="0"/>
        <w:jc w:val="left"/>
        <w:rPr>
          <w:rFonts w:ascii="Times New Roman" w:hAnsi="Times New Roman"/>
          <w:b/>
          <w:i/>
          <w:sz w:val="20"/>
        </w:rPr>
      </w:pPr>
      <w:r>
        <w:rPr>
          <w:rFonts w:ascii="Times New Roman" w:hAnsi="Times New Roman"/>
          <w:b/>
          <w:i/>
          <w:sz w:val="20"/>
        </w:rPr>
        <w:t xml:space="preserve">(d) Exhibits.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40"/>
        <w:gridCol w:w="431"/>
        <w:gridCol w:w="9234"/>
      </w:tblGrid>
      <w:tr>
        <w:trPr/>
        <w:tc>
          <w:tcPr>
            <w:tcW w:w="540"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bottom"/>
          </w:tcPr>
          <w:p>
            <w:pPr>
              <w:pStyle w:val="TableContents"/>
              <w:spacing w:before="0" w:after="283"/>
              <w:rPr>
                <w:sz w:val="4"/>
                <w:szCs w:val="4"/>
              </w:rPr>
            </w:pPr>
            <w:r>
              <w:rPr>
                <w:sz w:val="4"/>
                <w:szCs w:val="4"/>
              </w:rPr>
            </w:r>
          </w:p>
        </w:tc>
        <w:tc>
          <w:tcPr>
            <w:tcW w:w="9234" w:type="dxa"/>
            <w:tcBorders/>
            <w:shd w:fill="auto" w:val="clear"/>
            <w:vAlign w:val="center"/>
          </w:tcPr>
          <w:p>
            <w:pPr>
              <w:pStyle w:val="TableContents"/>
              <w:spacing w:before="0" w:after="283"/>
              <w:rPr>
                <w:sz w:val="4"/>
                <w:szCs w:val="4"/>
              </w:rPr>
            </w:pPr>
            <w:r>
              <w:rPr>
                <w:sz w:val="4"/>
                <w:szCs w:val="4"/>
              </w:rPr>
            </w:r>
          </w:p>
        </w:tc>
      </w:tr>
      <w:tr>
        <w:trPr/>
        <w:tc>
          <w:tcPr>
            <w:tcW w:w="540" w:type="dxa"/>
            <w:tcBorders/>
            <w:shd w:fill="auto" w:val="clear"/>
            <w:vAlign w:val="bottom"/>
          </w:tcPr>
          <w:p>
            <w:pPr>
              <w:pStyle w:val="TableContents"/>
              <w:pBdr>
                <w:bottom w:val="single" w:sz="8" w:space="1" w:color="000000"/>
              </w:pBdr>
              <w:spacing w:before="0" w:after="0"/>
              <w:jc w:val="center"/>
              <w:rPr>
                <w:rFonts w:ascii="Times New Roman" w:hAnsi="Times New Roman"/>
                <w:sz w:val="16"/>
              </w:rPr>
            </w:pPr>
            <w:r>
              <w:rPr>
                <w:rFonts w:ascii="Times New Roman" w:hAnsi="Times New Roman"/>
                <w:sz w:val="16"/>
              </w:rPr>
              <w:t>Exhibit</w:t>
              <w:br/>
              <w:t>  No.  </w:t>
            </w:r>
          </w:p>
        </w:tc>
        <w:tc>
          <w:tcPr>
            <w:tcW w:w="431" w:type="dxa"/>
            <w:tcBorders/>
            <w:shd w:fill="auto" w:val="clear"/>
            <w:vAlign w:val="bottom"/>
          </w:tcPr>
          <w:p>
            <w:pPr>
              <w:pStyle w:val="TableContents"/>
              <w:spacing w:before="0" w:after="283"/>
              <w:rPr/>
            </w:pPr>
            <w:r>
              <w:rPr/>
              <w:t>  </w:t>
            </w:r>
          </w:p>
        </w:tc>
        <w:tc>
          <w:tcPr>
            <w:tcW w:w="9234" w:type="dxa"/>
            <w:tcBorders/>
            <w:shd w:fill="auto" w:val="clear"/>
            <w:vAlign w:val="bottom"/>
          </w:tcPr>
          <w:p>
            <w:pPr>
              <w:pStyle w:val="TableContents"/>
              <w:pBdr>
                <w:bottom w:val="single" w:sz="8" w:space="1" w:color="000000"/>
              </w:pBdr>
              <w:spacing w:before="0" w:after="0"/>
              <w:jc w:val="center"/>
              <w:rPr>
                <w:rFonts w:ascii="Times New Roman" w:hAnsi="Times New Roman"/>
                <w:sz w:val="16"/>
              </w:rPr>
            </w:pPr>
            <w:r>
              <w:rPr>
                <w:rFonts w:ascii="Times New Roman" w:hAnsi="Times New Roman"/>
                <w:sz w:val="16"/>
              </w:rPr>
              <w:t>Description</w:t>
            </w:r>
          </w:p>
        </w:tc>
      </w:tr>
      <w:tr>
        <w:trPr>
          <w:trHeight w:val="120" w:hRule="atLeast"/>
        </w:trPr>
        <w:tc>
          <w:tcPr>
            <w:tcW w:w="540" w:type="dxa"/>
            <w:tcBorders/>
            <w:shd w:fill="auto" w:val="clear"/>
            <w:vAlign w:val="center"/>
          </w:tcPr>
          <w:p>
            <w:pPr>
              <w:pStyle w:val="TableContents"/>
              <w:spacing w:before="0" w:after="283"/>
              <w:rPr>
                <w:sz w:val="4"/>
                <w:szCs w:val="4"/>
              </w:rPr>
            </w:pPr>
            <w:r>
              <w:rPr>
                <w:sz w:val="4"/>
                <w:szCs w:val="4"/>
              </w:rPr>
            </w:r>
          </w:p>
        </w:tc>
        <w:tc>
          <w:tcPr>
            <w:tcW w:w="9665" w:type="dxa"/>
            <w:gridSpan w:val="2"/>
            <w:tcBorders/>
            <w:shd w:fill="auto" w:val="clear"/>
            <w:vAlign w:val="center"/>
          </w:tcPr>
          <w:p>
            <w:pPr>
              <w:pStyle w:val="TableContents"/>
              <w:spacing w:before="0" w:after="283"/>
              <w:rPr>
                <w:sz w:val="4"/>
                <w:szCs w:val="4"/>
              </w:rPr>
            </w:pPr>
            <w:r>
              <w:rPr>
                <w:sz w:val="4"/>
                <w:szCs w:val="4"/>
              </w:rPr>
            </w:r>
          </w:p>
        </w:tc>
      </w:tr>
      <w:tr>
        <w:trPr/>
        <w:tc>
          <w:tcPr>
            <w:tcW w:w="540" w:type="dxa"/>
            <w:tcBorders/>
            <w:shd w:fill="auto" w:val="clear"/>
          </w:tcPr>
          <w:p>
            <w:pPr>
              <w:pStyle w:val="TableContents"/>
              <w:spacing w:before="0" w:after="283"/>
              <w:rPr/>
            </w:pPr>
            <w:r>
              <w:rPr/>
              <w:t>99.1</w:t>
            </w:r>
          </w:p>
        </w:tc>
        <w:tc>
          <w:tcPr>
            <w:tcW w:w="431" w:type="dxa"/>
            <w:tcBorders/>
            <w:shd w:fill="auto" w:val="clear"/>
            <w:vAlign w:val="bottom"/>
          </w:tcPr>
          <w:p>
            <w:pPr>
              <w:pStyle w:val="TableContents"/>
              <w:spacing w:before="0" w:after="283"/>
              <w:rPr/>
            </w:pPr>
            <w:r>
              <w:rPr/>
              <w:t>  </w:t>
            </w:r>
          </w:p>
        </w:tc>
        <w:tc>
          <w:tcPr>
            <w:tcW w:w="9234" w:type="dxa"/>
            <w:tcBorders/>
            <w:shd w:fill="auto" w:val="clear"/>
          </w:tcPr>
          <w:p>
            <w:pPr>
              <w:pStyle w:val="TableContents"/>
              <w:spacing w:before="0" w:after="283"/>
              <w:rPr/>
            </w:pPr>
            <w:r>
              <w:rPr/>
              <w:t>Notice Regarding Blackout Period and Regulation BTR Trading Restrictions, dated as of February 28, 2022.</w:t>
            </w:r>
          </w:p>
        </w:tc>
      </w:tr>
      <w:tr>
        <w:trPr>
          <w:trHeight w:val="120" w:hRule="atLeast"/>
        </w:trPr>
        <w:tc>
          <w:tcPr>
            <w:tcW w:w="540" w:type="dxa"/>
            <w:tcBorders/>
            <w:shd w:fill="auto" w:val="clear"/>
            <w:vAlign w:val="center"/>
          </w:tcPr>
          <w:p>
            <w:pPr>
              <w:pStyle w:val="TableContents"/>
              <w:spacing w:before="0" w:after="283"/>
              <w:rPr>
                <w:sz w:val="4"/>
                <w:szCs w:val="4"/>
              </w:rPr>
            </w:pPr>
            <w:r>
              <w:rPr>
                <w:sz w:val="4"/>
                <w:szCs w:val="4"/>
              </w:rPr>
            </w:r>
          </w:p>
        </w:tc>
        <w:tc>
          <w:tcPr>
            <w:tcW w:w="9665" w:type="dxa"/>
            <w:gridSpan w:val="2"/>
            <w:tcBorders/>
            <w:shd w:fill="auto" w:val="clear"/>
            <w:vAlign w:val="center"/>
          </w:tcPr>
          <w:p>
            <w:pPr>
              <w:pStyle w:val="TableContents"/>
              <w:spacing w:before="0" w:after="283"/>
              <w:rPr>
                <w:sz w:val="4"/>
                <w:szCs w:val="4"/>
              </w:rPr>
            </w:pPr>
            <w:r>
              <w:rPr>
                <w:sz w:val="4"/>
                <w:szCs w:val="4"/>
              </w:rPr>
            </w:r>
          </w:p>
        </w:tc>
      </w:tr>
      <w:tr>
        <w:trPr/>
        <w:tc>
          <w:tcPr>
            <w:tcW w:w="540" w:type="dxa"/>
            <w:tcBorders/>
            <w:shd w:fill="auto" w:val="clear"/>
          </w:tcPr>
          <w:p>
            <w:pPr>
              <w:pStyle w:val="TableContents"/>
              <w:spacing w:before="0" w:after="283"/>
              <w:rPr/>
            </w:pPr>
            <w:r>
              <w:rPr/>
              <w:t>104</w:t>
            </w:r>
          </w:p>
        </w:tc>
        <w:tc>
          <w:tcPr>
            <w:tcW w:w="431" w:type="dxa"/>
            <w:tcBorders/>
            <w:shd w:fill="auto" w:val="clear"/>
            <w:vAlign w:val="bottom"/>
          </w:tcPr>
          <w:p>
            <w:pPr>
              <w:pStyle w:val="TableContents"/>
              <w:spacing w:before="0" w:after="283"/>
              <w:rPr/>
            </w:pPr>
            <w:r>
              <w:rPr/>
              <w:t>  </w:t>
            </w:r>
          </w:p>
        </w:tc>
        <w:tc>
          <w:tcPr>
            <w:tcW w:w="9234" w:type="dxa"/>
            <w:tcBorders/>
            <w:shd w:fill="auto" w:val="clear"/>
          </w:tcPr>
          <w:p>
            <w:pPr>
              <w:pStyle w:val="TableContents"/>
              <w:spacing w:before="0" w:after="283"/>
              <w:rPr/>
            </w:pPr>
            <w:r>
              <w:rPr/>
              <w:t>Cover Page Interactive Data File (the cover page iXBRL tags are embedded within the Inline XBRL document)</w:t>
            </w:r>
          </w:p>
        </w:tc>
      </w:tr>
    </w:tbl>
    <w:p>
      <w:pPr>
        <w:pStyle w:val="TextBody"/>
        <w:spacing w:before="360" w:after="0"/>
        <w:jc w:val="left"/>
        <w:rPr>
          <w:rFonts w:ascii="Times New Roman" w:hAnsi="Times New Roman"/>
          <w:b/>
          <w:sz w:val="20"/>
        </w:rPr>
      </w:pPr>
      <w:r>
        <w:rPr>
          <w:rFonts w:ascii="Times New Roman" w:hAnsi="Times New Roman"/>
          <w:b/>
          <w:sz w:val="20"/>
        </w:rPr>
        <w:t xml:space="preserve">Cautionary Statement on Forward-Looking Language </w:t>
      </w:r>
    </w:p>
    <w:p>
      <w:pPr>
        <w:pStyle w:val="TextBody"/>
        <w:spacing w:before="120" w:after="0"/>
        <w:jc w:val="left"/>
        <w:rPr>
          <w:rFonts w:ascii="Times New Roman" w:hAnsi="Times New Roman"/>
          <w:sz w:val="20"/>
        </w:rPr>
      </w:pPr>
      <w:r>
        <w:rPr>
          <w:rFonts w:ascii="Times New Roman" w:hAnsi="Times New Roman"/>
          <w:sz w:val="20"/>
        </w:rPr>
        <w:t xml:space="preserve">Certain matters discussed in this filing are forward-looking statements. These forward-looking statements are made based on known events and circumstances at the time of release, and as such, are subject to uncertainty and changes in circumstances. These forward-looking statements include statements regarding the proposed transaction between Post and BellRing, including any future financial and operating results, Posts, BellRings and BellRing Distribution, LLCs (New BellRing) plans, objectives, expectations and intentions, the expected debt level of New BellRing and the expected timing of the completion of the proposed transaction. There is no assurance that the proposed transaction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transaction, the ongoing conflict in Ukraine, the rapidly changing situation related to the COVID-19 pandemic and other risks and uncertainties described in Posts and BellRings filings with the Securities and Exchange Commission (the SEC). These forward-looking statements represent BellRings judgment as of the date of this filing. BellRing disclaims, however, any intent or obligation to update these forward-looking statements. All forward-looking statements in this filing are qualified in their entirety by this cautionary statement. </w:t>
      </w:r>
    </w:p>
    <w:p>
      <w:pPr>
        <w:pStyle w:val="TextBody"/>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spacing w:before="120" w:after="0"/>
        <w:jc w:val="left"/>
        <w:rPr>
          <w:rFonts w:ascii="Times New Roman" w:hAnsi="Times New Roman"/>
          <w:sz w:val="20"/>
        </w:rPr>
      </w:pPr>
      <w:r>
        <w:rPr>
          <w:rFonts w:ascii="Times New Roman" w:hAnsi="Times New Roman"/>
          <w:sz w:val="20"/>
        </w:rPr>
        <w:t xml:space="preserve">This filing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(as BellRing Distribution, LLC) has filed a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BellRings website, www.bellring.com, or Posts website, www.postholdings.com. </w:t>
      </w:r>
    </w:p>
    <w:p>
      <w:pPr>
        <w:pStyle w:val="TextBody"/>
        <w:spacing w:before="240" w:after="0"/>
        <w:jc w:val="left"/>
        <w:rPr>
          <w:rFonts w:ascii="Times New Roman" w:hAnsi="Times New Roman"/>
          <w:sz w:val="20"/>
        </w:rPr>
      </w:pPr>
      <w:r>
        <w:rPr>
          <w:rFonts w:ascii="Times New Roman" w:hAnsi="Times New Roman"/>
          <w:sz w:val="20"/>
        </w:rPr>
        <w:t xml:space="preserve">The transaction and distribution of this filing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 </w:t>
      </w:r>
    </w:p>
    <w:p>
      <w:pPr>
        <w:pStyle w:val="TextBody"/>
        <w:spacing w:before="360" w:after="0"/>
        <w:jc w:val="left"/>
        <w:rPr>
          <w:rFonts w:ascii="Times New Roman" w:hAnsi="Times New Roman"/>
          <w:b/>
          <w:sz w:val="20"/>
        </w:rPr>
      </w:pPr>
      <w:r>
        <w:rPr>
          <w:rFonts w:ascii="Times New Roman" w:hAnsi="Times New Roman"/>
          <w:b/>
          <w:sz w:val="20"/>
        </w:rPr>
        <w:t xml:space="preserve">Participants in a Solicitation </w:t>
      </w:r>
    </w:p>
    <w:p>
      <w:pPr>
        <w:pStyle w:val="TextBody"/>
        <w:spacing w:before="120" w:after="0"/>
        <w:jc w:val="left"/>
        <w:rPr>
          <w:rFonts w:ascii="Times New Roman" w:hAnsi="Times New Roman"/>
          <w:sz w:val="20"/>
        </w:rPr>
      </w:pPr>
      <w:r>
        <w:rPr>
          <w:rFonts w:ascii="Times New Roman" w:hAnsi="Times New Roman"/>
          <w:sz w:val="20"/>
        </w:rPr>
        <w:t xml:space="preserve">Post, BellRing, New BellRing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Information regarding the directors and executive officers of Post is available in its definitive proxy statement, which was filed with the SEC on December 6, 2021. Free copies of these documents may be obtained as described above.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97"/>
        <w:gridCol w:w="107"/>
        <w:gridCol w:w="385"/>
        <w:gridCol w:w="107"/>
        <w:gridCol w:w="601"/>
        <w:gridCol w:w="107"/>
        <w:gridCol w:w="4601"/>
      </w:tblGrid>
      <w:tr>
        <w:trPr/>
        <w:tc>
          <w:tcPr>
            <w:tcW w:w="4297"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4601" w:type="dxa"/>
            <w:tcBorders/>
            <w:shd w:fill="auto" w:val="clear"/>
            <w:vAlign w:val="center"/>
          </w:tcPr>
          <w:p>
            <w:pPr>
              <w:pStyle w:val="TableContents"/>
              <w:spacing w:before="0" w:after="283"/>
              <w:rPr>
                <w:sz w:val="4"/>
                <w:szCs w:val="4"/>
              </w:rPr>
            </w:pPr>
            <w:r>
              <w:rPr>
                <w:sz w:val="4"/>
                <w:szCs w:val="4"/>
              </w:rPr>
            </w:r>
          </w:p>
        </w:tc>
      </w:tr>
      <w:tr>
        <w:trPr/>
        <w:tc>
          <w:tcPr>
            <w:tcW w:w="4297" w:type="dxa"/>
            <w:tcBorders/>
            <w:shd w:fill="auto" w:val="clear"/>
          </w:tcPr>
          <w:p>
            <w:pPr>
              <w:pStyle w:val="TableContents"/>
              <w:spacing w:before="0" w:after="283"/>
              <w:rPr/>
            </w:pPr>
            <w:r>
              <w:rPr/>
              <w:t>Date: February 28, 2022</w:t>
            </w:r>
          </w:p>
        </w:tc>
        <w:tc>
          <w:tcPr>
            <w:tcW w:w="107"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5309" w:type="dxa"/>
            <w:gridSpan w:val="3"/>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BellRing Brands, Inc.</w:t>
            </w:r>
          </w:p>
          <w:p>
            <w:pPr>
              <w:pStyle w:val="TableContents"/>
              <w:spacing w:before="0" w:after="20"/>
              <w:rPr>
                <w:rFonts w:ascii="Times New Roman" w:hAnsi="Times New Roman"/>
                <w:sz w:val="20"/>
              </w:rPr>
            </w:pPr>
            <w:r>
              <w:rPr>
                <w:rFonts w:ascii="Times New Roman" w:hAnsi="Times New Roman"/>
                <w:sz w:val="20"/>
              </w:rPr>
              <w:t>(Registrant)</w:t>
            </w:r>
          </w:p>
        </w:tc>
      </w:tr>
      <w:tr>
        <w:trPr>
          <w:trHeight w:val="240" w:hRule="atLeast"/>
        </w:trPr>
        <w:tc>
          <w:tcPr>
            <w:tcW w:w="4297" w:type="dxa"/>
            <w:tcBorders/>
            <w:shd w:fill="auto" w:val="clear"/>
            <w:vAlign w:val="center"/>
          </w:tcPr>
          <w:p>
            <w:pPr>
              <w:pStyle w:val="TableContents"/>
              <w:spacing w:before="0" w:after="283"/>
              <w:rPr>
                <w:sz w:val="4"/>
                <w:szCs w:val="4"/>
              </w:rPr>
            </w:pPr>
            <w:r>
              <w:rPr>
                <w:sz w:val="4"/>
                <w:szCs w:val="4"/>
              </w:rPr>
            </w:r>
          </w:p>
        </w:tc>
        <w:tc>
          <w:tcPr>
            <w:tcW w:w="492" w:type="dxa"/>
            <w:gridSpan w:val="2"/>
            <w:tcBorders/>
            <w:shd w:fill="auto" w:val="clear"/>
            <w:vAlign w:val="center"/>
          </w:tcPr>
          <w:p>
            <w:pPr>
              <w:pStyle w:val="TableContents"/>
              <w:spacing w:before="0" w:after="283"/>
              <w:rPr>
                <w:sz w:val="4"/>
                <w:szCs w:val="4"/>
              </w:rPr>
            </w:pPr>
            <w:r>
              <w:rPr>
                <w:sz w:val="4"/>
                <w:szCs w:val="4"/>
              </w:rPr>
            </w:r>
          </w:p>
        </w:tc>
        <w:tc>
          <w:tcPr>
            <w:tcW w:w="708" w:type="dxa"/>
            <w:gridSpan w:val="2"/>
            <w:tcBorders/>
            <w:shd w:fill="auto" w:val="clear"/>
            <w:vAlign w:val="center"/>
          </w:tcPr>
          <w:p>
            <w:pPr>
              <w:pStyle w:val="TableContents"/>
              <w:spacing w:before="0" w:after="283"/>
              <w:rPr>
                <w:sz w:val="4"/>
                <w:szCs w:val="4"/>
              </w:rPr>
            </w:pPr>
            <w:r>
              <w:rPr>
                <w:sz w:val="4"/>
                <w:szCs w:val="4"/>
              </w:rPr>
            </w:r>
          </w:p>
        </w:tc>
        <w:tc>
          <w:tcPr>
            <w:tcW w:w="4708" w:type="dxa"/>
            <w:gridSpan w:val="2"/>
            <w:tcBorders/>
            <w:shd w:fill="auto" w:val="clear"/>
            <w:vAlign w:val="center"/>
          </w:tcPr>
          <w:p>
            <w:pPr>
              <w:pStyle w:val="TableContents"/>
              <w:spacing w:before="0" w:after="283"/>
              <w:rPr>
                <w:sz w:val="4"/>
                <w:szCs w:val="4"/>
              </w:rPr>
            </w:pPr>
            <w:r>
              <w:rPr>
                <w:sz w:val="4"/>
                <w:szCs w:val="4"/>
              </w:rPr>
            </w:r>
          </w:p>
        </w:tc>
      </w:tr>
      <w:tr>
        <w:trPr/>
        <w:tc>
          <w:tcPr>
            <w:tcW w:w="4297"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By:</w:t>
            </w:r>
          </w:p>
        </w:tc>
        <w:tc>
          <w:tcPr>
            <w:tcW w:w="107" w:type="dxa"/>
            <w:tcBorders/>
            <w:shd w:fill="auto" w:val="clear"/>
            <w:vAlign w:val="bottom"/>
          </w:tcPr>
          <w:p>
            <w:pPr>
              <w:pStyle w:val="TableContents"/>
              <w:spacing w:before="0" w:after="283"/>
              <w:rPr/>
            </w:pPr>
            <w:r>
              <w:rPr/>
              <w:t> </w:t>
            </w:r>
          </w:p>
        </w:tc>
        <w:tc>
          <w:tcPr>
            <w:tcW w:w="4601"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Craig Rosenthal</w:t>
            </w:r>
          </w:p>
        </w:tc>
      </w:tr>
      <w:tr>
        <w:trPr/>
        <w:tc>
          <w:tcPr>
            <w:tcW w:w="4297"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Name:</w:t>
            </w:r>
          </w:p>
        </w:tc>
        <w:tc>
          <w:tcPr>
            <w:tcW w:w="107" w:type="dxa"/>
            <w:tcBorders/>
            <w:shd w:fill="auto" w:val="clear"/>
            <w:vAlign w:val="bottom"/>
          </w:tcPr>
          <w:p>
            <w:pPr>
              <w:pStyle w:val="TableContents"/>
              <w:spacing w:before="0" w:after="283"/>
              <w:rPr/>
            </w:pPr>
            <w:r>
              <w:rPr/>
              <w:t> </w:t>
            </w:r>
          </w:p>
        </w:tc>
        <w:tc>
          <w:tcPr>
            <w:tcW w:w="4601" w:type="dxa"/>
            <w:tcBorders/>
            <w:shd w:fill="auto" w:val="clear"/>
            <w:vAlign w:val="bottom"/>
          </w:tcPr>
          <w:p>
            <w:pPr>
              <w:pStyle w:val="TableContents"/>
              <w:spacing w:before="0" w:after="283"/>
              <w:rPr/>
            </w:pPr>
            <w:r>
              <w:rPr/>
              <w:t>Craig Rosenthal</w:t>
            </w:r>
          </w:p>
        </w:tc>
      </w:tr>
      <w:tr>
        <w:trPr/>
        <w:tc>
          <w:tcPr>
            <w:tcW w:w="4297"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Title:</w:t>
            </w:r>
          </w:p>
        </w:tc>
        <w:tc>
          <w:tcPr>
            <w:tcW w:w="107" w:type="dxa"/>
            <w:tcBorders/>
            <w:shd w:fill="auto" w:val="clear"/>
            <w:vAlign w:val="bottom"/>
          </w:tcPr>
          <w:p>
            <w:pPr>
              <w:pStyle w:val="TableContents"/>
              <w:spacing w:before="0" w:after="283"/>
              <w:rPr/>
            </w:pPr>
            <w:r>
              <w:rPr/>
              <w:t> </w:t>
            </w:r>
          </w:p>
        </w:tc>
        <w:tc>
          <w:tcPr>
            <w:tcW w:w="4601" w:type="dxa"/>
            <w:tcBorders/>
            <w:shd w:fill="auto" w:val="clear"/>
            <w:vAlign w:val="bottom"/>
          </w:tcPr>
          <w:p>
            <w:pPr>
              <w:pStyle w:val="TableContents"/>
              <w:spacing w:before="0" w:after="283"/>
              <w:rPr/>
            </w:pPr>
            <w:r>
              <w:rPr/>
              <w:t>Senior Vice President &amp; General Counsel</w:t>
            </w:r>
          </w:p>
        </w:tc>
      </w:tr>
    </w:tbl>
    <w:p>
      <w:pPr>
        <w:pStyle w:val="HorizontalLine"/>
        <w:pBdr>
          <w:bottom w:val="double" w:sz="6" w:space="0" w:color="808080"/>
        </w:pBdr>
        <w:rPr/>
      </w:pPr>
      <w:r>
        <w:br w:type="page"/>
      </w:r>
      <w:r>
        <w:rPr/>
      </w:r>
    </w:p>
    <w:p>
      <w:pPr>
        <w:pStyle w:val="TextBody"/>
        <w:spacing w:before="0" w:after="0"/>
        <w:jc w:val="right"/>
        <w:rPr>
          <w:rFonts w:ascii="Times New Roman" w:hAnsi="Times New Roman"/>
          <w:b/>
          <w:sz w:val="20"/>
        </w:rPr>
      </w:pPr>
      <w:r>
        <w:rPr>
          <w:rFonts w:ascii="Times New Roman" w:hAnsi="Times New Roman"/>
          <w:b/>
          <w:sz w:val="20"/>
        </w:rPr>
        <w:t xml:space="preserve">Exhibit 99.1 </w:t>
      </w:r>
    </w:p>
    <w:p>
      <w:pPr>
        <w:pStyle w:val="TextBody"/>
        <w:spacing w:before="0" w:after="0"/>
        <w:jc w:val="left"/>
        <w:rPr/>
      </w:pPr>
      <w:r>
        <w:rPr/>
        <w:t> </w:t>
      </w:r>
    </w:p>
    <w:p>
      <w:pPr>
        <w:pStyle w:val="TextBody"/>
        <w:spacing w:before="0" w:after="0"/>
        <w:jc w:val="left"/>
        <w:rPr/>
      </w:pPr>
      <w:r>
        <w:rPr/>
        <w:drawing>
          <wp:inline distT="0" distB="0" distL="0" distR="0">
            <wp:extent cx="1162050"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62050" cy="600075"/>
                    </a:xfrm>
                    <a:prstGeom prst="rect">
                      <a:avLst/>
                    </a:prstGeom>
                  </pic:spPr>
                </pic:pic>
              </a:graphicData>
            </a:graphic>
          </wp:inline>
        </w:drawing>
      </w:r>
      <w:r>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18"/>
        <w:gridCol w:w="123"/>
        <w:gridCol w:w="9264"/>
      </w:tblGrid>
      <w:tr>
        <w:trPr/>
        <w:tc>
          <w:tcPr>
            <w:tcW w:w="81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9264" w:type="dxa"/>
            <w:tcBorders/>
            <w:shd w:fill="auto" w:val="clear"/>
            <w:vAlign w:val="center"/>
          </w:tcPr>
          <w:p>
            <w:pPr>
              <w:pStyle w:val="TableContents"/>
              <w:spacing w:before="0" w:after="283"/>
              <w:rPr>
                <w:sz w:val="4"/>
                <w:szCs w:val="4"/>
              </w:rPr>
            </w:pPr>
            <w:r>
              <w:rPr>
                <w:sz w:val="4"/>
                <w:szCs w:val="4"/>
              </w:rPr>
            </w:r>
          </w:p>
        </w:tc>
      </w:tr>
      <w:tr>
        <w:trPr/>
        <w:tc>
          <w:tcPr>
            <w:tcW w:w="818"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w:t>
            </w:r>
          </w:p>
        </w:tc>
        <w:tc>
          <w:tcPr>
            <w:tcW w:w="123" w:type="dxa"/>
            <w:tcBorders/>
            <w:shd w:fill="auto" w:val="clear"/>
            <w:vAlign w:val="bottom"/>
          </w:tcPr>
          <w:p>
            <w:pPr>
              <w:pStyle w:val="TableContents"/>
              <w:spacing w:before="0" w:after="283"/>
              <w:rPr/>
            </w:pPr>
            <w:r>
              <w:rPr/>
              <w:t>  </w:t>
            </w:r>
          </w:p>
        </w:tc>
        <w:tc>
          <w:tcPr>
            <w:tcW w:w="9264" w:type="dxa"/>
            <w:tcBorders/>
            <w:shd w:fill="auto" w:val="clear"/>
            <w:vAlign w:val="bottom"/>
          </w:tcPr>
          <w:p>
            <w:pPr>
              <w:pStyle w:val="TableContents"/>
              <w:spacing w:before="0" w:after="283"/>
              <w:rPr/>
            </w:pPr>
            <w:r>
              <w:rPr/>
              <w:t>All Directors and Executive Officers of BellRing Brands, Inc.</w:t>
            </w:r>
          </w:p>
        </w:tc>
      </w:tr>
      <w:tr>
        <w:trPr>
          <w:trHeight w:val="120" w:hRule="atLeast"/>
        </w:trPr>
        <w:tc>
          <w:tcPr>
            <w:tcW w:w="818" w:type="dxa"/>
            <w:tcBorders/>
            <w:shd w:fill="auto" w:val="clear"/>
            <w:vAlign w:val="center"/>
          </w:tcPr>
          <w:p>
            <w:pPr>
              <w:pStyle w:val="TableContents"/>
              <w:spacing w:before="0" w:after="283"/>
              <w:rPr>
                <w:sz w:val="4"/>
                <w:szCs w:val="4"/>
              </w:rPr>
            </w:pPr>
            <w:r>
              <w:rPr>
                <w:sz w:val="4"/>
                <w:szCs w:val="4"/>
              </w:rPr>
            </w:r>
          </w:p>
        </w:tc>
        <w:tc>
          <w:tcPr>
            <w:tcW w:w="9387" w:type="dxa"/>
            <w:gridSpan w:val="2"/>
            <w:tcBorders/>
            <w:shd w:fill="auto" w:val="clear"/>
            <w:vAlign w:val="center"/>
          </w:tcPr>
          <w:p>
            <w:pPr>
              <w:pStyle w:val="TableContents"/>
              <w:spacing w:before="0" w:after="283"/>
              <w:rPr>
                <w:sz w:val="4"/>
                <w:szCs w:val="4"/>
              </w:rPr>
            </w:pPr>
            <w:r>
              <w:rPr>
                <w:sz w:val="4"/>
                <w:szCs w:val="4"/>
              </w:rPr>
            </w:r>
          </w:p>
        </w:tc>
      </w:tr>
      <w:tr>
        <w:trPr/>
        <w:tc>
          <w:tcPr>
            <w:tcW w:w="818"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Date:</w:t>
            </w:r>
          </w:p>
        </w:tc>
        <w:tc>
          <w:tcPr>
            <w:tcW w:w="123" w:type="dxa"/>
            <w:tcBorders/>
            <w:shd w:fill="auto" w:val="clear"/>
            <w:vAlign w:val="bottom"/>
          </w:tcPr>
          <w:p>
            <w:pPr>
              <w:pStyle w:val="TableContents"/>
              <w:spacing w:before="0" w:after="283"/>
              <w:rPr/>
            </w:pPr>
            <w:r>
              <w:rPr/>
              <w:t>  </w:t>
            </w:r>
          </w:p>
        </w:tc>
        <w:tc>
          <w:tcPr>
            <w:tcW w:w="9264" w:type="dxa"/>
            <w:tcBorders/>
            <w:shd w:fill="auto" w:val="clear"/>
            <w:vAlign w:val="bottom"/>
          </w:tcPr>
          <w:p>
            <w:pPr>
              <w:pStyle w:val="TableContents"/>
              <w:spacing w:before="0" w:after="283"/>
              <w:rPr/>
            </w:pPr>
            <w:r>
              <w:rPr/>
              <w:t>February 28, 2022</w:t>
            </w:r>
          </w:p>
        </w:tc>
      </w:tr>
      <w:tr>
        <w:trPr>
          <w:trHeight w:val="120" w:hRule="atLeast"/>
        </w:trPr>
        <w:tc>
          <w:tcPr>
            <w:tcW w:w="818" w:type="dxa"/>
            <w:tcBorders/>
            <w:shd w:fill="auto" w:val="clear"/>
            <w:vAlign w:val="center"/>
          </w:tcPr>
          <w:p>
            <w:pPr>
              <w:pStyle w:val="TableContents"/>
              <w:spacing w:before="0" w:after="283"/>
              <w:rPr>
                <w:sz w:val="4"/>
                <w:szCs w:val="4"/>
              </w:rPr>
            </w:pPr>
            <w:r>
              <w:rPr>
                <w:sz w:val="4"/>
                <w:szCs w:val="4"/>
              </w:rPr>
            </w:r>
          </w:p>
        </w:tc>
        <w:tc>
          <w:tcPr>
            <w:tcW w:w="9387" w:type="dxa"/>
            <w:gridSpan w:val="2"/>
            <w:tcBorders/>
            <w:shd w:fill="auto" w:val="clear"/>
            <w:vAlign w:val="center"/>
          </w:tcPr>
          <w:p>
            <w:pPr>
              <w:pStyle w:val="TableContents"/>
              <w:spacing w:before="0" w:after="283"/>
              <w:rPr>
                <w:sz w:val="4"/>
                <w:szCs w:val="4"/>
              </w:rPr>
            </w:pPr>
            <w:r>
              <w:rPr>
                <w:sz w:val="4"/>
                <w:szCs w:val="4"/>
              </w:rPr>
            </w:r>
          </w:p>
        </w:tc>
      </w:tr>
      <w:tr>
        <w:trPr/>
        <w:tc>
          <w:tcPr>
            <w:tcW w:w="818"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Subject:</w:t>
            </w:r>
          </w:p>
        </w:tc>
        <w:tc>
          <w:tcPr>
            <w:tcW w:w="123" w:type="dxa"/>
            <w:tcBorders/>
            <w:shd w:fill="auto" w:val="clear"/>
            <w:vAlign w:val="bottom"/>
          </w:tcPr>
          <w:p>
            <w:pPr>
              <w:pStyle w:val="TableContents"/>
              <w:spacing w:before="0" w:after="283"/>
              <w:rPr/>
            </w:pPr>
            <w:r>
              <w:rPr/>
              <w:t>  </w:t>
            </w:r>
          </w:p>
        </w:tc>
        <w:tc>
          <w:tcPr>
            <w:tcW w:w="9264" w:type="dxa"/>
            <w:tcBorders/>
            <w:shd w:fill="auto" w:val="clear"/>
            <w:vAlign w:val="bottom"/>
          </w:tcPr>
          <w:p>
            <w:pPr>
              <w:pStyle w:val="TableContents"/>
              <w:spacing w:before="0" w:after="283"/>
              <w:rPr/>
            </w:pPr>
            <w:r>
              <w:rPr/>
              <w:t>Notice of Blackout Trading Restriction Period (the BTR Blackout Period)</w:t>
            </w:r>
          </w:p>
        </w:tc>
      </w:tr>
    </w:tbl>
    <w:p>
      <w:pPr>
        <w:pStyle w:val="TextBody"/>
        <w:spacing w:before="360" w:after="0"/>
        <w:jc w:val="left"/>
        <w:rPr>
          <w:rFonts w:ascii="Times New Roman" w:hAnsi="Times New Roman"/>
          <w:b/>
          <w:i/>
          <w:sz w:val="20"/>
        </w:rPr>
      </w:pPr>
      <w:r>
        <w:rPr>
          <w:rFonts w:ascii="Times New Roman" w:hAnsi="Times New Roman"/>
          <w:b/>
          <w:i/>
          <w:sz w:val="20"/>
        </w:rPr>
        <w:t xml:space="preserve">Class of Securities Subject to the BTR Blackout Period; Purpose of Notice </w:t>
      </w:r>
    </w:p>
    <w:p>
      <w:pPr>
        <w:pStyle w:val="TextBody"/>
        <w:spacing w:before="120" w:after="0"/>
        <w:jc w:val="left"/>
        <w:rPr>
          <w:rFonts w:ascii="Times New Roman" w:hAnsi="Times New Roman"/>
          <w:sz w:val="20"/>
        </w:rPr>
      </w:pPr>
      <w:r>
        <w:rPr>
          <w:rFonts w:ascii="Times New Roman" w:hAnsi="Times New Roman"/>
          <w:sz w:val="20"/>
        </w:rPr>
        <w:t xml:space="preserve">This Notice is to inform you of significant restrictions on your ability to transact in Class A Common Stock $0.01 par value per share, of BellRing Brands, Inc. (together with any derivative security thereof including options or units, BellRing Stock) during an upcoming BTR Blackout Period. The restrictions during this period are imposed on the directors and officers of BellRing Brands, Inc. (the Company) who are subject to Section 16 of the Securities Exchange Act of 1934, as amended, by Section 306(a) of the Sarbanes-Oxley Act of 2002 and Securities and Exchange Commission (SEC) Regulation Blackout Trading Restriction (BTR). The BTR Blackout Period is in addition to the Companys regularly scheduled blackout period related to its earnings release under the Companys insider trading policy. </w:t>
      </w:r>
    </w:p>
    <w:p>
      <w:pPr>
        <w:pStyle w:val="TextBody"/>
        <w:spacing w:before="240" w:after="0"/>
        <w:jc w:val="left"/>
        <w:rPr>
          <w:rFonts w:ascii="Times New Roman" w:hAnsi="Times New Roman"/>
          <w:sz w:val="20"/>
        </w:rPr>
      </w:pPr>
      <w:r>
        <w:rPr>
          <w:rFonts w:ascii="Times New Roman" w:hAnsi="Times New Roman"/>
          <w:sz w:val="20"/>
        </w:rPr>
        <w:t xml:space="preserve">During the impending blackout period under the BellRing Brands, Inc. 401(k) Plan (the 401(k) Plan), you generally will be prohibited from effecting any direct or indirect transactions in BellRing Stock that you acquired in connection with your service or employment as a director or executive officer of the Company. We are obligated under the Sarbanes-Oxley Act to provide you with this Notice, which contains specific information regarding the BTR Blackout Period. In addition, we are required to file this Notice with the SEC as part of a Form 8-K. </w:t>
      </w:r>
    </w:p>
    <w:p>
      <w:pPr>
        <w:pStyle w:val="TextBody"/>
        <w:spacing w:before="360" w:after="0"/>
        <w:jc w:val="left"/>
        <w:rPr>
          <w:rFonts w:ascii="Times New Roman" w:hAnsi="Times New Roman"/>
          <w:b/>
          <w:i/>
          <w:sz w:val="20"/>
        </w:rPr>
      </w:pPr>
      <w:r>
        <w:rPr>
          <w:rFonts w:ascii="Times New Roman" w:hAnsi="Times New Roman"/>
          <w:b/>
          <w:i/>
          <w:sz w:val="20"/>
        </w:rPr>
        <w:t xml:space="preserve">Reasons for BTR Blackout Period and 401(k) Plan Transactions to be Suspended </w:t>
      </w:r>
    </w:p>
    <w:p>
      <w:pPr>
        <w:pStyle w:val="TextBody"/>
        <w:spacing w:before="120" w:after="0"/>
        <w:jc w:val="left"/>
        <w:rPr>
          <w:rFonts w:ascii="Times New Roman" w:hAnsi="Times New Roman"/>
          <w:sz w:val="20"/>
        </w:rPr>
      </w:pPr>
      <w:r>
        <w:rPr>
          <w:rFonts w:ascii="Times New Roman" w:hAnsi="Times New Roman"/>
          <w:sz w:val="20"/>
        </w:rPr>
        <w:t xml:space="preserve">As you are aware, Post Holdings, Inc. (Post) is spinning off a significant portion of its interests in BellRing Distribution, LLC (New BellRing) to Posts shareholders (the Spin-Off), which is expected to close in March 2022, subject to satisfaction of certain closing conditions. </w:t>
      </w:r>
    </w:p>
    <w:p>
      <w:pPr>
        <w:pStyle w:val="TextBody"/>
        <w:spacing w:before="240" w:after="0"/>
        <w:jc w:val="left"/>
        <w:rPr>
          <w:rFonts w:ascii="Times New Roman" w:hAnsi="Times New Roman"/>
          <w:sz w:val="20"/>
        </w:rPr>
      </w:pPr>
      <w:r>
        <w:rPr>
          <w:rFonts w:ascii="Times New Roman" w:hAnsi="Times New Roman"/>
          <w:sz w:val="20"/>
        </w:rPr>
        <w:t xml:space="preserve">You are receiving this Notice because the BellRing Brands Company Stock Fund is an investment option in the 401(k) Plan and is affected by this Spin-Off. The 401(k) Plans BellRing Brands Company Stock Fund is a unitized stock fund that holds shares of BellRing Stock along with a small amount of cash. In anticipation of the Spin-Off, the 401(k) Plan is setting up a new company stock fund for the common stock (New BellRing Common Stock) of New BellRing (which will be converted into a corporation and renamed as BellRing Brands, Inc. prior to the consummation of the Spin-Off), as explained below. </w:t>
      </w:r>
    </w:p>
    <w:p>
      <w:pPr>
        <w:pStyle w:val="TextBody"/>
        <w:spacing w:before="240" w:after="0"/>
        <w:jc w:val="left"/>
        <w:rPr>
          <w:rFonts w:ascii="Times New Roman" w:hAnsi="Times New Roman"/>
          <w:sz w:val="20"/>
        </w:rPr>
      </w:pPr>
      <w:r>
        <w:rPr>
          <w:rFonts w:ascii="Times New Roman" w:hAnsi="Times New Roman"/>
          <w:sz w:val="20"/>
        </w:rPr>
        <w:t xml:space="preserve">In connection with the Spin-Off, pursuant to the merger of a subsidiary of New BellRing with and into the Company (the Merger), each share of BellRing Stock will be converted into the right to receive (i) an amount of per share cash consideration and (ii) one share of New BellRing Common Stock. After the Spin-Off and Merger, each participants account that was invested in BellRing Class A Common Stock through the 401(k) Plans BellRing Brands Company Stock Fund will hold New BellRing Common Stock in a new BellRing Brands, Inc. Common Stock Fund. </w:t>
      </w:r>
    </w:p>
    <w:p>
      <w:pPr>
        <w:pStyle w:val="TextBody"/>
        <w:spacing w:before="240" w:after="0"/>
        <w:jc w:val="left"/>
        <w:rPr>
          <w:rFonts w:ascii="Times New Roman" w:hAnsi="Times New Roman"/>
          <w:sz w:val="20"/>
        </w:rPr>
      </w:pPr>
      <w:r>
        <w:rPr>
          <w:rFonts w:ascii="Times New Roman" w:hAnsi="Times New Roman"/>
          <w:sz w:val="20"/>
        </w:rPr>
        <w:t xml:space="preserve">Based on the Spin-Off, a temporary blackout period will be needed so that the new BellRing Brands, Inc. Common Stock Fund can be established, and an accurate and orderly transition can occur. Participants in the 401(k) Plan will be generally prohibited from making any transactions in the BellRing Brands Company Stock Fund, including being temporarily unable to direct or change investments in the BellRing Brands Company Stock Fund under the 401(k) Plan, or obtain a loan, a withdrawal or a distribution from the BellRing Brands Company Stock Fund under the 401(k) Plan during the temporary blackout period. </w:t>
      </w:r>
      <w:r>
        <w:br w:type="page"/>
      </w:r>
    </w:p>
    <w:p>
      <w:pPr>
        <w:pStyle w:val="HorizontalLine"/>
        <w:pBdr>
          <w:bottom w:val="double" w:sz="6" w:space="0" w:color="808080"/>
        </w:pBdr>
        <w:rPr/>
      </w:pPr>
      <w:r>
        <w:rPr/>
      </w:r>
    </w:p>
    <w:p>
      <w:pPr>
        <w:pStyle w:val="TextBody"/>
        <w:spacing w:before="0" w:after="0"/>
        <w:jc w:val="left"/>
        <w:rPr>
          <w:rFonts w:ascii="Times New Roman" w:hAnsi="Times New Roman"/>
          <w:b/>
          <w:i/>
          <w:sz w:val="20"/>
        </w:rPr>
      </w:pPr>
      <w:r>
        <w:rPr>
          <w:rFonts w:ascii="Times New Roman" w:hAnsi="Times New Roman"/>
          <w:b/>
          <w:i/>
          <w:sz w:val="20"/>
        </w:rPr>
        <w:t xml:space="preserve">Length of Blackout Period </w:t>
      </w:r>
    </w:p>
    <w:p>
      <w:pPr>
        <w:pStyle w:val="TextBody"/>
        <w:spacing w:before="120" w:after="0"/>
        <w:jc w:val="left"/>
        <w:rPr>
          <w:rFonts w:ascii="Times New Roman" w:hAnsi="Times New Roman"/>
          <w:sz w:val="20"/>
        </w:rPr>
      </w:pPr>
      <w:r>
        <w:rPr>
          <w:rFonts w:ascii="Times New Roman" w:hAnsi="Times New Roman"/>
          <w:sz w:val="20"/>
        </w:rPr>
        <w:t xml:space="preserve">The BTR Blackout Period is expected to begin on March 10, 2022 at 1:00 p.m. Eastern Time and is expected to end during the calendar week of March 20, 2022. If there is a change to the beginning date or the length of the BTR Blackout Period, the Company will provide you with Notice of such adjustment as soon as reasonably practicable. You may obtain, without charge, the actual beginning and ending dates of the BTR Blackout Period (during the BTR Blackout Period and for a period of two years after the ending date of the BTR Blackout Period). </w:t>
      </w:r>
    </w:p>
    <w:p>
      <w:pPr>
        <w:pStyle w:val="TextBody"/>
        <w:spacing w:before="360" w:after="0"/>
        <w:jc w:val="left"/>
        <w:rPr>
          <w:rFonts w:ascii="Times New Roman" w:hAnsi="Times New Roman"/>
          <w:b/>
          <w:i/>
          <w:sz w:val="20"/>
        </w:rPr>
      </w:pPr>
      <w:r>
        <w:rPr>
          <w:rFonts w:ascii="Times New Roman" w:hAnsi="Times New Roman"/>
          <w:b/>
          <w:i/>
          <w:sz w:val="20"/>
        </w:rPr>
        <w:t xml:space="preserve">Restrictions on Directors and Executive Officers During the BTR Blackout Period </w:t>
      </w:r>
    </w:p>
    <w:p>
      <w:pPr>
        <w:pStyle w:val="TextBody"/>
        <w:spacing w:before="120" w:after="0"/>
        <w:jc w:val="left"/>
        <w:rPr>
          <w:rFonts w:ascii="Times New Roman" w:hAnsi="Times New Roman"/>
          <w:sz w:val="20"/>
        </w:rPr>
      </w:pPr>
      <w:r>
        <w:rPr>
          <w:rFonts w:ascii="Times New Roman" w:hAnsi="Times New Roman"/>
          <w:sz w:val="20"/>
        </w:rPr>
        <w:t xml:space="preserve">Because participants in the 401(k) Plan will be subject to a temporary blackout period during the BTR Blackout Period, the Companys directors and executive officers will be subject to the trading restrictions imposed under Section 306(a) of the Sarbanes-Oxley Act of 2002 for the duration of the BTR Blackout Period. Thus, during the BTR Blackout Period, you will be prohibited from effecting any direct or indirect transactions in BellRing Stock that you acquired in connection with your service or employment as a director or executive officer of the Company. Covered transactions are not limited to those involving your direct ownership, but include any transaction in which you have a pecuniary interest. </w:t>
      </w:r>
    </w:p>
    <w:p>
      <w:pPr>
        <w:pStyle w:val="TextBody"/>
        <w:spacing w:before="240" w:after="0"/>
        <w:jc w:val="left"/>
        <w:rPr>
          <w:rFonts w:ascii="Times New Roman" w:hAnsi="Times New Roman"/>
          <w:sz w:val="20"/>
        </w:rPr>
      </w:pPr>
      <w:r>
        <w:rPr>
          <w:rFonts w:ascii="Times New Roman" w:hAnsi="Times New Roman"/>
          <w:sz w:val="20"/>
        </w:rPr>
        <w:t xml:space="preserve">Please note that any security of the Company that you purchase, sell or otherwise transfer during the BTR Blackout Period will be automatically treated as acquired in connection with your service or employment with the Company unless you establish that the securities were acquired from another source and that such identification is consistent with your treatment of the securities for tax purposes and all other disclosure and reporting purposes. </w:t>
      </w:r>
    </w:p>
    <w:p>
      <w:pPr>
        <w:pStyle w:val="TextBody"/>
        <w:spacing w:before="240" w:after="0"/>
        <w:jc w:val="left"/>
        <w:rPr>
          <w:rFonts w:ascii="Times New Roman" w:hAnsi="Times New Roman"/>
          <w:sz w:val="20"/>
        </w:rPr>
      </w:pPr>
      <w:r>
        <w:rPr>
          <w:rFonts w:ascii="Times New Roman" w:hAnsi="Times New Roman"/>
          <w:sz w:val="20"/>
        </w:rPr>
        <w:t xml:space="preserve">If you have any questions concerning this Notice, whether certain transactions are subject to this prohibition or inquiries about the BTR Blackout Period, please contact Craig Rosenthal  Senior Vice President and General Counsel, BellRing Brands, Inc., 2503 S. Hanley Rd. St. Louis, MO 63144 or (314) 644-7600.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2568</Words>
  <CharactersWithSpaces>15943</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