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339725</wp:posOffset>
            </wp:positionH>
            <wp:positionV relativeFrom="page">
              <wp:posOffset>597535</wp:posOffset>
            </wp:positionV>
            <wp:extent cx="61436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43625" cy="5715"/>
                    </a:xfrm>
                    <a:prstGeom prst="rect">
                      <a:avLst/>
                    </a:prstGeom>
                    <a:noFill/>
                  </pic:spPr>
                </pic:pic>
              </a:graphicData>
            </a:graphic>
          </wp:anchor>
        </w:drawing>
        <w:drawing>
          <wp:anchor simplePos="0" relativeHeight="251657728" behindDoc="1" locked="0" layoutInCell="0" allowOverlap="1">
            <wp:simplePos x="0" y="0"/>
            <wp:positionH relativeFrom="page">
              <wp:posOffset>339725</wp:posOffset>
            </wp:positionH>
            <wp:positionV relativeFrom="page">
              <wp:posOffset>614680</wp:posOffset>
            </wp:positionV>
            <wp:extent cx="614362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43625" cy="571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2"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4"/>
          <w:szCs w:val="14"/>
          <w:color w:val="auto"/>
        </w:rPr>
        <w:t>______________________</w:t>
      </w:r>
    </w:p>
    <w:p>
      <w:pPr>
        <w:spacing w:after="0" w:line="5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27"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1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Date of Report (Date of earliest event reported): February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3086735</wp:posOffset>
            </wp:positionH>
            <wp:positionV relativeFrom="paragraph">
              <wp:posOffset>79375</wp:posOffset>
            </wp:positionV>
            <wp:extent cx="1000125" cy="525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0125" cy="525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BellRing Brands, Inc.</w:t>
      </w:r>
    </w:p>
    <w:p>
      <w:pPr>
        <w:spacing w:after="0" w:line="103" w:lineRule="exact"/>
        <w:rPr>
          <w:sz w:val="24"/>
          <w:szCs w:val="24"/>
          <w:color w:val="auto"/>
        </w:rPr>
      </w:pPr>
    </w:p>
    <w:tbl>
      <w:tblPr>
        <w:tblLayout w:type="fixed"/>
        <w:tblInd w:w="1280" w:type="dxa"/>
        <w:tblCellMar>
          <w:top w:w="0" w:type="dxa"/>
          <w:left w:w="0" w:type="dxa"/>
          <w:bottom w:w="0" w:type="dxa"/>
          <w:right w:w="0" w:type="dxa"/>
        </w:tblCellMar>
      </w:tblPr>
      <w:tr>
        <w:trPr>
          <w:trHeight w:val="155"/>
        </w:trPr>
        <w:tc>
          <w:tcPr>
            <w:tcW w:w="2620" w:type="dxa"/>
            <w:vAlign w:val="bottom"/>
          </w:tcPr>
          <w:p>
            <w:pPr>
              <w:spacing w:after="0"/>
              <w:rPr>
                <w:sz w:val="13"/>
                <w:szCs w:val="13"/>
                <w:color w:val="auto"/>
              </w:rPr>
            </w:pPr>
          </w:p>
        </w:tc>
        <w:tc>
          <w:tcPr>
            <w:tcW w:w="3600" w:type="dxa"/>
            <w:vAlign w:val="bottom"/>
            <w:gridSpan w:val="2"/>
          </w:tcPr>
          <w:p>
            <w:pPr>
              <w:jc w:val="center"/>
              <w:ind w:right="54"/>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2280" w:type="dxa"/>
            <w:vAlign w:val="bottom"/>
          </w:tcPr>
          <w:p>
            <w:pPr>
              <w:spacing w:after="0"/>
              <w:rPr>
                <w:sz w:val="13"/>
                <w:szCs w:val="13"/>
                <w:color w:val="auto"/>
              </w:rPr>
            </w:pPr>
          </w:p>
        </w:tc>
      </w:tr>
      <w:tr>
        <w:trPr>
          <w:trHeight w:val="184"/>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1340" w:type="dxa"/>
            <w:vAlign w:val="bottom"/>
          </w:tcPr>
          <w:p>
            <w:pPr>
              <w:spacing w:after="0"/>
              <w:rPr>
                <w:sz w:val="16"/>
                <w:szCs w:val="16"/>
                <w:color w:val="auto"/>
              </w:rPr>
            </w:pPr>
          </w:p>
        </w:tc>
        <w:tc>
          <w:tcPr>
            <w:tcW w:w="2260" w:type="dxa"/>
            <w:vAlign w:val="bottom"/>
          </w:tcPr>
          <w:p>
            <w:pPr>
              <w:jc w:val="center"/>
              <w:ind w:right="1394"/>
              <w:spacing w:after="0"/>
              <w:rPr>
                <w:sz w:val="20"/>
                <w:szCs w:val="20"/>
                <w:color w:val="auto"/>
              </w:rPr>
            </w:pPr>
            <w:r>
              <w:rPr>
                <w:rFonts w:ascii="Times New Roman" w:cs="Times New Roman" w:eastAsia="Times New Roman" w:hAnsi="Times New Roman"/>
                <w:sz w:val="13"/>
                <w:szCs w:val="13"/>
                <w:b w:val="1"/>
                <w:bCs w:val="1"/>
                <w:color w:val="auto"/>
                <w:w w:val="99"/>
              </w:rPr>
              <w:t>001-39093</w:t>
            </w:r>
          </w:p>
        </w:tc>
        <w:tc>
          <w:tcPr>
            <w:tcW w:w="228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87-3296749</w:t>
            </w:r>
          </w:p>
        </w:tc>
      </w:tr>
      <w:tr>
        <w:trPr>
          <w:trHeight w:val="158"/>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2"/>
                <w:szCs w:val="12"/>
                <w:color w:val="auto"/>
                <w:w w:val="99"/>
              </w:rPr>
              <w:t>(State or other jurisdiction of incorporation)</w:t>
            </w:r>
          </w:p>
        </w:tc>
        <w:tc>
          <w:tcPr>
            <w:tcW w:w="3600" w:type="dxa"/>
            <w:vAlign w:val="bottom"/>
            <w:gridSpan w:val="2"/>
          </w:tcPr>
          <w:p>
            <w:pPr>
              <w:jc w:val="center"/>
              <w:ind w:right="54"/>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2280" w:type="dxa"/>
            <w:vAlign w:val="bottom"/>
          </w:tcPr>
          <w:p>
            <w:pPr>
              <w:jc w:val="center"/>
              <w:ind w:left="557"/>
              <w:spacing w:after="0"/>
              <w:rPr>
                <w:sz w:val="20"/>
                <w:szCs w:val="20"/>
                <w:color w:val="auto"/>
              </w:rPr>
            </w:pPr>
            <w:r>
              <w:rPr>
                <w:rFonts w:ascii="Times New Roman" w:cs="Times New Roman" w:eastAsia="Times New Roman" w:hAnsi="Times New Roman"/>
                <w:sz w:val="12"/>
                <w:szCs w:val="12"/>
                <w:color w:val="auto"/>
              </w:rPr>
              <w:t>(IRS Employer Identification No.)</w:t>
            </w:r>
          </w:p>
        </w:tc>
      </w:tr>
      <w:tr>
        <w:trPr>
          <w:trHeight w:val="391"/>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rPr>
              <w:t>2503 S. Hanley Road</w:t>
            </w:r>
          </w:p>
        </w:tc>
        <w:tc>
          <w:tcPr>
            <w:tcW w:w="134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St. Louis</w:t>
            </w:r>
          </w:p>
        </w:tc>
        <w:tc>
          <w:tcPr>
            <w:tcW w:w="2260" w:type="dxa"/>
            <w:vAlign w:val="bottom"/>
          </w:tcPr>
          <w:p>
            <w:pPr>
              <w:ind w:left="1060"/>
              <w:spacing w:after="0"/>
              <w:rPr>
                <w:sz w:val="20"/>
                <w:szCs w:val="20"/>
                <w:color w:val="auto"/>
              </w:rPr>
            </w:pPr>
            <w:r>
              <w:rPr>
                <w:rFonts w:ascii="Times New Roman" w:cs="Times New Roman" w:eastAsia="Times New Roman" w:hAnsi="Times New Roman"/>
                <w:sz w:val="13"/>
                <w:szCs w:val="13"/>
                <w:b w:val="1"/>
                <w:bCs w:val="1"/>
                <w:color w:val="auto"/>
              </w:rPr>
              <w:t>Missouri</w:t>
            </w:r>
          </w:p>
        </w:tc>
        <w:tc>
          <w:tcPr>
            <w:tcW w:w="2280" w:type="dxa"/>
            <w:vAlign w:val="bottom"/>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63144</w:t>
            </w:r>
          </w:p>
        </w:tc>
      </w:tr>
      <w:tr>
        <w:trPr>
          <w:trHeight w:val="158"/>
        </w:trPr>
        <w:tc>
          <w:tcPr>
            <w:tcW w:w="3960" w:type="dxa"/>
            <w:vAlign w:val="bottom"/>
            <w:gridSpan w:val="2"/>
          </w:tcPr>
          <w:p>
            <w:pPr>
              <w:ind w:left="172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2260" w:type="dxa"/>
            <w:vAlign w:val="bottom"/>
          </w:tcPr>
          <w:p>
            <w:pPr>
              <w:spacing w:after="0"/>
              <w:rPr>
                <w:sz w:val="13"/>
                <w:szCs w:val="13"/>
                <w:color w:val="auto"/>
              </w:rPr>
            </w:pPr>
          </w:p>
        </w:tc>
        <w:tc>
          <w:tcPr>
            <w:tcW w:w="2280" w:type="dxa"/>
            <w:vAlign w:val="bottom"/>
          </w:tcPr>
          <w:p>
            <w:pPr>
              <w:jc w:val="center"/>
              <w:ind w:left="577"/>
              <w:spacing w:after="0"/>
              <w:rPr>
                <w:sz w:val="20"/>
                <w:szCs w:val="20"/>
                <w:color w:val="auto"/>
              </w:rPr>
            </w:pPr>
            <w:r>
              <w:rPr>
                <w:rFonts w:ascii="Times New Roman" w:cs="Times New Roman" w:eastAsia="Times New Roman" w:hAnsi="Times New Roman"/>
                <w:sz w:val="12"/>
                <w:szCs w:val="12"/>
                <w:color w:val="auto"/>
                <w:w w:val="98"/>
              </w:rPr>
              <w:t>(Zip Code)</w:t>
            </w:r>
          </w:p>
        </w:tc>
      </w:tr>
    </w:tbl>
    <w:p>
      <w:pPr>
        <w:spacing w:after="0" w:line="12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3"/>
          <w:szCs w:val="13"/>
          <w:b w:val="1"/>
          <w:bCs w:val="1"/>
          <w:color w:val="auto"/>
        </w:rPr>
        <w:t>(314) 644-7600</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78" w:lineRule="exact"/>
        <w:rPr>
          <w:sz w:val="24"/>
          <w:szCs w:val="24"/>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37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144"/>
        </w:trPr>
        <w:tc>
          <w:tcPr>
            <w:tcW w:w="1420" w:type="dxa"/>
            <w:vAlign w:val="bottom"/>
          </w:tcPr>
          <w:p>
            <w:pPr>
              <w:spacing w:after="0"/>
              <w:rPr>
                <w:sz w:val="12"/>
                <w:szCs w:val="12"/>
                <w:color w:val="auto"/>
              </w:rPr>
            </w:pPr>
          </w:p>
        </w:tc>
        <w:tc>
          <w:tcPr>
            <w:tcW w:w="2280" w:type="dxa"/>
            <w:vAlign w:val="bottom"/>
            <w:gridSpan w:val="2"/>
          </w:tcPr>
          <w:p>
            <w:pPr>
              <w:jc w:val="center"/>
              <w:ind w:right="142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48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8"/>
              </w:rPr>
              <w:t>Trading Symbol(s)</w:t>
            </w:r>
          </w:p>
        </w:tc>
        <w:tc>
          <w:tcPr>
            <w:tcW w:w="2920" w:type="dxa"/>
            <w:vAlign w:val="bottom"/>
            <w:gridSpan w:val="2"/>
          </w:tcPr>
          <w:p>
            <w:pPr>
              <w:jc w:val="center"/>
              <w:ind w:left="740"/>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r>
        <w:trPr>
          <w:trHeight w:val="160"/>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$0.01 par value per share</w:t>
            </w:r>
          </w:p>
        </w:tc>
        <w:tc>
          <w:tcPr>
            <w:tcW w:w="780" w:type="dxa"/>
            <w:vAlign w:val="bottom"/>
          </w:tcPr>
          <w:p>
            <w:pPr>
              <w:spacing w:after="0"/>
              <w:rPr>
                <w:sz w:val="13"/>
                <w:szCs w:val="13"/>
                <w:color w:val="auto"/>
              </w:rPr>
            </w:pPr>
          </w:p>
        </w:tc>
        <w:tc>
          <w:tcPr>
            <w:tcW w:w="1700" w:type="dxa"/>
            <w:vAlign w:val="bottom"/>
            <w:gridSpan w:val="2"/>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rPr>
              <w:t>BRBR</w:t>
            </w:r>
          </w:p>
        </w:tc>
        <w:tc>
          <w:tcPr>
            <w:tcW w:w="80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New York Stock Exchange</w:t>
            </w:r>
          </w:p>
        </w:tc>
      </w:tr>
    </w:tbl>
    <w:p>
      <w:pPr>
        <w:spacing w:after="0" w:line="115" w:lineRule="exact"/>
        <w:rPr>
          <w:sz w:val="24"/>
          <w:szCs w:val="24"/>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If an emerging growth company, indicate by check mark if the registrant has elected not to use the extended transition period for complying with any new or revised financial accounting standards provided pursuant to Section 13(a) of</w:t>
      </w:r>
    </w:p>
    <w:p>
      <w:pPr>
        <w:spacing w:after="0" w:line="196"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the Exchange Act.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587375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-39370</wp:posOffset>
            </wp:positionV>
            <wp:extent cx="60636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63615" cy="571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-22225</wp:posOffset>
            </wp:positionV>
            <wp:extent cx="60636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63615" cy="5715"/>
                    </a:xfrm>
                    <a:prstGeom prst="rect">
                      <a:avLst/>
                    </a:prstGeom>
                    <a:noFill/>
                  </pic:spPr>
                </pic:pic>
              </a:graphicData>
            </a:graphic>
          </wp:anchor>
        </w:drawing>
      </w:r>
    </w:p>
    <w:p>
      <w:pPr>
        <w:sectPr>
          <w:pgSz w:w="11900" w:h="16838" w:orient="portrait"/>
          <w:cols w:equalWidth="0" w:num="1">
            <w:col w:w="11200"/>
          </w:cols>
          <w:pgMar w:left="300" w:top="1087" w:right="399" w:bottom="1440" w:gutter="0" w:footer="0" w:header="0"/>
        </w:sectPr>
      </w:pPr>
    </w:p>
    <w:bookmarkStart w:id="1" w:name="page2"/>
    <w:bookmarkEnd w:id="1"/>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 and Financial Condition.</w:t>
      </w:r>
    </w:p>
    <w:p>
      <w:pPr>
        <w:spacing w:after="0" w:line="172"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On February 3, 2025, BellRing Brands, Inc. (the "Company") issued a press release announcing results for its first fiscal quarter ended December 31, 2024. A copy of the press release is attached hereto as Exhibit 99.1 and incorporated herein by reference.</w:t>
      </w:r>
    </w:p>
    <w:p>
      <w:pPr>
        <w:spacing w:after="0" w:line="129"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In addition, on February 3, 2025, the Company published to the "Investor Relations" section of its website, www.bellringbrands.com, a supplemental presentation related to results for its first fiscal quarter ended December 31, 2024. A copy of the presentation is attached hereto as Exhibit 99.2 and incorporated herein by reference.</w:t>
      </w:r>
    </w:p>
    <w:p>
      <w:pPr>
        <w:spacing w:after="0" w:line="12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information contained in Item 2.02, including Exhibit 99.1 and Exhibit 99.2 attached hereto, shall not be deemed to be "filed" for purposes of Section 18 of the Securities Exchange Act of 1934, as amended (the "Exchange Act"), or otherwise subject to the liabilities of that Section, nor shall they be deemed incorporated by reference into any filings under the Securities Act of 1933, as amended, or the Exchange Act, except as expressly set forth by specific reference in such filing.</w:t>
      </w:r>
    </w:p>
    <w:p>
      <w:pPr>
        <w:spacing w:after="0" w:line="13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2"/>
          <w:szCs w:val="12"/>
          <w:b w:val="1"/>
          <w:bCs w:val="1"/>
          <w:color w:val="auto"/>
        </w:rPr>
        <w:t>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500" w:type="dxa"/>
            <w:vAlign w:val="bottom"/>
          </w:tcPr>
          <w:p>
            <w:pPr>
              <w:spacing w:after="0"/>
              <w:rPr>
                <w:sz w:val="13"/>
                <w:szCs w:val="13"/>
                <w:color w:val="auto"/>
              </w:rPr>
            </w:pPr>
          </w:p>
        </w:tc>
      </w:tr>
      <w:tr>
        <w:trPr>
          <w:trHeight w:val="306"/>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No.</w:t>
            </w:r>
          </w:p>
        </w:tc>
        <w:tc>
          <w:tcPr>
            <w:tcW w:w="9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1700" w:type="dxa"/>
            <w:vAlign w:val="bottom"/>
          </w:tcPr>
          <w:p>
            <w:pPr>
              <w:spacing w:after="0"/>
              <w:rPr>
                <w:sz w:val="20"/>
                <w:szCs w:val="20"/>
                <w:color w:val="auto"/>
              </w:rPr>
            </w:pPr>
          </w:p>
        </w:tc>
        <w:tc>
          <w:tcPr>
            <w:tcW w:w="18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8"/>
              </w:rPr>
              <w:t>Press Release dated February 3, 2025</w:t>
            </w:r>
          </w:p>
        </w:tc>
        <w:tc>
          <w:tcPr>
            <w:tcW w:w="7240" w:type="dxa"/>
            <w:vAlign w:val="bottom"/>
            <w:gridSpan w:val="2"/>
          </w:tcPr>
          <w:p>
            <w:pPr>
              <w:spacing w:after="0"/>
              <w:rPr>
                <w:sz w:val="20"/>
                <w:szCs w:val="20"/>
                <w:color w:val="auto"/>
              </w:rPr>
            </w:pP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99.2</w:t>
            </w:r>
          </w:p>
        </w:tc>
        <w:tc>
          <w:tcPr>
            <w:tcW w:w="1700" w:type="dxa"/>
            <w:vAlign w:val="bottom"/>
          </w:tcPr>
          <w:p>
            <w:pPr>
              <w:spacing w:after="0"/>
              <w:rPr>
                <w:sz w:val="11"/>
                <w:szCs w:val="11"/>
                <w:color w:val="auto"/>
              </w:rPr>
            </w:pPr>
          </w:p>
        </w:tc>
        <w:tc>
          <w:tcPr>
            <w:tcW w:w="904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FF"/>
              </w:rPr>
              <w:t>First Fiscal Quarter Ended December 31, 2024 Supplemental Presentation</w:t>
            </w:r>
          </w:p>
        </w:tc>
      </w:tr>
      <w:tr>
        <w:trPr>
          <w:trHeight w:val="20"/>
        </w:trPr>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540" w:type="dxa"/>
            <w:vAlign w:val="bottom"/>
            <w:gridSpan w:val="3"/>
            <w:shd w:val="clear" w:color="auto" w:fill="0000FF"/>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160"/>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700" w:type="dxa"/>
            <w:vAlign w:val="bottom"/>
          </w:tcPr>
          <w:p>
            <w:pPr>
              <w:spacing w:after="0"/>
              <w:rPr>
                <w:sz w:val="13"/>
                <w:szCs w:val="13"/>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(the cover page iXBRL tags are embedded within the Inline XBRL document)</w:t>
            </w:r>
          </w:p>
        </w:tc>
      </w:tr>
      <w:tr>
        <w:trPr>
          <w:trHeight w:val="2241"/>
        </w:trPr>
        <w:tc>
          <w:tcPr>
            <w:tcW w:w="5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60"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20" w:type="dxa"/>
            <w:vAlign w:val="bottom"/>
          </w:tcPr>
          <w:p>
            <w:pPr>
              <w:spacing w:after="0"/>
              <w:rPr>
                <w:sz w:val="20"/>
                <w:szCs w:val="20"/>
                <w:color w:val="auto"/>
              </w:rPr>
            </w:pPr>
            <w:r>
              <w:rPr>
                <w:rFonts w:ascii="Times New Roman" w:cs="Times New Roman" w:eastAsia="Times New Roman" w:hAnsi="Times New Roman"/>
                <w:sz w:val="12"/>
                <w:szCs w:val="12"/>
                <w:color w:val="auto"/>
              </w:rPr>
              <w:t>Date: February 3, 2025</w:t>
            </w:r>
          </w:p>
        </w:tc>
        <w:tc>
          <w:tcPr>
            <w:tcW w:w="7760" w:type="dxa"/>
            <w:vAlign w:val="bottom"/>
            <w:gridSpan w:val="2"/>
          </w:tcPr>
          <w:p>
            <w:pPr>
              <w:ind w:left="2220"/>
              <w:spacing w:after="0"/>
              <w:rPr>
                <w:sz w:val="20"/>
                <w:szCs w:val="20"/>
                <w:color w:val="auto"/>
              </w:rPr>
            </w:pPr>
            <w:r>
              <w:rPr>
                <w:rFonts w:ascii="Times New Roman" w:cs="Times New Roman" w:eastAsia="Times New Roman" w:hAnsi="Times New Roman"/>
                <w:sz w:val="12"/>
                <w:szCs w:val="12"/>
                <w:b w:val="1"/>
                <w:bCs w:val="1"/>
                <w:color w:val="auto"/>
              </w:rPr>
              <w:t>BellRing Brands, Inc.</w:t>
            </w:r>
          </w:p>
        </w:tc>
      </w:tr>
      <w:tr>
        <w:trPr>
          <w:trHeight w:val="225"/>
        </w:trPr>
        <w:tc>
          <w:tcPr>
            <w:tcW w:w="3320" w:type="dxa"/>
            <w:vAlign w:val="bottom"/>
          </w:tcPr>
          <w:p>
            <w:pPr>
              <w:spacing w:after="0"/>
              <w:rPr>
                <w:sz w:val="19"/>
                <w:szCs w:val="19"/>
                <w:color w:val="auto"/>
              </w:rPr>
            </w:pPr>
          </w:p>
        </w:tc>
        <w:tc>
          <w:tcPr>
            <w:tcW w:w="3140" w:type="dxa"/>
            <w:vAlign w:val="bottom"/>
          </w:tcPr>
          <w:p>
            <w:pPr>
              <w:ind w:left="2220"/>
              <w:spacing w:after="0"/>
              <w:rPr>
                <w:sz w:val="20"/>
                <w:szCs w:val="20"/>
                <w:color w:val="auto"/>
              </w:rPr>
            </w:pPr>
            <w:r>
              <w:rPr>
                <w:rFonts w:ascii="Times New Roman" w:cs="Times New Roman" w:eastAsia="Times New Roman" w:hAnsi="Times New Roman"/>
                <w:sz w:val="12"/>
                <w:szCs w:val="12"/>
                <w:color w:val="auto"/>
              </w:rPr>
              <w:t>(Registrant)</w:t>
            </w:r>
          </w:p>
        </w:tc>
        <w:tc>
          <w:tcPr>
            <w:tcW w:w="4620" w:type="dxa"/>
            <w:vAlign w:val="bottom"/>
          </w:tcPr>
          <w:p>
            <w:pPr>
              <w:spacing w:after="0"/>
              <w:rPr>
                <w:sz w:val="19"/>
                <w:szCs w:val="19"/>
                <w:color w:val="auto"/>
              </w:rPr>
            </w:pPr>
          </w:p>
        </w:tc>
      </w:tr>
      <w:tr>
        <w:trPr>
          <w:trHeight w:val="450"/>
        </w:trPr>
        <w:tc>
          <w:tcPr>
            <w:tcW w:w="3320" w:type="dxa"/>
            <w:vAlign w:val="bottom"/>
          </w:tcPr>
          <w:p>
            <w:pPr>
              <w:spacing w:after="0"/>
              <w:rPr>
                <w:sz w:val="24"/>
                <w:szCs w:val="24"/>
                <w:color w:val="auto"/>
              </w:rPr>
            </w:pPr>
          </w:p>
        </w:tc>
        <w:tc>
          <w:tcPr>
            <w:tcW w:w="3140" w:type="dxa"/>
            <w:vAlign w:val="bottom"/>
          </w:tcPr>
          <w:p>
            <w:pPr>
              <w:ind w:left="2220"/>
              <w:spacing w:after="0"/>
              <w:rPr>
                <w:sz w:val="20"/>
                <w:szCs w:val="20"/>
                <w:color w:val="auto"/>
              </w:rPr>
            </w:pPr>
            <w:r>
              <w:rPr>
                <w:rFonts w:ascii="Times New Roman" w:cs="Times New Roman" w:eastAsia="Times New Roman" w:hAnsi="Times New Roman"/>
                <w:sz w:val="12"/>
                <w:szCs w:val="12"/>
                <w:color w:val="auto"/>
              </w:rPr>
              <w:t>By:</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Paul A. Rode</w:t>
            </w:r>
          </w:p>
        </w:tc>
      </w:tr>
      <w:tr>
        <w:trPr>
          <w:trHeight w:val="203"/>
        </w:trPr>
        <w:tc>
          <w:tcPr>
            <w:tcW w:w="3320" w:type="dxa"/>
            <w:vAlign w:val="bottom"/>
          </w:tcPr>
          <w:p>
            <w:pPr>
              <w:spacing w:after="0"/>
              <w:rPr>
                <w:sz w:val="17"/>
                <w:szCs w:val="17"/>
                <w:color w:val="auto"/>
              </w:rPr>
            </w:pPr>
          </w:p>
        </w:tc>
        <w:tc>
          <w:tcPr>
            <w:tcW w:w="3140" w:type="dxa"/>
            <w:vAlign w:val="bottom"/>
          </w:tcPr>
          <w:p>
            <w:pPr>
              <w:ind w:left="2220"/>
              <w:spacing w:after="0"/>
              <w:rPr>
                <w:sz w:val="20"/>
                <w:szCs w:val="20"/>
                <w:color w:val="auto"/>
              </w:rPr>
            </w:pPr>
            <w:r>
              <w:rPr>
                <w:rFonts w:ascii="Times New Roman" w:cs="Times New Roman" w:eastAsia="Times New Roman" w:hAnsi="Times New Roman"/>
                <w:sz w:val="12"/>
                <w:szCs w:val="12"/>
                <w:color w:val="auto"/>
              </w:rPr>
              <w:t>Name:</w:t>
            </w:r>
          </w:p>
        </w:tc>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Paul A. Rode</w:t>
            </w:r>
          </w:p>
        </w:tc>
      </w:tr>
      <w:tr>
        <w:trPr>
          <w:trHeight w:val="155"/>
        </w:trPr>
        <w:tc>
          <w:tcPr>
            <w:tcW w:w="3320" w:type="dxa"/>
            <w:vAlign w:val="bottom"/>
          </w:tcPr>
          <w:p>
            <w:pPr>
              <w:spacing w:after="0"/>
              <w:rPr>
                <w:sz w:val="13"/>
                <w:szCs w:val="13"/>
                <w:color w:val="auto"/>
              </w:rPr>
            </w:pPr>
          </w:p>
        </w:tc>
        <w:tc>
          <w:tcPr>
            <w:tcW w:w="3140" w:type="dxa"/>
            <w:vAlign w:val="bottom"/>
          </w:tcPr>
          <w:p>
            <w:pPr>
              <w:ind w:left="2220"/>
              <w:spacing w:after="0"/>
              <w:rPr>
                <w:sz w:val="20"/>
                <w:szCs w:val="20"/>
                <w:color w:val="auto"/>
              </w:rPr>
            </w:pPr>
            <w:r>
              <w:rPr>
                <w:rFonts w:ascii="Times New Roman" w:cs="Times New Roman" w:eastAsia="Times New Roman" w:hAnsi="Times New Roman"/>
                <w:sz w:val="12"/>
                <w:szCs w:val="12"/>
                <w:color w:val="auto"/>
              </w:rPr>
              <w:t>Title:</w:t>
            </w:r>
          </w:p>
        </w:tc>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bl>
    <w:p>
      <w:pPr>
        <w:sectPr>
          <w:pgSz w:w="11900" w:h="16838" w:orient="portrait"/>
          <w:cols w:equalWidth="0" w:num="1">
            <w:col w:w="11080"/>
          </w:cols>
          <w:pgMar w:left="300" w:top="1155"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994410" cy="4743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94410" cy="47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BellRing Brands Reports Results for the First Quarter of Fiscal Year 2025; Raises Fiscal Year 2025 Outlook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St. Louis - February 3, 2025 </w:t>
      </w:r>
      <w:r>
        <w:rPr>
          <w:rFonts w:ascii="Times New Roman" w:cs="Times New Roman" w:eastAsia="Times New Roman" w:hAnsi="Times New Roman"/>
          <w:sz w:val="12"/>
          <w:szCs w:val="12"/>
          <w:color w:val="auto"/>
        </w:rPr>
        <w:t>- BellRing Brands, Inc. (NYSE:BRBR) (“BellRing”), a holding company operating in the global convenient nutrition category, today reported results for the first fiscal quarter ended December 31,</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0"/>
          <w:szCs w:val="10"/>
          <w:color w:val="auto"/>
        </w:rPr>
        <w:t>2024</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Highlights:</w:t>
      </w:r>
    </w:p>
    <w:p>
      <w:pPr>
        <w:spacing w:after="0" w:line="78"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First quarter net sales of $532.9 million</w:t>
      </w:r>
    </w:p>
    <w:p>
      <w:pPr>
        <w:spacing w:after="0" w:line="20"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Operating profit of $115.3 million, net earnings of $76.9 million and Adjusted EBITDA* of $125.3 million</w:t>
      </w:r>
    </w:p>
    <w:p>
      <w:pPr>
        <w:spacing w:after="0" w:line="6"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Raised fiscal year 2025 net sales outlook to $2.26-$2.34 billion and Adjusted EBITDA* outlook to $470-$500 million</w:t>
      </w:r>
    </w:p>
    <w:p>
      <w:pPr>
        <w:spacing w:after="0" w:line="98" w:lineRule="exact"/>
        <w:rPr>
          <w:sz w:val="20"/>
          <w:szCs w:val="20"/>
          <w:color w:val="auto"/>
        </w:rPr>
      </w:pPr>
    </w:p>
    <w:p>
      <w:pPr>
        <w:jc w:val="both"/>
        <w:ind w:right="160"/>
        <w:spacing w:after="0" w:line="237" w:lineRule="auto"/>
        <w:rPr>
          <w:sz w:val="20"/>
          <w:szCs w:val="20"/>
          <w:color w:val="auto"/>
        </w:rPr>
      </w:pPr>
      <w:r>
        <w:rPr>
          <w:rFonts w:ascii="Times New Roman" w:cs="Times New Roman" w:eastAsia="Times New Roman" w:hAnsi="Times New Roman"/>
          <w:sz w:val="10"/>
          <w:szCs w:val="10"/>
          <w:i w:val="1"/>
          <w:iCs w:val="1"/>
          <w:color w:val="auto"/>
        </w:rPr>
        <w:t>*Adjusted EBITDA is a non-GAAP measure. For additional information regarding non-GAAP measures, see the related explanations presented under “Use of Non-GAAP Measures” later in this release. 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the adjustments described under “Outlook” later in this release.</w:t>
      </w:r>
    </w:p>
    <w:p>
      <w:pPr>
        <w:spacing w:after="0" w:line="9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2"/>
          <w:szCs w:val="12"/>
          <w:color w:val="auto"/>
        </w:rPr>
        <w:t xml:space="preserve">“We are pleased with our first quarter performance.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consumption accelerated, lifted by distribution gains, strong velocities and incremental promotional activity. The brand achieved new all time highs for household penetration and total distribution points,” said Darcy H. Davenport, President and Chief Executive Officer of BellRing. “We saw strong margins aided by the timing of marketing spend and non-recurring cost favorability. Our momentum remains high, with the convenient nutrition category continuing to drive robust growth. Our strong start to 2025 gives us greater confidence in the full year and drove our decision to raise our outlook.”</w:t>
      </w:r>
    </w:p>
    <w:p>
      <w:pPr>
        <w:spacing w:after="0" w:line="8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2"/>
          <w:szCs w:val="12"/>
          <w:color w:val="auto"/>
        </w:rPr>
        <w:t xml:space="preserve">Dollar consumption of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ready-to-drink (“RTD”) shakes and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powder products increased 23.4%, and 24.4%, respectively, and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xml:space="preserve"> products decreased 8.2% in the 13-week period ended December 29, 2024, as compared to the same period in 2023 (inclusive of Circana United States (“U.S.”) Multi Outlet Plus with Convenience and management estimates of untracked channels). For additional information regarding consumption metrics, see the supplemental presentation on BellRing’s website, which can be accessed by visiting the Investor Relations section.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First Quarter Operating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sales were $532.9 million, an increase of 23.8%, or $102.5 million, compared to the prior year period, driven by 20.8% increase in volume and 3.0% increase in price/mix.</w:t>
      </w:r>
    </w:p>
    <w:p>
      <w:pPr>
        <w:spacing w:after="0" w:line="112"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Premier Protein </w:t>
      </w:r>
      <w:r>
        <w:rPr>
          <w:rFonts w:ascii="Times New Roman" w:cs="Times New Roman" w:eastAsia="Times New Roman" w:hAnsi="Times New Roman"/>
          <w:sz w:val="12"/>
          <w:szCs w:val="12"/>
          <w:color w:val="auto"/>
        </w:rPr>
        <w:t>net sales increased 26.3%, driven by 21.4% increase in volume and 4.9% increase in price/mix.</w:t>
      </w:r>
      <w:r>
        <w:rPr>
          <w:rFonts w:ascii="Times New Roman" w:cs="Times New Roman" w:eastAsia="Times New Roman" w:hAnsi="Times New Roman"/>
          <w:sz w:val="12"/>
          <w:szCs w:val="12"/>
          <w:i w:val="1"/>
          <w:iCs w:val="1"/>
          <w:color w:val="auto"/>
        </w:rPr>
        <w:t xml:space="preserve"> Premier Protein </w:t>
      </w:r>
      <w:r>
        <w:rPr>
          <w:rFonts w:ascii="Times New Roman" w:cs="Times New Roman" w:eastAsia="Times New Roman" w:hAnsi="Times New Roman"/>
          <w:sz w:val="12"/>
          <w:szCs w:val="12"/>
          <w:color w:val="auto"/>
        </w:rPr>
        <w:t>RTD shake net sales increased 25.3%, driven by 21.3% increase in volume and 4.0% increase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price/mix. Volume growth was driven by distribution gains and incremental promotional activity.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Dymatize </w:t>
      </w:r>
      <w:r>
        <w:rPr>
          <w:rFonts w:ascii="Times New Roman" w:cs="Times New Roman" w:eastAsia="Times New Roman" w:hAnsi="Times New Roman"/>
          <w:sz w:val="12"/>
          <w:szCs w:val="12"/>
          <w:color w:val="auto"/>
        </w:rPr>
        <w:t>net sales increased 12.6%, driven by 12.1% increase in volume and 0.5% increase in price/mix. Volume growth was driven by the international channel.</w:t>
      </w:r>
    </w:p>
    <w:p>
      <w:pPr>
        <w:spacing w:after="0" w:line="116"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Gross profit was $199.6 million, or 37.5% of net sales, an increase of 34.9%, or $51.6 million, compared to $148.0 million, or 34.4% of net sales, in the prior year period. The higher gross profit margin was driven by improved pricing and $5.0 million of non-recurring cost favorability partly offset by net input cost inflation and incremental promotional activity.</w:t>
      </w:r>
    </w:p>
    <w:p>
      <w:pPr>
        <w:spacing w:after="0" w:line="75"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Selling, general and administrative (“SG&amp;A”) expenses were $80.1 million, or 15.0% of net sales, an increase of $27.3 million compared to $52.8 million, or 12.3% of net sales, in the prior year period. SG&amp;A expenses in the first quarter of 2025 included increased advertising and promotional spend of $8.9 million, higher employee costs as well as increased distribution and warehousing expenses.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642" w:right="299" w:bottom="1440" w:gutter="0" w:footer="0" w:header="0"/>
        </w:sectPr>
      </w:pPr>
    </w:p>
    <w:bookmarkStart w:id="4" w:name="page5"/>
    <w:bookmarkEnd w:id="4"/>
    <w:p>
      <w:pPr>
        <w:ind w:right="200"/>
        <w:spacing w:after="0" w:line="279" w:lineRule="auto"/>
        <w:rPr>
          <w:sz w:val="20"/>
          <w:szCs w:val="20"/>
          <w:color w:val="auto"/>
        </w:rPr>
      </w:pPr>
      <w:r>
        <w:rPr>
          <w:rFonts w:ascii="Times New Roman" w:cs="Times New Roman" w:eastAsia="Times New Roman" w:hAnsi="Times New Roman"/>
          <w:sz w:val="12"/>
          <w:szCs w:val="12"/>
          <w:color w:val="auto"/>
        </w:rPr>
        <w:t xml:space="preserve">Operating profit was $115.3 million, an increase of 57.9%, or $42.3 million, compared to $73.0 million in the prior year period. The prior year period was negatively impacted by $17.4 million of accelerated amortization incurred in connection with the discontinuance of the North American </w:t>
      </w:r>
      <w:r>
        <w:rPr>
          <w:rFonts w:ascii="Times New Roman" w:cs="Times New Roman" w:eastAsia="Times New Roman" w:hAnsi="Times New Roman"/>
          <w:sz w:val="12"/>
          <w:szCs w:val="12"/>
          <w:i w:val="1"/>
          <w:iCs w:val="1"/>
          <w:color w:val="auto"/>
        </w:rPr>
        <w:t>PowerBar</w:t>
      </w:r>
      <w:r>
        <w:rPr>
          <w:rFonts w:ascii="Times New Roman" w:cs="Times New Roman" w:eastAsia="Times New Roman" w:hAnsi="Times New Roman"/>
          <w:sz w:val="12"/>
          <w:szCs w:val="12"/>
          <w:color w:val="auto"/>
        </w:rPr>
        <w:t xml:space="preserve"> business, which was treated as an adjustment for non-GAAP measures.</w:t>
      </w:r>
    </w:p>
    <w:p>
      <w:pPr>
        <w:spacing w:after="0" w:line="75" w:lineRule="exact"/>
        <w:rPr>
          <w:sz w:val="20"/>
          <w:szCs w:val="20"/>
          <w:color w:val="auto"/>
        </w:rPr>
      </w:pPr>
    </w:p>
    <w:p>
      <w:pPr>
        <w:jc w:val="both"/>
        <w:ind w:right="80"/>
        <w:spacing w:after="0" w:line="279" w:lineRule="auto"/>
        <w:rPr>
          <w:sz w:val="20"/>
          <w:szCs w:val="20"/>
          <w:color w:val="auto"/>
        </w:rPr>
      </w:pPr>
      <w:r>
        <w:rPr>
          <w:rFonts w:ascii="Times New Roman" w:cs="Times New Roman" w:eastAsia="Times New Roman" w:hAnsi="Times New Roman"/>
          <w:sz w:val="12"/>
          <w:szCs w:val="12"/>
          <w:color w:val="auto"/>
        </w:rPr>
        <w:t>Interest expense, net was $14.4 million and $14.9 million in the first quarter of 2025 and 2024, respectively. Income tax expense was $24.0 million in the first quarter of 2025, compared to $14.2 million in the first quarter of 2024. The effective income tax rate was 23.8% and 24.4% in the first quarter of 2025 and 2024, respectively.</w:t>
      </w:r>
    </w:p>
    <w:p>
      <w:pPr>
        <w:spacing w:after="0" w:line="75"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2"/>
          <w:szCs w:val="12"/>
          <w:color w:val="auto"/>
        </w:rPr>
        <w:t>Net earnings were $76.9 million, an increase of 75.2%, or $33.0 million, compared to $43.9 million in the prior year period. Net earnings per diluted common share were $0.59, compared to $0.33 in the prior year period. Adjusted net earnings* were $76.2 million, an increase of 33.0%, or $18.9 million, compared to $57.3 million in the prior year period. Adjusted diluted earnings per common share* were $0.58, an increase of 34.9%, compared to $0.43, in the prior year period.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EBITDA* was $125.3 million, an increase of 24.7%, or $24.8 million, compared to $100.5 million in the prior year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*Adjusted net earnings, Adjusted diluted earnings per common share and Adjusted EBITDA are non-GAAP measures. For additional information regarding non-GAAP measures, see the related explanations presented under “Use of Non-GAAP Measures” later in this release.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Share Repurchases</w:t>
      </w:r>
    </w:p>
    <w:p>
      <w:pPr>
        <w:spacing w:after="0" w:line="118" w:lineRule="exact"/>
        <w:rPr>
          <w:sz w:val="20"/>
          <w:szCs w:val="20"/>
          <w:color w:val="auto"/>
        </w:rPr>
      </w:pPr>
    </w:p>
    <w:p>
      <w:pPr>
        <w:jc w:val="both"/>
        <w:ind w:right="60"/>
        <w:spacing w:after="0" w:line="279" w:lineRule="auto"/>
        <w:rPr>
          <w:sz w:val="20"/>
          <w:szCs w:val="20"/>
          <w:color w:val="auto"/>
        </w:rPr>
      </w:pPr>
      <w:r>
        <w:rPr>
          <w:rFonts w:ascii="Times New Roman" w:cs="Times New Roman" w:eastAsia="Times New Roman" w:hAnsi="Times New Roman"/>
          <w:sz w:val="12"/>
          <w:szCs w:val="12"/>
          <w:color w:val="auto"/>
        </w:rPr>
        <w:t>During the first quarter of 2025, BellRing repurchased 0.1 million shares for $11.0 million at an average price of $77.12 per share. Subsequent to the end of the first quarter of 2025 and as of January 31, 2025, BellRing repurchased 0.5 million shares for $40.0 million at an average price of $72.79 per share. As of January 31, 2025, BellRing had $124.1 million remaining under its share repurchase authorization.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Outlook</w:t>
      </w:r>
    </w:p>
    <w:p>
      <w:pPr>
        <w:spacing w:after="0" w:line="11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For fiscal year 2025, BellRing management has raised its guidance range for net sales to $2.26-$2.34 billion and Adjusted EBITDA to range between $470-$500 million (resulting in net sales and Adjusted EBITDA growth of 13%-17% and 7%-14%, respectively, over fiscal year 2024). BellRing management continues to expect fiscal year 2025 capital expenditures of approximately $7 million.</w:t>
      </w:r>
    </w:p>
    <w:p>
      <w:pPr>
        <w:spacing w:after="0" w:line="75"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2"/>
          <w:szCs w:val="12"/>
          <w:color w:val="auto"/>
        </w:rPr>
        <w:t>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adjustments that could be made for mark-to-market adjustments on commodity hedges and other charges reflected in BellRing’s reconciliation of historical numbers, the amounts of which, based on historical experience, could be significant. For additional information regarding BellRing’s non-GAAP measures, see the related explanations presented under “Use of Non-GAAP Measures.”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Use of Non-GAAP Measures</w:t>
      </w:r>
    </w:p>
    <w:p>
      <w:pPr>
        <w:spacing w:after="0" w:line="11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BellRing uses certain non-GAAP measures in this release to supplement the financial measures prepared in accordance with U.S. generally accepted accounting principles (“GAAP”). These non-GAAP measures include Adjusted net earnings, Adjusted diluted earnings per common share, Adjusted EBITDA and Adjusted EBITDA as a percentage of net sales. The reconciliation of each of these non-GAAP measures to the most directly comparable GAAP measure is provided later in this release under “Explanation and Reconciliation of Non-GAAP Measures.”</w:t>
      </w:r>
    </w:p>
    <w:p>
      <w:pPr>
        <w:spacing w:after="0" w:line="8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2"/>
          <w:szCs w:val="12"/>
          <w:color w:val="auto"/>
        </w:rPr>
        <w:t>Management uses certain of these non-GAAP measures, including Adjusted EBITDA and Adjusted EBITDA as a percentage of net sales, as key metrics in the evaluation of underlying company performance, in making financial, operating and planning decisions and, in part, in the determination of bonuses for its executive officers and employees. Additionally, BellRing is required to comply with certain covenants and limitations that are based on variations of EBITDA in its financing documents. Management believes the use of these non-GAAP measures provides increased transparency and assists investors in understanding the underlying operating performance of BellRing and in the analysis of ongoing operating trends. Non-GAAP measures are not prepared in accordance with GAAP, as they exclude certain items as described later in this release. These non-GAAP measures may not be comparable to similarly titled measures of other companies. For additional information regarding BellRing’s non-GAAP measures, see the related explanations provided under “Explanation and Reconciliation of Non-GAAP Measures” later in this release.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642"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t>Conference Call to Discuss Earnings Results and Outlook</w:t>
      </w:r>
    </w:p>
    <w:p>
      <w:pPr>
        <w:spacing w:after="0" w:line="118"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BellRing will host a conference call on Tuesday, February 4, 2025 at 9:00 a.m. EST to discuss financial results for the first quarter of fiscal year 2025 and fiscal year 2025 outlook and to respond to questions. Darcy H. Davenport, President and Chief Executive Officer, and Paul A. Rode, Chief Financial Officer, will participate in the call.</w:t>
      </w:r>
    </w:p>
    <w:p>
      <w:pPr>
        <w:spacing w:after="0" w:line="7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Interested parties may join the conference call by registering in advance at the following link: BellRing Q1 2025 Earnings Conference Call. Upon registration, participants will receive a dial-in number and a unique passcode to access the conference call. Interested parties are invited to listen to the webcast of the conference call, which can be accessed by visiting the Investor Relations section of BellRing’s website at www.bellring.com. A slide presentation containing supplemental material will also be available at the same location on BellRing’s website. A webcast replay also will be available for a limited period on BellRing’s website in the Investor Relations section.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Prospective Financial Information</w:t>
      </w:r>
    </w:p>
    <w:p>
      <w:pPr>
        <w:spacing w:after="0" w:line="11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2"/>
          <w:szCs w:val="12"/>
          <w:color w:val="auto"/>
        </w:rPr>
        <w:t>Prospective financial information is necessarily speculative in nature, and it can be expected that some or all of the assumptions underlying the prospective financial information described above will not materialize or will vary significantly from actual results. For further discussion of some of the factors that may cause actual results to vary materially from the information provided above, see “Forward-Looking Statements” below. Accordingly, the prospective financial information provided above is only an estimate of what BellRing’s management believes is realizable as of the date of this release. It also should be recognized that the reliability of any forecasted financial data diminishes the farther in the future that the data is forecasted. In light of the foregoing, the information should be viewed in context and undue reliance should not be placed upon it.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Certain matters discussed in this release and on BellRing’s conference call are forward-looking statements, including BellRing’s net sales and Adjusted EBITDA and capital expenditures outlook for fiscal year 2025.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and include all statements regarding future performance, earnings projections, events or developments. There are a number of risks and uncertainties that could cause actual results to differ materially from the forward-looking statements made herein. These risks and uncertainties include, but are not limited to, the following:</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dependence on sales from its RTD protein shakes;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continue to compete in its product categories and its ability to retain its market position and favorable perceptions of its brands;</w:t>
      </w:r>
    </w:p>
    <w:p>
      <w:pPr>
        <w:spacing w:after="0" w:line="6" w:lineRule="exact"/>
        <w:rPr>
          <w:rFonts w:ascii="Times New Roman" w:cs="Times New Roman" w:eastAsia="Times New Roman" w:hAnsi="Times New Roman"/>
          <w:sz w:val="12"/>
          <w:szCs w:val="12"/>
          <w:color w:val="auto"/>
        </w:rPr>
      </w:pPr>
    </w:p>
    <w:p>
      <w:pPr>
        <w:ind w:left="420" w:right="120" w:hanging="212"/>
        <w:spacing w:after="0" w:line="250"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disruptions or inefficiencies in BellRing’s supply chain, including as a result of BellRing’s reliance on third-party suppliers or manufacturers for the manufacturing of many of its products, pandemics and other outbreaks of contagious diseases, labor shortages, fires and evacuations related thereto, changes in weather conditions, natural disasters, agricultural diseases and pests and other events beyond BellRing’s control;</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dependence on a limited number of third-party contract manufacturers for the manufacturing of most of its products, including one manufacturer for nearly half of its RTD protein shakes;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BellRing’s third-party contract manufacturers to produce an amount of BellRing’s products that enables BellRing to meet customer and consumer demand for the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reliance on a limited number of third-party suppliers to provide certain ingredients and packaging;</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volatility in the cost or availability of inputs to BellRing’s business (including freight, raw materials, packaging, energy, labor and other supplies);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anticipate and respond to changes in consumer and customer preferences and behaviors and introduce new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consolidation in BellRing’s distribution channels;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expand existing market penetration and enter into new markets;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loss of, a significant reduction of purchases by or the bankruptcy of a major customer;</w:t>
      </w:r>
    </w:p>
    <w:p>
      <w:pPr>
        <w:spacing w:after="0" w:line="6" w:lineRule="exact"/>
        <w:rPr>
          <w:rFonts w:ascii="Times New Roman" w:cs="Times New Roman" w:eastAsia="Times New Roman" w:hAnsi="Times New Roman"/>
          <w:sz w:val="12"/>
          <w:szCs w:val="12"/>
          <w:color w:val="auto"/>
        </w:rPr>
      </w:pPr>
    </w:p>
    <w:p>
      <w:pPr>
        <w:ind w:left="420" w:right="60" w:hanging="212"/>
        <w:spacing w:after="0" w:line="250"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legal and regulatory factors, such as compliance with existing laws and regulations, as well as new laws and regulations and changes to existing laws and regulations and interpretations thereof, affecting BellRing’s business, including current and future laws and regulations regarding food safety, advertising, labeling, tax matters and environmental matters;</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in BellRing’s business due to changes in its promotional activities and seasonality;</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maintain the net selling prices of its products and manage promotional activities with respect to its products;</w:t>
      </w:r>
    </w:p>
    <w:p>
      <w:pPr>
        <w:spacing w:after="0" w:line="3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180"/>
          </w:cols>
          <w:pgMar w:left="300" w:top="638" w:right="419" w:bottom="1440" w:gutter="0" w:footer="0" w:header="0"/>
        </w:sectPr>
      </w:pPr>
    </w:p>
    <w:bookmarkStart w:id="6" w:name="page7"/>
    <w:bookmarkEnd w:id="6"/>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obtain additional financing (including both secured and unsecured debt) and its ability to service its outstanding debt (including covenants that restrict the operation of its business);</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accuracy of BellRing’s market data and attributes and related information;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critical accounting estimates;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uncertain or unfavorable economic conditions that limit customer and consumer demand for BellRing’s products or increase its costs;</w:t>
      </w:r>
    </w:p>
    <w:p>
      <w:pPr>
        <w:spacing w:after="0" w:line="6" w:lineRule="exact"/>
        <w:rPr>
          <w:rFonts w:ascii="Times New Roman" w:cs="Times New Roman" w:eastAsia="Times New Roman" w:hAnsi="Times New Roman"/>
          <w:sz w:val="12"/>
          <w:szCs w:val="12"/>
          <w:color w:val="auto"/>
        </w:rPr>
      </w:pPr>
    </w:p>
    <w:p>
      <w:pPr>
        <w:ind w:left="420" w:right="460" w:hanging="212"/>
        <w:spacing w:after="0" w:line="250" w:lineRule="auto"/>
        <w:tabs>
          <w:tab w:leader="none" w:pos="41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BellRing’s ongoing relationship with Post Holdings, Inc. (“Post”) following BellRing’s separation from Post and Post’s distribution of BellRing stock to Post’s shareholders (“ the Spin-off”), including BellRing’s obligations under various agreements with Post;</w:t>
      </w: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conflicting interests or the appearance of conflicting interests resulting from certain of BellRing’s directors also serving as officers and/or directors of Post;</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the previously completed Spin-off;</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ultimate impact litigation or other regulatory matters may have on BellRing;</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BellRing’s international business;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protect its intellectual property and other assets and to continue to use third-party intellectual property subject to intellectual property licenses;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business disruptions and reputational damage associated with technology failures, cybersecurity incidents and corruption of BellRing’s data privacy protections;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impairment in the carrying value of goodwill or other intangible assets;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identify, complete and integrate or otherwise effectively execute acquisitions or other strategic transactions and effectively manage its growth;</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hire and retain talented personnel, employee absenteeism, labor strikes, work stoppages or unionization efforts;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satisfy the requirements of Section 404 of the Sarbanes-Oxley Act of 2002;</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differences in BellRing’s actual operating results from any guidance BellRing may give regarding its performance;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risks and uncertainties described in BellRing’s filings with the Securities and Exchange Commission.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forward-looking statements represent BellRing’s judgment as of the date of this release. BellRing disclaims, however, any intent or obligation to update these forward-looking statements.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BellRing Brands, Inc.</w:t>
      </w:r>
    </w:p>
    <w:p>
      <w:pPr>
        <w:spacing w:after="0" w:line="10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2"/>
          <w:szCs w:val="12"/>
          <w:color w:val="auto"/>
        </w:rPr>
        <w:t xml:space="preserve">BellRing Brands, Inc. (NYSE: BRBR) is a dynamic and fast-growing consumer brands business with the purpose of Changing Lives with Good Energy. Focused on growing the convenient nutrition category, the company’s brands include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the #1 ready-to-drink protein and convenient nutrition brand, and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the brand behind the #1 hydrolyzed protein powder. A culture-driven, pure-play company, BellRing Brands believes nutrition is at the core of a healthy world and produces products with best-in-class nutritional profiles and exceptional flavors. Its products are distributed in over 90 countries across club, mass, food, eCommerce, specialty, drug and convenience. To learn more visit www.bellring.com.</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Jennifer Meyer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jennifer.meyer@bellringbrands.com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(415) 814-9388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220"/>
          </w:cols>
          <w:pgMar w:left="300" w:top="642" w:right="37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 xml:space="preserve">CONDENSED CONSOLIDATED STATEMENTS OF OPERATIONS </w:t>
      </w:r>
      <w:r>
        <w:rPr>
          <w:rFonts w:ascii="Times New Roman" w:cs="Times New Roman" w:eastAsia="Times New Roman" w:hAnsi="Times New Roman"/>
          <w:sz w:val="10"/>
          <w:szCs w:val="10"/>
          <w:b w:val="1"/>
          <w:bCs w:val="1"/>
          <w:color w:val="auto"/>
        </w:rPr>
        <w:t>(Unaudited)</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millions, except for per share data)</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14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1140" w:type="dxa"/>
            <w:vAlign w:val="bottom"/>
            <w:tcBorders>
              <w:bottom w:val="single" w:sz="8" w:color="auto"/>
            </w:tcBorders>
          </w:tcPr>
          <w:p>
            <w:pPr>
              <w:spacing w:after="0"/>
              <w:rPr>
                <w:sz w:val="12"/>
                <w:szCs w:val="12"/>
                <w:color w:val="auto"/>
              </w:rPr>
            </w:pPr>
          </w:p>
        </w:tc>
      </w:tr>
      <w:tr>
        <w:trPr>
          <w:trHeight w:val="134"/>
        </w:trPr>
        <w:tc>
          <w:tcPr>
            <w:tcW w:w="714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1"/>
                <w:szCs w:val="11"/>
                <w:b w:val="1"/>
                <w:bCs w:val="1"/>
                <w:color w:val="auto"/>
              </w:rPr>
              <w:t>2024</w:t>
            </w:r>
          </w:p>
        </w:tc>
        <w:tc>
          <w:tcPr>
            <w:tcW w:w="72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Sales</w:t>
            </w:r>
          </w:p>
        </w:tc>
        <w:tc>
          <w:tcPr>
            <w:tcW w:w="1140" w:type="dxa"/>
            <w:vAlign w:val="bottom"/>
            <w:shd w:val="clear" w:color="auto" w:fill="CCEEFF"/>
          </w:tcPr>
          <w:p>
            <w:pPr>
              <w:jc w:val="right"/>
              <w:ind w:right="1001"/>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532.9</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430.4</w:t>
            </w:r>
          </w:p>
        </w:tc>
      </w:tr>
      <w:tr>
        <w:trPr>
          <w:trHeight w:val="153"/>
        </w:trPr>
        <w:tc>
          <w:tcPr>
            <w:tcW w:w="7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Cost of goods sold</w:t>
            </w:r>
          </w:p>
        </w:tc>
        <w:tc>
          <w:tcPr>
            <w:tcW w:w="1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333.3</w:t>
            </w:r>
          </w:p>
        </w:tc>
        <w:tc>
          <w:tcPr>
            <w:tcW w:w="3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282.4</w:t>
            </w:r>
          </w:p>
        </w:tc>
      </w:tr>
      <w:tr>
        <w:trPr>
          <w:trHeight w:val="142"/>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1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199.6</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148.0</w:t>
            </w:r>
          </w:p>
        </w:tc>
      </w:tr>
      <w:tr>
        <w:trPr>
          <w:trHeight w:val="153"/>
        </w:trPr>
        <w:tc>
          <w:tcPr>
            <w:tcW w:w="71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1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80.1</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52.8</w:t>
            </w:r>
          </w:p>
        </w:tc>
      </w:tr>
      <w:tr>
        <w:trPr>
          <w:trHeight w:val="15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1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3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w:t>
            </w:r>
          </w:p>
        </w:tc>
      </w:tr>
      <w:tr>
        <w:trPr>
          <w:trHeight w:val="142"/>
        </w:trPr>
        <w:tc>
          <w:tcPr>
            <w:tcW w:w="7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Profit</w:t>
            </w:r>
          </w:p>
        </w:tc>
        <w:tc>
          <w:tcPr>
            <w:tcW w:w="1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115.3</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73.0</w:t>
            </w:r>
          </w:p>
        </w:tc>
      </w:tr>
      <w:tr>
        <w:trPr>
          <w:trHeight w:val="15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1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w:t>
            </w:r>
          </w:p>
        </w:tc>
        <w:tc>
          <w:tcPr>
            <w:tcW w:w="3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w:t>
            </w:r>
          </w:p>
        </w:tc>
      </w:tr>
      <w:tr>
        <w:trPr>
          <w:trHeight w:val="142"/>
        </w:trPr>
        <w:tc>
          <w:tcPr>
            <w:tcW w:w="7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Earnings before Income Taxes</w:t>
            </w:r>
          </w:p>
        </w:tc>
        <w:tc>
          <w:tcPr>
            <w:tcW w:w="1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100.9</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58.1</w:t>
            </w:r>
          </w:p>
        </w:tc>
      </w:tr>
      <w:tr>
        <w:trPr>
          <w:trHeight w:val="15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w:t>
            </w:r>
          </w:p>
        </w:tc>
        <w:tc>
          <w:tcPr>
            <w:tcW w:w="3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w:t>
            </w:r>
          </w:p>
        </w:tc>
      </w:tr>
      <w:tr>
        <w:trPr>
          <w:trHeight w:val="158"/>
        </w:trPr>
        <w:tc>
          <w:tcPr>
            <w:tcW w:w="7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Earnings</w:t>
            </w:r>
          </w:p>
        </w:tc>
        <w:tc>
          <w:tcPr>
            <w:tcW w:w="1140" w:type="dxa"/>
            <w:vAlign w:val="bottom"/>
            <w:tcBorders>
              <w:bottom w:val="single" w:sz="8" w:color="auto"/>
            </w:tcBorders>
          </w:tcPr>
          <w:p>
            <w:pPr>
              <w:jc w:val="right"/>
              <w:ind w:right="1001"/>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76.9</w:t>
            </w:r>
          </w:p>
        </w:tc>
        <w:tc>
          <w:tcPr>
            <w:tcW w:w="3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43.9</w:t>
            </w:r>
          </w:p>
        </w:tc>
      </w:tr>
      <w:tr>
        <w:trPr>
          <w:trHeight w:val="153"/>
        </w:trPr>
        <w:tc>
          <w:tcPr>
            <w:tcW w:w="7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3"/>
        </w:trPr>
        <w:tc>
          <w:tcPr>
            <w:tcW w:w="7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Earnings per Common Share:</w:t>
            </w: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w:t>
            </w:r>
          </w:p>
        </w:tc>
        <w:tc>
          <w:tcPr>
            <w:tcW w:w="1140" w:type="dxa"/>
            <w:vAlign w:val="bottom"/>
            <w:shd w:val="clear" w:color="auto" w:fill="CCEEFF"/>
          </w:tcPr>
          <w:p>
            <w:pPr>
              <w:jc w:val="right"/>
              <w:ind w:right="1001"/>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0.60</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0.33</w:t>
            </w:r>
          </w:p>
        </w:tc>
      </w:tr>
      <w:tr>
        <w:trPr>
          <w:trHeight w:val="153"/>
        </w:trPr>
        <w:tc>
          <w:tcPr>
            <w:tcW w:w="7140" w:type="dxa"/>
            <w:vAlign w:val="bottom"/>
          </w:tcPr>
          <w:p>
            <w:pPr>
              <w:spacing w:after="0"/>
              <w:rPr>
                <w:sz w:val="20"/>
                <w:szCs w:val="20"/>
                <w:color w:val="auto"/>
              </w:rPr>
            </w:pPr>
            <w:r>
              <w:rPr>
                <w:rFonts w:ascii="Times New Roman" w:cs="Times New Roman" w:eastAsia="Times New Roman" w:hAnsi="Times New Roman"/>
                <w:sz w:val="12"/>
                <w:szCs w:val="12"/>
                <w:color w:val="auto"/>
              </w:rPr>
              <w:t>Diluted</w:t>
            </w:r>
          </w:p>
        </w:tc>
        <w:tc>
          <w:tcPr>
            <w:tcW w:w="1140" w:type="dxa"/>
            <w:vAlign w:val="bottom"/>
          </w:tcPr>
          <w:p>
            <w:pPr>
              <w:jc w:val="right"/>
              <w:ind w:right="1001"/>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0.59</w:t>
            </w:r>
          </w:p>
        </w:tc>
        <w:tc>
          <w:tcPr>
            <w:tcW w:w="340" w:type="dxa"/>
            <w:vAlign w:val="bottom"/>
          </w:tcPr>
          <w:p>
            <w:pPr>
              <w:spacing w:after="0"/>
              <w:rPr>
                <w:sz w:val="13"/>
                <w:szCs w:val="13"/>
                <w:color w:val="auto"/>
              </w:rPr>
            </w:pPr>
          </w:p>
        </w:tc>
        <w:tc>
          <w:tcPr>
            <w:tcW w:w="740" w:type="dxa"/>
            <w:vAlign w:val="bottom"/>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0.33</w:t>
            </w:r>
          </w:p>
        </w:tc>
      </w:tr>
      <w:tr>
        <w:trPr>
          <w:trHeight w:val="171"/>
        </w:trPr>
        <w:tc>
          <w:tcPr>
            <w:tcW w:w="7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53"/>
        </w:trPr>
        <w:tc>
          <w:tcPr>
            <w:tcW w:w="7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Weighted-Average Common Shares Outstanding:</w:t>
            </w: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w:t>
            </w: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128.9</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131.2</w:t>
            </w:r>
          </w:p>
        </w:tc>
      </w:tr>
      <w:tr>
        <w:trPr>
          <w:trHeight w:val="155"/>
        </w:trPr>
        <w:tc>
          <w:tcPr>
            <w:tcW w:w="7140" w:type="dxa"/>
            <w:vAlign w:val="bottom"/>
          </w:tcPr>
          <w:p>
            <w:pPr>
              <w:spacing w:after="0"/>
              <w:rPr>
                <w:sz w:val="20"/>
                <w:szCs w:val="20"/>
                <w:color w:val="auto"/>
              </w:rPr>
            </w:pPr>
            <w:r>
              <w:rPr>
                <w:rFonts w:ascii="Times New Roman" w:cs="Times New Roman" w:eastAsia="Times New Roman" w:hAnsi="Times New Roman"/>
                <w:sz w:val="12"/>
                <w:szCs w:val="12"/>
                <w:color w:val="auto"/>
              </w:rPr>
              <w:t>Diluted</w:t>
            </w:r>
          </w:p>
        </w:tc>
        <w:tc>
          <w:tcPr>
            <w:tcW w:w="1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131.1</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220"/>
          </w:cols>
          <w:pgMar w:left="340" w:top="638"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 (Unaudited)</w:t>
      </w:r>
    </w:p>
    <w:p>
      <w:pPr>
        <w:spacing w:after="0" w:line="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200" w:type="dxa"/>
            <w:vAlign w:val="bottom"/>
            <w:tcBorders>
              <w:bottom w:val="single" w:sz="8" w:color="CCEEFF"/>
            </w:tcBorders>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44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460" w:type="dxa"/>
            <w:vAlign w:val="bottom"/>
            <w:tcBorders>
              <w:bottom w:val="single" w:sz="8" w:color="auto"/>
            </w:tcBorders>
          </w:tcPr>
          <w:p>
            <w:pPr>
              <w:spacing w:after="0"/>
              <w:rPr>
                <w:sz w:val="12"/>
                <w:szCs w:val="12"/>
                <w:color w:val="auto"/>
              </w:rPr>
            </w:pPr>
          </w:p>
        </w:tc>
      </w:tr>
      <w:tr>
        <w:trPr>
          <w:trHeight w:val="162"/>
        </w:trPr>
        <w:tc>
          <w:tcPr>
            <w:tcW w:w="3200" w:type="dxa"/>
            <w:vAlign w:val="bottom"/>
            <w:shd w:val="clear" w:color="auto" w:fill="CCEEFF"/>
          </w:tcPr>
          <w:p>
            <w:pPr>
              <w:spacing w:after="0"/>
              <w:rPr>
                <w:sz w:val="14"/>
                <w:szCs w:val="14"/>
                <w:color w:val="auto"/>
              </w:rPr>
            </w:pPr>
          </w:p>
        </w:tc>
        <w:tc>
          <w:tcPr>
            <w:tcW w:w="5360" w:type="dxa"/>
            <w:vAlign w:val="bottom"/>
            <w:gridSpan w:val="2"/>
            <w:shd w:val="clear" w:color="auto" w:fill="CCEEFF"/>
          </w:tcPr>
          <w:p>
            <w:pPr>
              <w:jc w:val="center"/>
              <w:ind w:right="503"/>
              <w:spacing w:after="0"/>
              <w:rPr>
                <w:sz w:val="20"/>
                <w:szCs w:val="20"/>
                <w:color w:val="auto"/>
              </w:rPr>
            </w:pPr>
            <w:r>
              <w:rPr>
                <w:rFonts w:ascii="Times New Roman" w:cs="Times New Roman" w:eastAsia="Times New Roman" w:hAnsi="Times New Roman"/>
                <w:sz w:val="11"/>
                <w:szCs w:val="11"/>
                <w:b w:val="1"/>
                <w:bCs w:val="1"/>
                <w:color w:val="auto"/>
                <w:w w:val="97"/>
              </w:rPr>
              <w:t>ASSETS</w:t>
            </w: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5360" w:type="dxa"/>
            <w:vAlign w:val="bottom"/>
            <w:gridSpan w:val="2"/>
            <w:shd w:val="clear" w:color="auto" w:fill="CCEEFF"/>
          </w:tcPr>
          <w:p>
            <w:pPr>
              <w:jc w:val="right"/>
              <w:ind w:right="1283"/>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49.6</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71.1</w:t>
            </w: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Receivables, net</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220.4</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220.4</w:t>
            </w: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Inventories</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348.9</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286.1</w:t>
            </w:r>
          </w:p>
        </w:tc>
      </w:tr>
      <w:tr>
        <w:trPr>
          <w:trHeight w:val="153"/>
        </w:trPr>
        <w:tc>
          <w:tcPr>
            <w:tcW w:w="3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39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30.6</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w:t>
            </w:r>
          </w:p>
        </w:tc>
      </w:tr>
      <w:tr>
        <w:trPr>
          <w:trHeight w:val="142"/>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39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649.5</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592.7</w:t>
            </w:r>
          </w:p>
        </w:tc>
      </w:tr>
      <w:tr>
        <w:trPr>
          <w:trHeight w:val="144"/>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net</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w:t>
            </w: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w:t>
            </w: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137.6</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141.8</w:t>
            </w: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w:t>
            </w: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39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3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w:t>
            </w:r>
          </w:p>
        </w:tc>
      </w:tr>
      <w:tr>
        <w:trPr>
          <w:trHeight w:val="158"/>
        </w:trPr>
        <w:tc>
          <w:tcPr>
            <w:tcW w:w="3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39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right"/>
              <w:ind w:right="1283"/>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885.2</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837.0</w:t>
            </w:r>
          </w:p>
        </w:tc>
      </w:tr>
      <w:tr>
        <w:trPr>
          <w:trHeight w:val="153"/>
        </w:trPr>
        <w:tc>
          <w:tcPr>
            <w:tcW w:w="3200" w:type="dxa"/>
            <w:vAlign w:val="bottom"/>
            <w:shd w:val="clear" w:color="auto" w:fill="CCEEFF"/>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78"/>
        </w:trPr>
        <w:tc>
          <w:tcPr>
            <w:tcW w:w="3200" w:type="dxa"/>
            <w:vAlign w:val="bottom"/>
          </w:tcPr>
          <w:p>
            <w:pPr>
              <w:spacing w:after="0"/>
              <w:rPr>
                <w:sz w:val="15"/>
                <w:szCs w:val="15"/>
                <w:color w:val="auto"/>
              </w:rPr>
            </w:pPr>
          </w:p>
        </w:tc>
        <w:tc>
          <w:tcPr>
            <w:tcW w:w="5360" w:type="dxa"/>
            <w:vAlign w:val="bottom"/>
            <w:gridSpan w:val="2"/>
          </w:tcPr>
          <w:p>
            <w:pPr>
              <w:jc w:val="center"/>
              <w:ind w:right="503"/>
              <w:spacing w:after="0"/>
              <w:rPr>
                <w:sz w:val="20"/>
                <w:szCs w:val="20"/>
                <w:color w:val="auto"/>
              </w:rPr>
            </w:pPr>
            <w:r>
              <w:rPr>
                <w:rFonts w:ascii="Times New Roman" w:cs="Times New Roman" w:eastAsia="Times New Roman" w:hAnsi="Times New Roman"/>
                <w:sz w:val="11"/>
                <w:szCs w:val="11"/>
                <w:b w:val="1"/>
                <w:bCs w:val="1"/>
                <w:color w:val="auto"/>
                <w:w w:val="97"/>
              </w:rPr>
              <w:t>LIABILITIES AND STOCKHOLDERS’ DEFICIT</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55"/>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5360" w:type="dxa"/>
            <w:vAlign w:val="bottom"/>
            <w:gridSpan w:val="2"/>
          </w:tcPr>
          <w:p>
            <w:pPr>
              <w:jc w:val="right"/>
              <w:ind w:right="1283"/>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110.9</w:t>
            </w:r>
          </w:p>
        </w:tc>
        <w:tc>
          <w:tcPr>
            <w:tcW w:w="340" w:type="dxa"/>
            <w:vAlign w:val="bottom"/>
          </w:tcPr>
          <w:p>
            <w:pPr>
              <w:spacing w:after="0"/>
              <w:rPr>
                <w:sz w:val="13"/>
                <w:szCs w:val="13"/>
                <w:color w:val="auto"/>
              </w:rPr>
            </w:pPr>
          </w:p>
        </w:tc>
        <w:tc>
          <w:tcPr>
            <w:tcW w:w="1420" w:type="dxa"/>
            <w:vAlign w:val="bottom"/>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121.0</w:t>
            </w: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39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83.0</w:t>
            </w:r>
          </w:p>
        </w:tc>
        <w:tc>
          <w:tcPr>
            <w:tcW w:w="3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82.7</w:t>
            </w:r>
          </w:p>
        </w:tc>
      </w:tr>
      <w:tr>
        <w:trPr>
          <w:trHeight w:val="142"/>
        </w:trPr>
        <w:tc>
          <w:tcPr>
            <w:tcW w:w="3200" w:type="dxa"/>
            <w:vAlign w:val="bottom"/>
          </w:tcPr>
          <w:p>
            <w:pPr>
              <w:ind w:left="340"/>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3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193.9</w:t>
            </w: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203.7</w:t>
            </w:r>
          </w:p>
        </w:tc>
      </w:tr>
      <w:tr>
        <w:trPr>
          <w:trHeight w:val="144"/>
        </w:trPr>
        <w:tc>
          <w:tcPr>
            <w:tcW w:w="320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833.4</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833.1</w:t>
            </w: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r>
      <w:tr>
        <w:trPr>
          <w:trHeight w:val="153"/>
        </w:trPr>
        <w:tc>
          <w:tcPr>
            <w:tcW w:w="3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39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142"/>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39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1,031.8</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1,042.9</w:t>
            </w:r>
          </w:p>
        </w:tc>
      </w:tr>
      <w:tr>
        <w:trPr>
          <w:trHeight w:val="144"/>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Stockholders’ Deficit</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Common stock</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w:t>
            </w: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Retained earnings</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133.3</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56.4</w:t>
            </w: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r>
      <w:tr>
        <w:trPr>
          <w:trHeight w:val="153"/>
        </w:trPr>
        <w:tc>
          <w:tcPr>
            <w:tcW w:w="3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Treasury stock, at cost</w:t>
            </w:r>
          </w:p>
        </w:tc>
        <w:tc>
          <w:tcPr>
            <w:tcW w:w="39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(310.0)</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(299.0)</w:t>
            </w:r>
          </w:p>
        </w:tc>
      </w:tr>
      <w:tr>
        <w:trPr>
          <w:trHeight w:val="142"/>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3940" w:type="dxa"/>
            <w:vAlign w:val="bottom"/>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(146.6)</w:t>
            </w:r>
          </w:p>
        </w:tc>
        <w:tc>
          <w:tcPr>
            <w:tcW w:w="340" w:type="dxa"/>
            <w:vAlign w:val="bottom"/>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(205.9)</w:t>
            </w:r>
          </w:p>
        </w:tc>
      </w:tr>
      <w:tr>
        <w:trPr>
          <w:trHeight w:val="142"/>
        </w:trPr>
        <w:tc>
          <w:tcPr>
            <w:tcW w:w="3200" w:type="dxa"/>
            <w:vAlign w:val="bottom"/>
          </w:tcPr>
          <w:p>
            <w:pPr>
              <w:ind w:left="340"/>
              <w:spacing w:after="0"/>
              <w:rPr>
                <w:sz w:val="20"/>
                <w:szCs w:val="20"/>
                <w:color w:val="auto"/>
              </w:rPr>
            </w:pPr>
            <w:r>
              <w:rPr>
                <w:rFonts w:ascii="Times New Roman" w:cs="Times New Roman" w:eastAsia="Times New Roman" w:hAnsi="Times New Roman"/>
                <w:sz w:val="12"/>
                <w:szCs w:val="12"/>
                <w:b w:val="1"/>
                <w:bCs w:val="1"/>
                <w:color w:val="auto"/>
              </w:rPr>
              <w:t>Total Liabilities and Stockholders’ Deficit</w:t>
            </w:r>
          </w:p>
        </w:tc>
        <w:tc>
          <w:tcPr>
            <w:tcW w:w="3940" w:type="dxa"/>
            <w:vAlign w:val="bottom"/>
          </w:tcPr>
          <w:p>
            <w:pPr>
              <w:spacing w:after="0"/>
              <w:rPr>
                <w:sz w:val="12"/>
                <w:szCs w:val="12"/>
                <w:color w:val="auto"/>
              </w:rPr>
            </w:pPr>
          </w:p>
        </w:tc>
        <w:tc>
          <w:tcPr>
            <w:tcW w:w="1420" w:type="dxa"/>
            <w:vAlign w:val="bottom"/>
            <w:tcBorders>
              <w:bottom w:val="single" w:sz="8" w:color="auto"/>
            </w:tcBorders>
          </w:tcPr>
          <w:p>
            <w:pPr>
              <w:jc w:val="right"/>
              <w:ind w:right="1283"/>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885.2</w:t>
            </w:r>
          </w:p>
        </w:tc>
        <w:tc>
          <w:tcPr>
            <w:tcW w:w="340" w:type="dxa"/>
            <w:vAlign w:val="bottom"/>
          </w:tcPr>
          <w:p>
            <w:pPr>
              <w:spacing w:after="0"/>
              <w:rPr>
                <w:sz w:val="12"/>
                <w:szCs w:val="12"/>
                <w:color w:val="auto"/>
              </w:rPr>
            </w:pPr>
          </w:p>
        </w:tc>
        <w:tc>
          <w:tcPr>
            <w:tcW w:w="1420" w:type="dxa"/>
            <w:vAlign w:val="bottom"/>
            <w:tcBorders>
              <w:bottom w:val="single" w:sz="8" w:color="auto"/>
            </w:tcBorders>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837.0</w:t>
            </w:r>
          </w:p>
        </w:tc>
      </w:tr>
      <w:tr>
        <w:trPr>
          <w:trHeight w:val="20"/>
        </w:trPr>
        <w:tc>
          <w:tcPr>
            <w:tcW w:w="32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478"/>
        </w:trPr>
        <w:tc>
          <w:tcPr>
            <w:tcW w:w="3200" w:type="dxa"/>
            <w:vAlign w:val="bottom"/>
          </w:tcPr>
          <w:p>
            <w:pPr>
              <w:spacing w:after="0"/>
              <w:rPr>
                <w:sz w:val="24"/>
                <w:szCs w:val="24"/>
                <w:color w:val="auto"/>
              </w:rPr>
            </w:pPr>
          </w:p>
        </w:tc>
        <w:tc>
          <w:tcPr>
            <w:tcW w:w="5360" w:type="dxa"/>
            <w:vAlign w:val="bottom"/>
            <w:gridSpan w:val="2"/>
          </w:tcPr>
          <w:p>
            <w:pPr>
              <w:jc w:val="center"/>
              <w:ind w:right="503"/>
              <w:spacing w:after="0"/>
              <w:rPr>
                <w:sz w:val="20"/>
                <w:szCs w:val="20"/>
                <w:color w:val="auto"/>
              </w:rPr>
            </w:pPr>
            <w:r>
              <w:rPr>
                <w:rFonts w:ascii="Times New Roman" w:cs="Times New Roman" w:eastAsia="Times New Roman" w:hAnsi="Times New Roman"/>
                <w:sz w:val="11"/>
                <w:szCs w:val="11"/>
                <w:b w:val="1"/>
                <w:bCs w:val="1"/>
                <w:color w:val="auto"/>
                <w:w w:val="97"/>
              </w:rPr>
              <w:t>SELECTED CONDENSED CONSOLIDATED CASH FLOWS INFORMATION (Unaudited)</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42"/>
        </w:trPr>
        <w:tc>
          <w:tcPr>
            <w:tcW w:w="3200" w:type="dxa"/>
            <w:vAlign w:val="bottom"/>
          </w:tcPr>
          <w:p>
            <w:pPr>
              <w:spacing w:after="0"/>
              <w:rPr>
                <w:sz w:val="12"/>
                <w:szCs w:val="12"/>
                <w:color w:val="auto"/>
              </w:rPr>
            </w:pPr>
          </w:p>
        </w:tc>
        <w:tc>
          <w:tcPr>
            <w:tcW w:w="5360" w:type="dxa"/>
            <w:vAlign w:val="bottom"/>
            <w:gridSpan w:val="2"/>
          </w:tcPr>
          <w:p>
            <w:pPr>
              <w:jc w:val="center"/>
              <w:ind w:right="503"/>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5"/>
        </w:trPr>
        <w:tc>
          <w:tcPr>
            <w:tcW w:w="32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3620" w:type="dxa"/>
            <w:vAlign w:val="bottom"/>
            <w:tcBorders>
              <w:bottom w:val="single" w:sz="8" w:color="auto"/>
            </w:tcBorders>
            <w:gridSpan w:val="4"/>
          </w:tcPr>
          <w:p>
            <w:pPr>
              <w:jc w:val="right"/>
              <w:ind w:right="702"/>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460" w:type="dxa"/>
            <w:vAlign w:val="bottom"/>
            <w:tcBorders>
              <w:bottom w:val="single" w:sz="8" w:color="auto"/>
            </w:tcBorders>
          </w:tcPr>
          <w:p>
            <w:pPr>
              <w:spacing w:after="0"/>
              <w:rPr>
                <w:sz w:val="13"/>
                <w:szCs w:val="13"/>
                <w:color w:val="auto"/>
              </w:rPr>
            </w:pPr>
          </w:p>
        </w:tc>
      </w:tr>
      <w:tr>
        <w:trPr>
          <w:trHeight w:val="134"/>
        </w:trPr>
        <w:tc>
          <w:tcPr>
            <w:tcW w:w="3200" w:type="dxa"/>
            <w:vAlign w:val="bottom"/>
            <w:tcBorders>
              <w:bottom w:val="single" w:sz="8" w:color="CCEEFF"/>
            </w:tcBorders>
          </w:tcPr>
          <w:p>
            <w:pPr>
              <w:spacing w:after="0"/>
              <w:rPr>
                <w:sz w:val="11"/>
                <w:szCs w:val="11"/>
                <w:color w:val="auto"/>
              </w:rPr>
            </w:pPr>
          </w:p>
        </w:tc>
        <w:tc>
          <w:tcPr>
            <w:tcW w:w="3940" w:type="dxa"/>
            <w:vAlign w:val="bottom"/>
            <w:tcBorders>
              <w:bottom w:val="single" w:sz="8" w:color="CCEEFF"/>
            </w:tcBorders>
          </w:tcPr>
          <w:p>
            <w:pPr>
              <w:spacing w:after="0"/>
              <w:rPr>
                <w:sz w:val="11"/>
                <w:szCs w:val="11"/>
                <w:color w:val="auto"/>
              </w:rPr>
            </w:pPr>
          </w:p>
        </w:tc>
        <w:tc>
          <w:tcPr>
            <w:tcW w:w="14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14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1"/>
                <w:szCs w:val="11"/>
                <w:b w:val="1"/>
                <w:bCs w:val="1"/>
                <w:color w:val="auto"/>
              </w:rPr>
              <w:t>2023</w:t>
            </w:r>
          </w:p>
        </w:tc>
        <w:tc>
          <w:tcPr>
            <w:tcW w:w="460" w:type="dxa"/>
            <w:vAlign w:val="bottom"/>
            <w:tcBorders>
              <w:bottom w:val="single" w:sz="8" w:color="auto"/>
            </w:tcBorders>
          </w:tcPr>
          <w:p>
            <w:pPr>
              <w:spacing w:after="0"/>
              <w:rPr>
                <w:sz w:val="11"/>
                <w:szCs w:val="11"/>
                <w:color w:val="auto"/>
              </w:rPr>
            </w:pPr>
          </w:p>
        </w:tc>
      </w:tr>
      <w:tr>
        <w:trPr>
          <w:trHeight w:val="134"/>
        </w:trPr>
        <w:tc>
          <w:tcPr>
            <w:tcW w:w="320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Cash provided by (used in):</w:t>
            </w:r>
          </w:p>
        </w:tc>
        <w:tc>
          <w:tcPr>
            <w:tcW w:w="39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r>
      <w:tr>
        <w:trPr>
          <w:trHeight w:val="153"/>
        </w:trPr>
        <w:tc>
          <w:tcPr>
            <w:tcW w:w="3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Operating activities</w:t>
            </w:r>
          </w:p>
        </w:tc>
        <w:tc>
          <w:tcPr>
            <w:tcW w:w="5360" w:type="dxa"/>
            <w:vAlign w:val="bottom"/>
            <w:gridSpan w:val="2"/>
          </w:tcPr>
          <w:p>
            <w:pPr>
              <w:jc w:val="right"/>
              <w:ind w:right="1283"/>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340" w:type="dxa"/>
            <w:vAlign w:val="bottom"/>
          </w:tcPr>
          <w:p>
            <w:pPr>
              <w:spacing w:after="0"/>
              <w:rPr>
                <w:sz w:val="13"/>
                <w:szCs w:val="13"/>
                <w:color w:val="auto"/>
              </w:rPr>
            </w:pPr>
          </w:p>
        </w:tc>
        <w:tc>
          <w:tcPr>
            <w:tcW w:w="1420" w:type="dxa"/>
            <w:vAlign w:val="bottom"/>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74.2</w:t>
            </w:r>
          </w:p>
        </w:tc>
      </w:tr>
      <w:tr>
        <w:trPr>
          <w:trHeight w:val="153"/>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Investing activities</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r>
      <w:tr>
        <w:trPr>
          <w:trHeight w:val="153"/>
        </w:trPr>
        <w:tc>
          <w:tcPr>
            <w:tcW w:w="3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Financing activities</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w:t>
            </w: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 of exchange rate changes on cash and cash equivalents</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r>
      <w:tr>
        <w:trPr>
          <w:trHeight w:val="142"/>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(decrease) increase in cash and cash equivalents</w:t>
            </w:r>
          </w:p>
        </w:tc>
        <w:tc>
          <w:tcPr>
            <w:tcW w:w="3940" w:type="dxa"/>
            <w:vAlign w:val="bottom"/>
          </w:tcPr>
          <w:p>
            <w:pPr>
              <w:spacing w:after="0"/>
              <w:rPr>
                <w:sz w:val="12"/>
                <w:szCs w:val="12"/>
                <w:color w:val="auto"/>
              </w:rPr>
            </w:pPr>
          </w:p>
        </w:tc>
        <w:tc>
          <w:tcPr>
            <w:tcW w:w="1420" w:type="dxa"/>
            <w:vAlign w:val="bottom"/>
            <w:tcBorders>
              <w:top w:val="single" w:sz="8" w:color="auto"/>
              <w:bottom w:val="single" w:sz="8" w:color="auto"/>
            </w:tcBorders>
          </w:tcPr>
          <w:p>
            <w:pPr>
              <w:jc w:val="right"/>
              <w:ind w:right="1283"/>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(21.5)</w:t>
            </w:r>
          </w:p>
        </w:tc>
        <w:tc>
          <w:tcPr>
            <w:tcW w:w="340" w:type="dxa"/>
            <w:vAlign w:val="bottom"/>
          </w:tcPr>
          <w:p>
            <w:pPr>
              <w:spacing w:after="0"/>
              <w:rPr>
                <w:sz w:val="12"/>
                <w:szCs w:val="12"/>
                <w:color w:val="auto"/>
              </w:rPr>
            </w:pPr>
          </w:p>
        </w:tc>
        <w:tc>
          <w:tcPr>
            <w:tcW w:w="1420" w:type="dxa"/>
            <w:vAlign w:val="bottom"/>
            <w:tcBorders>
              <w:top w:val="single" w:sz="8" w:color="auto"/>
              <w:bottom w:val="single" w:sz="8" w:color="auto"/>
            </w:tcBorders>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36.6</w:t>
            </w:r>
          </w:p>
        </w:tc>
      </w:tr>
      <w:tr>
        <w:trPr>
          <w:trHeight w:val="20"/>
        </w:trPr>
        <w:tc>
          <w:tcPr>
            <w:tcW w:w="32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220"/>
          </w:cols>
          <w:pgMar w:left="340" w:top="638"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EXPLANATION AND RECONCILIATION OF NON-GAAP MEASURES</w:t>
      </w:r>
    </w:p>
    <w:p>
      <w:pPr>
        <w:spacing w:after="0" w:line="10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BellRing uses certain non-GAAP measures in this release to supplement the financial measures prepared in accordance with U.S. generally accepted accounting principles (“GAAP”). These non-GAAP measures include Adjusted net earnings, Adjusted diluted earnings per common share, Adjusted EBITDA and Adjusted EBITDA as a percentage of net sales. The reconciliation of each of these non-GAAP measures to the most directly comparable GAAP measure is provided in the tables following this section. Non-GAAP measures are not prepared in accordance with GAAP, as they exclude certain items as described below. These non-GAAP measures may not be comparable to similarly titled measures of other companies.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net earnings and Adjusted diluted earnings per common share</w:t>
      </w:r>
    </w:p>
    <w:p>
      <w:pPr>
        <w:spacing w:after="0" w:line="1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2"/>
          <w:szCs w:val="12"/>
          <w:color w:val="auto"/>
        </w:rPr>
        <w:t>BellRing believes Adjusted net earnings and Adjusted diluted earnings per common share are useful to investors in evaluating BellRing’s operating performance because they exclude items that affect the comparability of BellRing’s financial results and could potentially distort an understanding of the trends in business performance.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net earnings and Adjusted diluted earnings per common share are adjusted for the following items:</w:t>
      </w:r>
    </w:p>
    <w:p>
      <w:pPr>
        <w:spacing w:after="0" w:line="17" w:lineRule="exact"/>
        <w:rPr>
          <w:sz w:val="20"/>
          <w:szCs w:val="20"/>
          <w:color w:val="auto"/>
        </w:rPr>
      </w:pPr>
    </w:p>
    <w:p>
      <w:pPr>
        <w:ind w:left="420" w:hanging="212"/>
        <w:spacing w:after="0" w:line="250" w:lineRule="auto"/>
        <w:tabs>
          <w:tab w:leader="none" w:pos="41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Accelerated amortization</w:t>
      </w:r>
      <w:r>
        <w:rPr>
          <w:rFonts w:ascii="Times New Roman" w:cs="Times New Roman" w:eastAsia="Times New Roman" w:hAnsi="Times New Roman"/>
          <w:sz w:val="12"/>
          <w:szCs w:val="12"/>
          <w:color w:val="auto"/>
        </w:rPr>
        <w:t>: BellRing has excluded non-cash accelerated amortization charges recorded in connection with the discontinuation of certain brands or the discontinuation of the use of certain brands in certain regions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 the amount and frequency of such charges are not consistent. Additionally, BellRing believes that these charges do not reflect expected ongoing future operating expenses and do not contribute to a meaningful evaluation of BellRing’s current operating performance or comparisons of BellRing’s operating performance to other periods.</w:t>
      </w:r>
    </w:p>
    <w:p>
      <w:pPr>
        <w:ind w:left="420" w:right="60" w:hanging="212"/>
        <w:spacing w:after="0" w:line="25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Mark-to-market adjustments on commodity hedges</w:t>
      </w:r>
      <w:r>
        <w:rPr>
          <w:rFonts w:ascii="Times New Roman" w:cs="Times New Roman" w:eastAsia="Times New Roman" w:hAnsi="Times New Roman"/>
          <w:sz w:val="12"/>
          <w:szCs w:val="12"/>
          <w:color w:val="auto"/>
        </w:rPr>
        <w:t>: BellRing has excluded the impact of mark-to-market adjustments on commodity hedges due to the inherent uncertainty and volatility associated with such amounts based 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changes in assumptions with respect to fair value estimates. Additionally, these adjustments are primarily non-cash items and the amount and frequency of such adjustments are not consistent.</w:t>
      </w:r>
    </w:p>
    <w:p>
      <w:pPr>
        <w:ind w:left="420" w:right="500" w:hanging="212"/>
        <w:spacing w:after="0" w:line="250" w:lineRule="auto"/>
        <w:tabs>
          <w:tab w:leader="none" w:pos="41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Foreign currency gain/loss on intercompany loans</w:t>
      </w:r>
      <w:r>
        <w:rPr>
          <w:rFonts w:ascii="Times New Roman" w:cs="Times New Roman" w:eastAsia="Times New Roman" w:hAnsi="Times New Roman"/>
          <w:sz w:val="12"/>
          <w:szCs w:val="12"/>
          <w:color w:val="auto"/>
        </w:rPr>
        <w:t>: BellRing has excluded the impact of foreign currency fluctuations related to intercompany loans denominated in currencies other than the functional currency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respective legal entity in evaluating BellRing’s performance to allow for more meaningful comparisons of performance to other periods.</w:t>
      </w:r>
    </w:p>
    <w:p>
      <w:pPr>
        <w:ind w:left="420" w:right="180" w:hanging="212"/>
        <w:spacing w:after="0" w:line="26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Income tax effect on adjustments</w:t>
      </w:r>
      <w:r>
        <w:rPr>
          <w:rFonts w:ascii="Times New Roman" w:cs="Times New Roman" w:eastAsia="Times New Roman" w:hAnsi="Times New Roman"/>
          <w:sz w:val="12"/>
          <w:szCs w:val="12"/>
          <w:color w:val="auto"/>
        </w:rPr>
        <w:t>: BellRing has included the income tax impact of the non-GAAP adjustments using a rate described in the applicable footnote of the reconciliation tables, as BellRing believes that its GAAP</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effective income tax rate as reported is not representative of the income tax expense impact of the adjustments.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EBITDA and Adjusted EBITDA as a percentage of net sales</w:t>
      </w:r>
    </w:p>
    <w:p>
      <w:pPr>
        <w:spacing w:after="0" w:line="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2"/>
          <w:szCs w:val="12"/>
          <w:color w:val="auto"/>
        </w:rPr>
        <w:t>BellRing believes that Adjusted EBITDA is useful to investors in evaluating BellRing’s operating performance and liquidity because (i) BellRing believes it is widely used to measure a company’s operating performance without regard to items such as depreciation and amortization, which can vary depending upon accounting methods and the book value of assets, (ii) it presents a measure of corporate performance exclusive of BellRing’s capital structure and the method by which the assets were acquired and (iii) it is a financial indicator of a company’s ability to service its debt, as BellRing is required to comply with certain covenants and limitations that are based on variations of EBITDA in its financing documents. Management uses Adjusted EBITDA to provide forward-looking guidance and to forecast future results. BellRing believes that Adjusted EBITDA as a percentage of net sales is useful to investors in evaluating BellRing’s operating performance because it allows for more meaningful comparison of operating performance across periods.</w:t>
      </w:r>
    </w:p>
    <w:p>
      <w:pPr>
        <w:spacing w:after="0" w:line="9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2"/>
          <w:szCs w:val="12"/>
          <w:color w:val="auto"/>
        </w:rPr>
        <w:t>Adjusted EBITDA reflects adjustments for income tax expense, interest expense, net and depreciation and amortization including accelerated amortization, and the following adjustments discussed above: mark-to-market adjustments on commodity hedges and foreign currency gain/loss on intercompany loans. Additionally, Adjusted EBITDA reflects an adjustment for the following item:</w:t>
      </w:r>
    </w:p>
    <w:p>
      <w:pPr>
        <w:spacing w:after="0" w:line="1" w:lineRule="exact"/>
        <w:rPr>
          <w:sz w:val="20"/>
          <w:szCs w:val="20"/>
          <w:color w:val="auto"/>
        </w:rPr>
      </w:pPr>
    </w:p>
    <w:p>
      <w:pPr>
        <w:ind w:left="420" w:right="60" w:hanging="212"/>
        <w:spacing w:after="0" w:line="253" w:lineRule="auto"/>
        <w:tabs>
          <w:tab w:leader="none" w:pos="413"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Stock-based compensation</w:t>
      </w:r>
      <w:r>
        <w:rPr>
          <w:rFonts w:ascii="Times New Roman" w:cs="Times New Roman" w:eastAsia="Times New Roman" w:hAnsi="Times New Roman"/>
          <w:sz w:val="12"/>
          <w:szCs w:val="12"/>
          <w:color w:val="auto"/>
        </w:rPr>
        <w:t>: BellRing’s compensation strategy includes the use of BellRing stock-based compensation to attract and retain executives and employees by aligning their long-term compensation interests with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BellRing’s stockholders’ investment interests. BellRing’s director compensation strategy includes an election by any director who earns retainers in which the director may elect to defer compensation granted as a director to BellRing common stock, earning a match on the deferral, both of which are stock-settled upon the director’s retirement from the BellRing board of directors. BellRing has excluded stock-based compensation as stock-based compensation can vary significantly based on reasons such as the timing, size and nature of the awards granted and subjective assumptions which are unrelated to operational decisions and performance in any particular period and does not contribute to meaningful comparisons of BellRing’s operating performance to other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280"/>
          </w:cols>
          <w:pgMar w:left="300" w:top="641" w:right="31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RECONCILIATION OF NET EARNINGS TO ADJUSTED NET EARNINGS (Unaudited)</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14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1140" w:type="dxa"/>
            <w:vAlign w:val="bottom"/>
            <w:tcBorders>
              <w:bottom w:val="single" w:sz="8" w:color="auto"/>
            </w:tcBorders>
          </w:tcPr>
          <w:p>
            <w:pPr>
              <w:spacing w:after="0"/>
              <w:rPr>
                <w:sz w:val="12"/>
                <w:szCs w:val="12"/>
                <w:color w:val="auto"/>
              </w:rPr>
            </w:pPr>
          </w:p>
        </w:tc>
      </w:tr>
      <w:tr>
        <w:trPr>
          <w:trHeight w:val="134"/>
        </w:trPr>
        <w:tc>
          <w:tcPr>
            <w:tcW w:w="714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rPr>
              <w:t>2024</w:t>
            </w:r>
          </w:p>
        </w:tc>
        <w:tc>
          <w:tcPr>
            <w:tcW w:w="72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Earnings</w:t>
            </w:r>
          </w:p>
        </w:tc>
        <w:tc>
          <w:tcPr>
            <w:tcW w:w="1140" w:type="dxa"/>
            <w:vAlign w:val="bottom"/>
            <w:shd w:val="clear" w:color="auto" w:fill="CCEEFF"/>
          </w:tcPr>
          <w:p>
            <w:pPr>
              <w:jc w:val="right"/>
              <w:ind w:right="100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76.9</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43.9</w:t>
            </w:r>
          </w:p>
        </w:tc>
      </w:tr>
      <w:tr>
        <w:trPr>
          <w:trHeight w:val="180"/>
        </w:trPr>
        <w:tc>
          <w:tcPr>
            <w:tcW w:w="7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5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3"/>
        </w:trPr>
        <w:tc>
          <w:tcPr>
            <w:tcW w:w="71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Accelerated amortization</w:t>
            </w:r>
          </w:p>
        </w:tc>
        <w:tc>
          <w:tcPr>
            <w:tcW w:w="114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17.4</w:t>
            </w:r>
          </w:p>
        </w:tc>
      </w:tr>
      <w:tr>
        <w:trPr>
          <w:trHeight w:val="153"/>
        </w:trPr>
        <w:tc>
          <w:tcPr>
            <w:tcW w:w="7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0.2</w:t>
            </w:r>
          </w:p>
        </w:tc>
      </w:tr>
      <w:tr>
        <w:trPr>
          <w:trHeight w:val="153"/>
        </w:trPr>
        <w:tc>
          <w:tcPr>
            <w:tcW w:w="71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Foreign currency loss on intercompany loans</w:t>
            </w:r>
          </w:p>
        </w:tc>
        <w:tc>
          <w:tcPr>
            <w:tcW w:w="1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3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7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b w:val="1"/>
                <w:bCs w:val="1"/>
                <w:color w:val="auto"/>
              </w:rPr>
              <w:t>Total Net Adjustments</w:t>
            </w:r>
          </w:p>
        </w:tc>
        <w:tc>
          <w:tcPr>
            <w:tcW w:w="1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17.6</w:t>
            </w:r>
          </w:p>
        </w:tc>
      </w:tr>
      <w:tr>
        <w:trPr>
          <w:trHeight w:val="153"/>
        </w:trPr>
        <w:tc>
          <w:tcPr>
            <w:tcW w:w="7140" w:type="dxa"/>
            <w:vAlign w:val="bottom"/>
            <w:tcBorders>
              <w:bottom w:val="single" w:sz="8" w:color="CCEEFF"/>
            </w:tcBorders>
          </w:tcPr>
          <w:p>
            <w:pPr>
              <w:spacing w:after="0" w:line="153" w:lineRule="exact"/>
              <w:rPr>
                <w:sz w:val="20"/>
                <w:szCs w:val="20"/>
                <w:color w:val="auto"/>
              </w:rPr>
            </w:pPr>
            <w:r>
              <w:rPr>
                <w:rFonts w:ascii="Times New Roman" w:cs="Times New Roman" w:eastAsia="Times New Roman" w:hAnsi="Times New Roman"/>
                <w:sz w:val="12"/>
                <w:szCs w:val="12"/>
                <w:color w:val="auto"/>
              </w:rPr>
              <w:t xml:space="preserve">Income tax effect on adjustments </w:t>
            </w:r>
            <w:r>
              <w:rPr>
                <w:rFonts w:ascii="Times New Roman" w:cs="Times New Roman" w:eastAsia="Times New Roman" w:hAnsi="Times New Roman"/>
                <w:sz w:val="15"/>
                <w:szCs w:val="15"/>
                <w:color w:val="auto"/>
                <w:vertAlign w:val="superscript"/>
              </w:rPr>
              <w:t>(1)</w:t>
            </w:r>
          </w:p>
        </w:tc>
        <w:tc>
          <w:tcPr>
            <w:tcW w:w="1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3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58"/>
        </w:trPr>
        <w:tc>
          <w:tcPr>
            <w:tcW w:w="7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Net Earnings</w:t>
            </w:r>
          </w:p>
        </w:tc>
        <w:tc>
          <w:tcPr>
            <w:tcW w:w="1140" w:type="dxa"/>
            <w:vAlign w:val="bottom"/>
            <w:tcBorders>
              <w:bottom w:val="single" w:sz="8" w:color="auto"/>
            </w:tcBorders>
            <w:shd w:val="clear" w:color="auto" w:fill="CCEEFF"/>
          </w:tcPr>
          <w:p>
            <w:pPr>
              <w:jc w:val="right"/>
              <w:ind w:right="100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76.2</w:t>
            </w:r>
          </w:p>
        </w:tc>
        <w:tc>
          <w:tcPr>
            <w:tcW w:w="3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57.3</w:t>
            </w:r>
          </w:p>
        </w:tc>
      </w:tr>
    </w:tbl>
    <w:p>
      <w:pPr>
        <w:spacing w:after="0" w:line="163" w:lineRule="exact"/>
        <w:rPr>
          <w:sz w:val="20"/>
          <w:szCs w:val="20"/>
          <w:color w:val="auto"/>
        </w:rPr>
      </w:pPr>
    </w:p>
    <w:p>
      <w:pPr>
        <w:ind w:left="120" w:hanging="111"/>
        <w:spacing w:after="0"/>
        <w:tabs>
          <w:tab w:leader="none" w:pos="120" w:val="left"/>
        </w:tabs>
        <w:numPr>
          <w:ilvl w:val="0"/>
          <w:numId w:val="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Income tax effect on adjustments was calculated on all items using a rate of 24.0%.</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200" w:type="dxa"/>
            <w:vAlign w:val="bottom"/>
          </w:tcPr>
          <w:p>
            <w:pPr>
              <w:spacing w:after="0"/>
              <w:rPr>
                <w:sz w:val="11"/>
                <w:szCs w:val="11"/>
                <w:color w:val="auto"/>
              </w:rPr>
            </w:pPr>
          </w:p>
        </w:tc>
        <w:tc>
          <w:tcPr>
            <w:tcW w:w="5080" w:type="dxa"/>
            <w:vAlign w:val="bottom"/>
            <w:gridSpan w:val="2"/>
          </w:tcPr>
          <w:p>
            <w:pPr>
              <w:jc w:val="right"/>
              <w:ind w:right="882"/>
              <w:spacing w:after="0"/>
              <w:rPr>
                <w:sz w:val="20"/>
                <w:szCs w:val="20"/>
                <w:color w:val="auto"/>
              </w:rPr>
            </w:pPr>
            <w:r>
              <w:rPr>
                <w:rFonts w:ascii="Times New Roman" w:cs="Times New Roman" w:eastAsia="Times New Roman" w:hAnsi="Times New Roman"/>
                <w:sz w:val="11"/>
                <w:szCs w:val="11"/>
                <w:b w:val="1"/>
                <w:bCs w:val="1"/>
                <w:color w:val="auto"/>
              </w:rPr>
              <w:t>RECONCILIATION OF DILUTED EARNINGS PER COMMON SHARE</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42"/>
        </w:trPr>
        <w:tc>
          <w:tcPr>
            <w:tcW w:w="3200" w:type="dxa"/>
            <w:vAlign w:val="bottom"/>
          </w:tcPr>
          <w:p>
            <w:pPr>
              <w:spacing w:after="0"/>
              <w:rPr>
                <w:sz w:val="12"/>
                <w:szCs w:val="12"/>
                <w:color w:val="auto"/>
              </w:rPr>
            </w:pPr>
          </w:p>
        </w:tc>
        <w:tc>
          <w:tcPr>
            <w:tcW w:w="5080" w:type="dxa"/>
            <w:vAlign w:val="bottom"/>
            <w:gridSpan w:val="2"/>
          </w:tcPr>
          <w:p>
            <w:pPr>
              <w:jc w:val="right"/>
              <w:ind w:right="802"/>
              <w:spacing w:after="0"/>
              <w:rPr>
                <w:sz w:val="20"/>
                <w:szCs w:val="20"/>
                <w:color w:val="auto"/>
              </w:rPr>
            </w:pPr>
            <w:r>
              <w:rPr>
                <w:rFonts w:ascii="Times New Roman" w:cs="Times New Roman" w:eastAsia="Times New Roman" w:hAnsi="Times New Roman"/>
                <w:sz w:val="11"/>
                <w:szCs w:val="11"/>
                <w:b w:val="1"/>
                <w:bCs w:val="1"/>
                <w:color w:val="auto"/>
              </w:rPr>
              <w:t>TO ADJUSTED DILUTED EARNINGS PER COMMON SHARE (Unaudited)</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55"/>
        </w:trPr>
        <w:tc>
          <w:tcPr>
            <w:tcW w:w="32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1140" w:type="dxa"/>
            <w:vAlign w:val="bottom"/>
            <w:tcBorders>
              <w:bottom w:val="single" w:sz="8" w:color="auto"/>
            </w:tcBorders>
          </w:tcPr>
          <w:p>
            <w:pPr>
              <w:spacing w:after="0"/>
              <w:rPr>
                <w:sz w:val="13"/>
                <w:szCs w:val="13"/>
                <w:color w:val="auto"/>
              </w:rPr>
            </w:pPr>
          </w:p>
        </w:tc>
      </w:tr>
      <w:tr>
        <w:trPr>
          <w:trHeight w:val="134"/>
        </w:trPr>
        <w:tc>
          <w:tcPr>
            <w:tcW w:w="3200" w:type="dxa"/>
            <w:vAlign w:val="bottom"/>
            <w:tcBorders>
              <w:bottom w:val="single" w:sz="8" w:color="CCEEFF"/>
            </w:tcBorders>
          </w:tcPr>
          <w:p>
            <w:pPr>
              <w:spacing w:after="0"/>
              <w:rPr>
                <w:sz w:val="11"/>
                <w:szCs w:val="11"/>
                <w:color w:val="auto"/>
              </w:rPr>
            </w:pPr>
          </w:p>
        </w:tc>
        <w:tc>
          <w:tcPr>
            <w:tcW w:w="394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rPr>
              <w:t>2024</w:t>
            </w:r>
          </w:p>
        </w:tc>
        <w:tc>
          <w:tcPr>
            <w:tcW w:w="72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Diluted Earnings per Common Share</w:t>
            </w:r>
          </w:p>
        </w:tc>
        <w:tc>
          <w:tcPr>
            <w:tcW w:w="39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00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0.59</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0.33</w:t>
            </w:r>
          </w:p>
        </w:tc>
      </w:tr>
      <w:tr>
        <w:trPr>
          <w:trHeight w:val="180"/>
        </w:trPr>
        <w:tc>
          <w:tcPr>
            <w:tcW w:w="32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39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3"/>
        </w:trPr>
        <w:tc>
          <w:tcPr>
            <w:tcW w:w="3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Accelerated amortization</w:t>
            </w:r>
          </w:p>
        </w:tc>
        <w:tc>
          <w:tcPr>
            <w:tcW w:w="3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0.13</w:t>
            </w:r>
          </w:p>
        </w:tc>
      </w:tr>
      <w:tr>
        <w:trPr>
          <w:trHeight w:val="153"/>
        </w:trPr>
        <w:tc>
          <w:tcPr>
            <w:tcW w:w="3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3940" w:type="dxa"/>
            <w:vAlign w:val="bottom"/>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3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320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Total Net Adjustments</w:t>
            </w:r>
          </w:p>
        </w:tc>
        <w:tc>
          <w:tcPr>
            <w:tcW w:w="3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0.13</w:t>
            </w:r>
          </w:p>
        </w:tc>
      </w:tr>
      <w:tr>
        <w:trPr>
          <w:trHeight w:val="153"/>
        </w:trPr>
        <w:tc>
          <w:tcPr>
            <w:tcW w:w="32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Income tax effect on adjustments</w:t>
            </w:r>
            <w:r>
              <w:rPr>
                <w:rFonts w:ascii="Times New Roman" w:cs="Times New Roman" w:eastAsia="Times New Roman" w:hAnsi="Times New Roman"/>
                <w:sz w:val="15"/>
                <w:szCs w:val="15"/>
                <w:color w:val="auto"/>
                <w:vertAlign w:val="superscript"/>
              </w:rPr>
              <w:t>(1)</w:t>
            </w:r>
          </w:p>
        </w:tc>
        <w:tc>
          <w:tcPr>
            <w:tcW w:w="39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(0.03)</w:t>
            </w:r>
          </w:p>
        </w:tc>
      </w:tr>
      <w:tr>
        <w:trPr>
          <w:trHeight w:val="142"/>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Diluted Earnings per Common Share</w:t>
            </w:r>
          </w:p>
        </w:tc>
        <w:tc>
          <w:tcPr>
            <w:tcW w:w="394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100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0.58</w:t>
            </w:r>
          </w:p>
        </w:tc>
        <w:tc>
          <w:tcPr>
            <w:tcW w:w="3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0.43</w:t>
            </w:r>
          </w:p>
        </w:tc>
      </w:tr>
      <w:tr>
        <w:trPr>
          <w:trHeight w:val="20"/>
        </w:trPr>
        <w:tc>
          <w:tcPr>
            <w:tcW w:w="32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120" w:hanging="111"/>
        <w:spacing w:after="0"/>
        <w:tabs>
          <w:tab w:leader="none" w:pos="120"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Income tax effect on adjustments was calculated on all items using a rate of 24.0%.</w:t>
      </w: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220"/>
          </w:cols>
          <w:pgMar w:left="340" w:top="641" w:right="3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RECONCILIATION OF NET EARNINGS TO ADJUSTED EBITDA (Unaudited)</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00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1200" w:type="dxa"/>
            <w:vAlign w:val="bottom"/>
            <w:tcBorders>
              <w:bottom w:val="single" w:sz="8" w:color="auto"/>
            </w:tcBorders>
          </w:tcPr>
          <w:p>
            <w:pPr>
              <w:spacing w:after="0"/>
              <w:rPr>
                <w:sz w:val="12"/>
                <w:szCs w:val="12"/>
                <w:color w:val="auto"/>
              </w:rPr>
            </w:pPr>
          </w:p>
        </w:tc>
      </w:tr>
      <w:tr>
        <w:trPr>
          <w:trHeight w:val="134"/>
        </w:trPr>
        <w:tc>
          <w:tcPr>
            <w:tcW w:w="700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rPr>
              <w:t>2024</w:t>
            </w:r>
          </w:p>
        </w:tc>
        <w:tc>
          <w:tcPr>
            <w:tcW w:w="76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Earnings</w:t>
            </w:r>
          </w:p>
        </w:tc>
        <w:tc>
          <w:tcPr>
            <w:tcW w:w="1180" w:type="dxa"/>
            <w:vAlign w:val="bottom"/>
            <w:shd w:val="clear" w:color="auto" w:fill="CCEEFF"/>
          </w:tcPr>
          <w:p>
            <w:pPr>
              <w:jc w:val="right"/>
              <w:ind w:right="1042"/>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76.9</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43.9</w:t>
            </w:r>
          </w:p>
        </w:tc>
      </w:tr>
      <w:tr>
        <w:trPr>
          <w:trHeight w:val="153"/>
        </w:trPr>
        <w:tc>
          <w:tcPr>
            <w:tcW w:w="700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180" w:type="dxa"/>
            <w:vAlign w:val="bottom"/>
          </w:tcPr>
          <w:p>
            <w:pPr>
              <w:spacing w:after="0"/>
              <w:rPr>
                <w:sz w:val="13"/>
                <w:szCs w:val="13"/>
                <w:color w:val="auto"/>
              </w:rPr>
            </w:pPr>
          </w:p>
        </w:tc>
        <w:tc>
          <w:tcPr>
            <w:tcW w:w="76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24.0</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14.2</w:t>
            </w:r>
          </w:p>
        </w:tc>
      </w:tr>
      <w:tr>
        <w:trPr>
          <w:trHeight w:val="15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11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14.4</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14.9</w:t>
            </w:r>
          </w:p>
        </w:tc>
      </w:tr>
      <w:tr>
        <w:trPr>
          <w:trHeight w:val="153"/>
        </w:trPr>
        <w:tc>
          <w:tcPr>
            <w:tcW w:w="700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 including accelerated amortization</w:t>
            </w:r>
          </w:p>
        </w:tc>
        <w:tc>
          <w:tcPr>
            <w:tcW w:w="1180" w:type="dxa"/>
            <w:vAlign w:val="bottom"/>
          </w:tcPr>
          <w:p>
            <w:pPr>
              <w:spacing w:after="0"/>
              <w:rPr>
                <w:sz w:val="13"/>
                <w:szCs w:val="13"/>
                <w:color w:val="auto"/>
              </w:rPr>
            </w:pPr>
          </w:p>
        </w:tc>
        <w:tc>
          <w:tcPr>
            <w:tcW w:w="76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4.6</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22.6</w:t>
            </w:r>
          </w:p>
        </w:tc>
      </w:tr>
      <w:tr>
        <w:trPr>
          <w:trHeight w:val="15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11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6.3</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4.7</w:t>
            </w:r>
          </w:p>
        </w:tc>
      </w:tr>
      <w:tr>
        <w:trPr>
          <w:trHeight w:val="153"/>
        </w:trPr>
        <w:tc>
          <w:tcPr>
            <w:tcW w:w="7000" w:type="dxa"/>
            <w:vAlign w:val="bottom"/>
          </w:tcPr>
          <w:p>
            <w:pPr>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1180" w:type="dxa"/>
            <w:vAlign w:val="bottom"/>
          </w:tcPr>
          <w:p>
            <w:pPr>
              <w:spacing w:after="0"/>
              <w:rPr>
                <w:sz w:val="13"/>
                <w:szCs w:val="13"/>
                <w:color w:val="auto"/>
              </w:rPr>
            </w:pP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(1.5)</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0.2</w:t>
            </w:r>
          </w:p>
        </w:tc>
      </w:tr>
      <w:tr>
        <w:trPr>
          <w:trHeight w:val="15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currency loss on intercompany loans</w:t>
            </w:r>
          </w:p>
        </w:tc>
        <w:tc>
          <w:tcPr>
            <w:tcW w:w="11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0.6</w:t>
            </w:r>
          </w:p>
        </w:tc>
        <w:tc>
          <w:tcPr>
            <w:tcW w:w="3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w:t>
            </w:r>
          </w:p>
        </w:tc>
      </w:tr>
      <w:tr>
        <w:trPr>
          <w:trHeight w:val="158"/>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1180" w:type="dxa"/>
            <w:vAlign w:val="bottom"/>
            <w:tcBorders>
              <w:bottom w:val="single" w:sz="8" w:color="auto"/>
            </w:tcBorders>
          </w:tcPr>
          <w:p>
            <w:pPr>
              <w:jc w:val="right"/>
              <w:ind w:right="1042"/>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2"/>
                <w:szCs w:val="12"/>
                <w:color w:val="auto"/>
              </w:rPr>
              <w:t>125.3</w:t>
            </w:r>
          </w:p>
        </w:tc>
        <w:tc>
          <w:tcPr>
            <w:tcW w:w="3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2"/>
                <w:szCs w:val="12"/>
                <w:color w:val="auto"/>
              </w:rPr>
              <w:t>100.5</w:t>
            </w:r>
          </w:p>
        </w:tc>
      </w:tr>
      <w:tr>
        <w:trPr>
          <w:trHeight w:val="169"/>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Earnings as a percentage of Net Sales</w:t>
            </w:r>
          </w:p>
        </w:tc>
        <w:tc>
          <w:tcPr>
            <w:tcW w:w="1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14.4 %</w:t>
            </w:r>
          </w:p>
        </w:tc>
        <w:tc>
          <w:tcPr>
            <w:tcW w:w="3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10.2 %</w:t>
            </w:r>
          </w:p>
        </w:tc>
      </w:tr>
      <w:tr>
        <w:trPr>
          <w:trHeight w:val="153"/>
        </w:trPr>
        <w:tc>
          <w:tcPr>
            <w:tcW w:w="7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EBITDA as a percentage of Net Sales</w:t>
            </w:r>
          </w:p>
        </w:tc>
        <w:tc>
          <w:tcPr>
            <w:tcW w:w="1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23.5 %</w:t>
            </w:r>
          </w:p>
        </w:tc>
        <w:tc>
          <w:tcPr>
            <w:tcW w:w="3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23.4 %</w:t>
            </w:r>
          </w:p>
        </w:tc>
      </w:tr>
      <w:tr>
        <w:trPr>
          <w:trHeight w:val="20"/>
        </w:trPr>
        <w:tc>
          <w:tcPr>
            <w:tcW w:w="70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220"/>
          </w:cols>
          <w:pgMar w:left="340" w:top="749" w:right="339" w:bottom="1440"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5"/>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2025-02-03T16:41:26Z</dcterms:created>
  <dcterms:modified xsi:type="dcterms:W3CDTF">2025-02-03T16:41:26Z</dcterms:modified>
</cp:coreProperties>
</file>