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May 5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On May 5, 2025, BellRing Brands, Inc. (the "Company") issued a press release announcing results for its second fiscal quarter ended March 31, 2025. A copy of the press release is attached hereto as Exhibit 99.1 and incorporated herein by reference.</w:t>
      </w:r>
    </w:p>
    <w:p>
      <w:pPr>
        <w:spacing w:after="0" w:line="12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addition, on May 5, 2025, the Company published to the "Investor Relations" section of its website, www.bellringbrands.com, a supplemental presentation related to results for its second fiscal quarter ended March 31, 2025.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b w:val="1"/>
          <w:bCs w:val="1"/>
          <w:color w:val="auto"/>
        </w:rPr>
        <w:t>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1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Press Release dated May 5, 2025</w:t>
            </w:r>
          </w:p>
        </w:tc>
        <w:tc>
          <w:tcPr>
            <w:tcW w:w="7460" w:type="dxa"/>
            <w:vAlign w:val="bottom"/>
            <w:gridSpan w:val="2"/>
          </w:tcPr>
          <w:p>
            <w:pPr>
              <w:spacing w:after="0"/>
              <w:rPr>
                <w:sz w:val="20"/>
                <w:szCs w:val="20"/>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Second Fiscal Quarter Ended March 31, 2025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Date: May 5, 2025</w:t>
            </w:r>
          </w:p>
        </w:tc>
        <w:tc>
          <w:tcPr>
            <w:tcW w:w="78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220" w:type="dxa"/>
            <w:vAlign w:val="bottom"/>
          </w:tcPr>
          <w:p>
            <w:pPr>
              <w:spacing w:after="0"/>
              <w:rPr>
                <w:sz w:val="19"/>
                <w:szCs w:val="19"/>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220" w:type="dxa"/>
            <w:vAlign w:val="bottom"/>
          </w:tcPr>
          <w:p>
            <w:pPr>
              <w:spacing w:after="0"/>
              <w:rPr>
                <w:sz w:val="24"/>
                <w:szCs w:val="24"/>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220" w:type="dxa"/>
            <w:vAlign w:val="bottom"/>
          </w:tcPr>
          <w:p>
            <w:pPr>
              <w:spacing w:after="0"/>
              <w:rPr>
                <w:sz w:val="17"/>
                <w:szCs w:val="17"/>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220" w:type="dxa"/>
            <w:vAlign w:val="bottom"/>
          </w:tcPr>
          <w:p>
            <w:pPr>
              <w:spacing w:after="0"/>
              <w:rPr>
                <w:sz w:val="13"/>
                <w:szCs w:val="13"/>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Second Quarter 2025; Affirms Fiscal Year 2025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May 5, 2025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second fiscal quarter ended March 31,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Second quarter net sales of $588.0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$95.1 million, net earnings of $58.7 million and Adjusted EBITDA* of $118.6 million</w:t>
      </w:r>
    </w:p>
    <w:p>
      <w:pPr>
        <w:spacing w:after="0" w:line="98"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9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2"/>
          <w:szCs w:val="12"/>
          <w:color w:val="auto"/>
        </w:rPr>
        <w:t xml:space="preserve">“Our momentum continued this quarter as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consumption accelerated. Increased promotions, our media campaign and new products drove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household penetration and market share to new all-time highs. Our powder products benefited from distribution gains and brand building investments,” said Darcy H. Davenport, President and Chief Executive Officer of BellRing. “The convenient nutrition category and our leading mainstream brands continue to resonate with consumers, demonstrating a long runway of growth for ready-to-drink shakes and powders. I am pleased to affirm our guidance of net sales growth of 13% to 17% with strong Adjusted EBITDA margins even amidst the current uncertain macroeconomic environment.”</w:t>
      </w:r>
    </w:p>
    <w:p>
      <w:pPr>
        <w:spacing w:after="0" w:line="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powder and RTD products increased 24.9%, 21.7% and 3.0% respectively, in the 13-week period ended March 30, 2025, as compared to the same period in 2024 (inclusive of Circana United States (“U.S.”) Multi Outlet Plus with Convenience and management estimates of untracked channels). For additional information regarding consumption metrics, see the supplemental slide presentation on BellRing’s website, which can be accessed by visiting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Quarter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$588.0 million, an increase of 18.9%, or $93.4 million, compared to the prior year period, driven by 15.3% increase in volume and 3.6% increase in price/mix.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increased 22.0%, driven by 15.3% volume growth and 6.7% increase in price/mix.</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increased 21.7%, driven by 15.2% increase in volume and 6.5% increase in price/mix.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Volume gains were driven by distribution gains and increased promotional activity. Additionally, net sales benefited from higher average net selling prices driven by price increases to offset cost inflation.</w:t>
      </w:r>
    </w:p>
    <w:p>
      <w:pPr>
        <w:spacing w:after="0" w:line="101"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3.0%, driven by 20.4% increase in volume which was partially offset by a 17.3% decrease in price/mix. Volume growth was lifted by higher international volumes and new product introductions, the latter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which negatively impacted price/mix.</w:t>
      </w:r>
    </w:p>
    <w:p>
      <w:pPr>
        <w:spacing w:after="0" w:line="7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Gross profit was $189.8 million, or 32.3% of net sales, an increase of 15.5%, or $25.5 million, compared to $164.3 million, or 33.2% of net sales, in the prior year period. Adjusted gross profit* was $202.7 million, or 34.5% of net sales, an increase of $35.9 million, or 21.5%, compared to $166.8 million, or 33.7% of net sales, in the prior year period. In the second quarter of 2025, gross profit and adjusted gross profit benefited from improved pricing which was partly offset by net input cost inflation and increased promotional activity.</w:t>
      </w:r>
    </w:p>
    <w:p>
      <w:pPr>
        <w:spacing w:after="0" w:line="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0"/>
          <w:szCs w:val="10"/>
          <w:i w:val="1"/>
          <w:iCs w:val="1"/>
          <w:color w:val="auto"/>
        </w:rPr>
        <w:t>*Adjusted gross profit and adjusted gross profit margin are non-GAAP measures that exclude mark-to-market adjustments on commodity hedges. For additional information regarding non-GAAP measures, see the related explanations presented under “Use of Non-GAAP Measures” later in this release.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ind w:right="12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expenses were $90.5 million, or 15.4% of net sales, an increase of $21.4 million compared to $69.1 million, or 14.0% of net sales, in the prior year period. SG&amp;A expenses in the second quarter of 2025 included higher marketing and consumer advertising expenses of $12.5 million and increased distribution and warehousing expenses on higher volumes.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$95.1 million, an increase of 4.5%, or $4.1 million, compared to $91.0 million in the prior year period.</w:t>
      </w:r>
    </w:p>
    <w:p>
      <w:pPr>
        <w:spacing w:after="0" w:line="11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Interest expense, net was $16.5 million and $14.5 million in the second quarter of 2025 and 2024, respectively, with the increase primarily driven by higher borrowings outstanding under BellRing’s revolving credit facility. Income tax expense was $19.9 million in the second quarter of 2025, an effective income tax rate of 25.3%, compared to $19.3 million in the second quarter of 2024, an effective income tax rate of 25.2%.</w:t>
      </w:r>
    </w:p>
    <w:p>
      <w:pPr>
        <w:spacing w:after="0" w:line="75"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Net earnings were $58.7 million, an increase of 2.6%, or $1.5 million, compared to $57.2 million in the prior year period. Net earnings per diluted common share were $0.45, an increase of 4.7%, compared to $0.43 in the prior year period. Adjusted net earnings* were $68.7 million, an increase of 16.0%, compared to $59.2 million in the prior year period. Adjusted diluted earnings per common share* were $0.53, an increase of 17.8%, compared to $0.45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$118.6 million, an increase of 14.4%, or $14.9 million, compared to $103.7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Six Month Results</w:t>
      </w:r>
    </w:p>
    <w:p>
      <w:pPr>
        <w:spacing w:after="0" w:line="116" w:lineRule="exact"/>
        <w:rPr>
          <w:sz w:val="20"/>
          <w:szCs w:val="20"/>
          <w:color w:val="auto"/>
        </w:rPr>
      </w:pPr>
    </w:p>
    <w:p>
      <w:pPr>
        <w:jc w:val="both"/>
        <w:ind w:right="180"/>
        <w:spacing w:after="0" w:line="283" w:lineRule="auto"/>
        <w:rPr>
          <w:sz w:val="20"/>
          <w:szCs w:val="20"/>
          <w:color w:val="auto"/>
        </w:rPr>
      </w:pPr>
      <w:r>
        <w:rPr>
          <w:rFonts w:ascii="Times New Roman" w:cs="Times New Roman" w:eastAsia="Times New Roman" w:hAnsi="Times New Roman"/>
          <w:sz w:val="12"/>
          <w:szCs w:val="12"/>
          <w:color w:val="auto"/>
        </w:rPr>
        <w:t xml:space="preserve">Net sales were $1,120.9 million, an increase of 21.2%, or $195.9 million, compared to the prior year period, driven by 17.8% increase in volume and 3.4% increase in price/mix.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24.0%, driven by 18.0% increase in volume and 6.0% increase in price/mix.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7.5%, driven by 16.3% increase in volume and 8.8% decrease in price/mix.</w:t>
      </w:r>
    </w:p>
    <w:p>
      <w:pPr>
        <w:spacing w:after="0" w:line="7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Gross profit was $389.4 million, or 34.7% of net sales, an increase of 24.7%, or $77.1 million, compared to $312.3 million, or 33.8% of net sales, in the prior year period. Adjusted gross profit* was $400.8 million, or 35.8% of net sales, an increase of $85.8 million, or 27.2%, compared to $315.0 million, or 34.1% of net sales, in the prior year period. In the six months ended March 31, 2025, gross profit and adjusted gross profit benefited from improved pricing which was partly offset by net input cost inflation and incremental promotional activity.</w:t>
      </w:r>
    </w:p>
    <w:p>
      <w:pPr>
        <w:spacing w:after="0" w:line="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0"/>
          <w:szCs w:val="10"/>
          <w:i w:val="1"/>
          <w:iCs w:val="1"/>
          <w:color w:val="auto"/>
        </w:rPr>
        <w:t>*Adjusted gross profit and adjusted gross profit margin are non-GAAP measures that exclude mark-to-market adjustments on commodity hedges. For additional information regarding non-GAAP measures, see the related explanations presented under “Use of Non-GAAP Measures” later in this release.</w:t>
      </w:r>
    </w:p>
    <w:p>
      <w:pPr>
        <w:spacing w:after="0" w:line="8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SG&amp;A expenses were $170.6 million, or 15.2% of net sales, an increase of $48.7 million compared to $121.9 million, or 13.2% of net sales, in the prior year period. SG&amp;A expenses in the six months ended March 31, 2025 included higher marketing and consumer advertising expenses of $21.4 million and increased distribution and warehousing expenses on higher volumes.</w:t>
      </w:r>
    </w:p>
    <w:p>
      <w:pPr>
        <w:spacing w:after="0" w:line="7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 xml:space="preserve">Operating profit was $210.4 million, an increase of 28.3%, or $46.4 million, compared to $164.0 million in the prior year period. In the six months ended March 31, 2024, operating profit was negatively impacted by $17.4 million of accelerated amortization, which was incurred in connection with the discontinuance of the North American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business and treated as an adjustment for non-GAAP measures.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net was $30.9 million and $29.4 million in the six months ended March 31, 2025 and 2024, respectively, with the increase primarily driven by higher borrowings outstanding under BellRing’s revolving credit facility.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expense was $43.9 million in the six months ended March 31, 2025, an effective income tax rate of 24.5%, compared to $33.5 million in the six months ended March 31, 2024, an effective income tax rate of 24.9%.</w:t>
      </w:r>
    </w:p>
    <w:p>
      <w:pPr>
        <w:spacing w:after="0" w:line="10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Net earnings were $135.6 million, an increase of 34.1%, or $34.5 million, compared to $101.1 million in the prior year period. Net earnings per diluted common share were $1.04, an increase of 36.8%, compared to $0.76 in the prior year period. Adjusted net earnings* were $144.9 million, an increase of 24.4%, compared to $116.5 million in the prior year period. Adjusted diluted earnings per common share* were $1.11, an increase of 26.1%, compared to $0.88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$243.9 million, an increase of 19.4%, or $39.7 million, compared to $204.2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60"/>
          </w:cols>
          <w:pgMar w:left="300" w:top="64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During the second quarter of 2025, BellRing repurchased 2.4 million shares for $171.7 million at an average price of $71.68 per share. During the six months ended March 31, 2025, BellRing repurchased 2.5 million shares for $182.7 million at an average price of $71.98 per share. As of March 31, 2025, BellRing had $280.0 million remaining under its share repurchase authorization.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BellRing management has affirmed its fiscal year 2025 outlook and continues to expect net sales to range between $2.26-$2.34 billion and Adjusted EBITDA to range between $470-$500 million (resulting in net sales and Adjusted EBITDA growth of 13%-17% and 7%-14%, respectively, over fiscal year 2024). BellRing management expects fiscal year 2025 capital expenditures of approximately $9 million.</w:t>
      </w:r>
    </w:p>
    <w:p>
      <w:pPr>
        <w:spacing w:after="0" w:line="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reconciliations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May 6, 2025 at 9:00 a.m. EDT to discuss financial results for the second quarter of fiscal year 2025 and fiscal year 2025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registering in advance at the following link: BellRing Q2 2025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80"/>
          </w:cols>
          <w:pgMar w:left="300" w:top="73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and capital expenditures outlook for fiscal year 2025.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ind w:left="420" w:right="2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third-party contract manufacturers for the manufacture of most of its products, including one manufacturer for nearly half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6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(the “Spin-off”), including BellRing’s obligations under various agreements with Post;</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and/or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38" w:right="319" w:bottom="1440" w:gutter="0" w:footer="0" w:header="0"/>
        </w:sectPr>
      </w:pPr>
    </w:p>
    <w:bookmarkStart w:id="7" w:name="page8"/>
    <w:bookmarkEnd w:id="7"/>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 xml:space="preserve">BellRing Brands, Inc. (NYSE: BRBR) is a dynamic and fast-growing consumer brands business with the purpose of Changing Lives with Good Energy. Focused on growing the convenient nutrition category, the company’s brands include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the #1 ready-to-drink protein and convenient nutrition brand,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20"/>
          </w:cols>
          <w:pgMar w:left="300" w:top="642" w:right="3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62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494.6</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1,120.9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925.0</w:t>
            </w:r>
          </w:p>
        </w:tc>
      </w:tr>
      <w:tr>
        <w:trPr>
          <w:trHeight w:val="15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goods sold</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398.2</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330.3</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731.5</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612.7</w:t>
            </w:r>
          </w:p>
        </w:tc>
      </w:tr>
      <w:tr>
        <w:trPr>
          <w:trHeight w:val="14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164.3</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389.4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312.3</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170.6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8.4</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95.1</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210.4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164.0</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 net</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30.9</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179.5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43.9</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w:t>
            </w:r>
          </w:p>
        </w:tc>
      </w:tr>
      <w:tr>
        <w:trPr>
          <w:trHeight w:val="158"/>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135.6</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101.1</w:t>
            </w:r>
          </w:p>
        </w:tc>
      </w:tr>
      <w:tr>
        <w:trPr>
          <w:trHeight w:val="153"/>
        </w:trPr>
        <w:tc>
          <w:tcPr>
            <w:tcW w:w="6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0.46</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0.44</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1.06</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0.77</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220" w:type="dxa"/>
            <w:vAlign w:val="bottom"/>
          </w:tcPr>
          <w:p>
            <w:pPr>
              <w:spacing w:after="0"/>
              <w:rPr>
                <w:sz w:val="13"/>
                <w:szCs w:val="13"/>
                <w:color w:val="auto"/>
              </w:rPr>
            </w:pPr>
          </w:p>
        </w:tc>
        <w:tc>
          <w:tcPr>
            <w:tcW w:w="660" w:type="dxa"/>
            <w:vAlign w:val="bottom"/>
          </w:tcPr>
          <w:p>
            <w:pPr>
              <w:jc w:val="right"/>
              <w:ind w:right="521"/>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0.43</w:t>
            </w:r>
          </w:p>
        </w:tc>
        <w:tc>
          <w:tcPr>
            <w:tcW w:w="3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0.76</w:t>
            </w:r>
          </w:p>
        </w:tc>
      </w:tr>
      <w:tr>
        <w:trPr>
          <w:trHeight w:val="171"/>
        </w:trPr>
        <w:tc>
          <w:tcPr>
            <w:tcW w:w="6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131.0</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128.5</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w:t>
            </w:r>
          </w:p>
        </w:tc>
      </w:tr>
      <w:tr>
        <w:trPr>
          <w:trHeight w:val="155"/>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133.0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130.5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980"/>
          </w:cols>
          <w:pgMar w:left="460" w:top="638" w:right="4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6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60" w:type="dxa"/>
            <w:vAlign w:val="bottom"/>
            <w:tcBorders>
              <w:bottom w:val="single" w:sz="8" w:color="auto"/>
            </w:tcBorders>
          </w:tcPr>
          <w:p>
            <w:pPr>
              <w:spacing w:after="0"/>
              <w:rPr>
                <w:sz w:val="12"/>
                <w:szCs w:val="12"/>
                <w:color w:val="auto"/>
              </w:rPr>
            </w:pPr>
          </w:p>
        </w:tc>
      </w:tr>
      <w:tr>
        <w:trPr>
          <w:trHeight w:val="162"/>
        </w:trPr>
        <w:tc>
          <w:tcPr>
            <w:tcW w:w="406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jc w:val="center"/>
              <w:ind w:right="1262"/>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400" w:type="dxa"/>
            <w:vAlign w:val="bottom"/>
            <w:gridSpan w:val="2"/>
            <w:shd w:val="clear" w:color="auto" w:fill="CCEEFF"/>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w:t>
            </w: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220.4</w:t>
            </w: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385.3</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286.1</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0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42"/>
        </w:trPr>
        <w:tc>
          <w:tcPr>
            <w:tcW w:w="40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710.6</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592.7</w:t>
            </w:r>
          </w:p>
        </w:tc>
      </w:tr>
      <w:tr>
        <w:trPr>
          <w:trHeight w:val="144"/>
        </w:trPr>
        <w:tc>
          <w:tcPr>
            <w:tcW w:w="40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141.8</w:t>
            </w: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5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0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w:t>
            </w:r>
          </w:p>
        </w:tc>
      </w:tr>
      <w:tr>
        <w:trPr>
          <w:trHeight w:val="169"/>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0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947.5</w:t>
            </w:r>
          </w:p>
        </w:tc>
        <w:tc>
          <w:tcPr>
            <w:tcW w:w="3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837.0</w:t>
            </w:r>
          </w:p>
        </w:tc>
      </w:tr>
      <w:tr>
        <w:trPr>
          <w:trHeight w:val="320"/>
        </w:trPr>
        <w:tc>
          <w:tcPr>
            <w:tcW w:w="406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1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15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4400" w:type="dxa"/>
            <w:vAlign w:val="bottom"/>
            <w:gridSpan w:val="2"/>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0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r>
      <w:tr>
        <w:trPr>
          <w:trHeight w:val="142"/>
        </w:trPr>
        <w:tc>
          <w:tcPr>
            <w:tcW w:w="40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243.4</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203.7</w:t>
            </w:r>
          </w:p>
        </w:tc>
      </w:tr>
      <w:tr>
        <w:trPr>
          <w:trHeight w:val="144"/>
        </w:trPr>
        <w:tc>
          <w:tcPr>
            <w:tcW w:w="40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953.7</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833.1</w:t>
            </w: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0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2"/>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0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1,201.6</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1,042.9</w:t>
            </w:r>
          </w:p>
        </w:tc>
      </w:tr>
      <w:tr>
        <w:trPr>
          <w:trHeight w:val="144"/>
        </w:trPr>
        <w:tc>
          <w:tcPr>
            <w:tcW w:w="40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192.0</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0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(482.7)</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(299.0)</w:t>
            </w:r>
          </w:p>
        </w:tc>
      </w:tr>
      <w:tr>
        <w:trPr>
          <w:trHeight w:val="142"/>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08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(254.1)</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w:t>
            </w:r>
          </w:p>
        </w:tc>
      </w:tr>
      <w:tr>
        <w:trPr>
          <w:trHeight w:val="142"/>
        </w:trPr>
        <w:tc>
          <w:tcPr>
            <w:tcW w:w="40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080" w:type="dxa"/>
            <w:vAlign w:val="bottom"/>
          </w:tcPr>
          <w:p>
            <w:pPr>
              <w:spacing w:after="0"/>
              <w:rPr>
                <w:sz w:val="12"/>
                <w:szCs w:val="12"/>
                <w:color w:val="auto"/>
              </w:rPr>
            </w:pPr>
          </w:p>
        </w:tc>
        <w:tc>
          <w:tcPr>
            <w:tcW w:w="132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947.5</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837.0</w:t>
            </w:r>
          </w:p>
        </w:tc>
      </w:tr>
      <w:tr>
        <w:trPr>
          <w:trHeight w:val="20"/>
        </w:trPr>
        <w:tc>
          <w:tcPr>
            <w:tcW w:w="714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8460" w:type="dxa"/>
            <w:vAlign w:val="bottom"/>
            <w:gridSpan w:val="3"/>
          </w:tcPr>
          <w:p>
            <w:pPr>
              <w:jc w:val="center"/>
              <w:ind w:left="2680"/>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4060" w:type="dxa"/>
            <w:vAlign w:val="bottom"/>
          </w:tcPr>
          <w:p>
            <w:pPr>
              <w:spacing w:after="0"/>
              <w:rPr>
                <w:sz w:val="12"/>
                <w:szCs w:val="12"/>
                <w:color w:val="auto"/>
              </w:rPr>
            </w:pPr>
          </w:p>
        </w:tc>
        <w:tc>
          <w:tcPr>
            <w:tcW w:w="4400" w:type="dxa"/>
            <w:vAlign w:val="bottom"/>
            <w:gridSpan w:val="2"/>
          </w:tcPr>
          <w:p>
            <w:pPr>
              <w:jc w:val="center"/>
              <w:ind w:right="126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842"/>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c>
          <w:tcPr>
            <w:tcW w:w="460" w:type="dxa"/>
            <w:vAlign w:val="bottom"/>
            <w:tcBorders>
              <w:bottom w:val="single" w:sz="8" w:color="auto"/>
            </w:tcBorders>
          </w:tcPr>
          <w:p>
            <w:pPr>
              <w:spacing w:after="0"/>
              <w:rPr>
                <w:sz w:val="13"/>
                <w:szCs w:val="13"/>
                <w:color w:val="auto"/>
              </w:rPr>
            </w:pPr>
          </w:p>
        </w:tc>
      </w:tr>
      <w:tr>
        <w:trPr>
          <w:trHeight w:val="134"/>
        </w:trPr>
        <w:tc>
          <w:tcPr>
            <w:tcW w:w="4060" w:type="dxa"/>
            <w:vAlign w:val="bottom"/>
            <w:tcBorders>
              <w:bottom w:val="single" w:sz="8" w:color="CCEEFF"/>
            </w:tcBorders>
          </w:tcPr>
          <w:p>
            <w:pPr>
              <w:spacing w:after="0"/>
              <w:rPr>
                <w:sz w:val="11"/>
                <w:szCs w:val="11"/>
                <w:color w:val="auto"/>
              </w:rPr>
            </w:pPr>
          </w:p>
        </w:tc>
        <w:tc>
          <w:tcPr>
            <w:tcW w:w="30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r>
      <w:tr>
        <w:trPr>
          <w:trHeight w:val="134"/>
        </w:trPr>
        <w:tc>
          <w:tcPr>
            <w:tcW w:w="40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0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4400" w:type="dxa"/>
            <w:vAlign w:val="bottom"/>
            <w:gridSpan w:val="2"/>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w:t>
            </w:r>
          </w:p>
        </w:tc>
      </w:tr>
      <w:tr>
        <w:trPr>
          <w:trHeight w:val="15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0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53"/>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w:t>
            </w: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30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 increase in cash, cash equivalents and restricted cash</w:t>
            </w:r>
          </w:p>
        </w:tc>
        <w:tc>
          <w:tcPr>
            <w:tcW w:w="3080" w:type="dxa"/>
            <w:vAlign w:val="bottom"/>
          </w:tcPr>
          <w:p>
            <w:pPr>
              <w:spacing w:after="0"/>
              <w:rPr>
                <w:sz w:val="12"/>
                <w:szCs w:val="12"/>
                <w:color w:val="auto"/>
              </w:rPr>
            </w:pPr>
          </w:p>
        </w:tc>
        <w:tc>
          <w:tcPr>
            <w:tcW w:w="132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w:t>
            </w:r>
          </w:p>
        </w:tc>
      </w:tr>
      <w:tr>
        <w:trPr>
          <w:trHeight w:val="20"/>
        </w:trPr>
        <w:tc>
          <w:tcPr>
            <w:tcW w:w="4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20"/>
          </w:cols>
          <w:pgMar w:left="340" w:top="63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gross profit and Adjusted gross profit margin</w:t>
      </w:r>
    </w:p>
    <w:p>
      <w:pPr>
        <w:spacing w:after="0" w:line="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BellRing believes Adjusted gross profit is useful to investors in evaluating BellRing’s underlying profitability of its revenue-generating activities as it excludes mark-to-market adjustments on commodity hedges (which are primarily non-cash and not consistent across periods; see the explanation below for more information). BellRing believes Adjusted gross profit margin (Adjusted gross profit as a percentage of net sales) is useful to investors in evaluating BellRing’s operating performance because it allows for more meaningful comparison of operating performance across periods.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or the discontinuation of the use of certain brands in certain regions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right="30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Provision for legal matters</w:t>
      </w:r>
      <w:r>
        <w:rPr>
          <w:rFonts w:ascii="Times New Roman" w:cs="Times New Roman" w:eastAsia="Times New Roman" w:hAnsi="Times New Roman"/>
          <w:sz w:val="12"/>
          <w:szCs w:val="12"/>
          <w:color w:val="auto"/>
        </w:rPr>
        <w:t>: BellRing has excluded gains and losses recorded to recognize the anticipated or actual resolution of certain litigation as BellRing believes such gains and losses do not reflect expected ongoing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future operating income and expenses and do not contribute to a meaningful evaluation of BellRing’s current operating performance or comparisons of BellRing’s operating performance to other periods.</w:t>
      </w:r>
    </w:p>
    <w:p>
      <w:pPr>
        <w:ind w:left="420" w:right="48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200" w:hanging="212"/>
        <w:spacing w:after="0" w:line="26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amortization, and the following adjustments discussed above: mark-to-market adjustments on commodity hedges, provision for legal matters and foreign currency gain/loss on intercompany loans. Additionally, Adjusted EBITDA reflects an adjustment for the following item:</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80"/>
          </w:cols>
          <w:pgMar w:left="300" w:top="641" w:right="319" w:bottom="1440" w:gutter="0" w:footer="0" w:header="0"/>
        </w:sectPr>
      </w:pPr>
    </w:p>
    <w:bookmarkStart w:id="11" w:name="page12"/>
    <w:bookmarkEnd w:id="11"/>
    <w:p>
      <w:pPr>
        <w:ind w:left="420" w:hanging="212"/>
        <w:spacing w:after="0" w:line="258" w:lineRule="auto"/>
        <w:tabs>
          <w:tab w:leader="none" w:pos="41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RECONCILIATION OF GROSS PROFIT TO ADJUSTED GROSS PROFIT (Unaudited)</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60" w:type="dxa"/>
            <w:vAlign w:val="bottom"/>
          </w:tcPr>
          <w:p>
            <w:pPr>
              <w:spacing w:after="0"/>
              <w:rPr>
                <w:sz w:val="12"/>
                <w:szCs w:val="12"/>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61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189.8</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8"/>
              </w:rPr>
              <w:t>164.3</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389.4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312.3</w:t>
            </w:r>
          </w:p>
        </w:tc>
      </w:tr>
      <w:tr>
        <w:trPr>
          <w:trHeight w:val="153"/>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12.9</w:t>
            </w:r>
          </w:p>
        </w:tc>
        <w:tc>
          <w:tcPr>
            <w:tcW w:w="2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11.4</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2.7</w:t>
            </w:r>
          </w:p>
        </w:tc>
      </w:tr>
      <w:tr>
        <w:trPr>
          <w:trHeight w:val="162"/>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w:t>
            </w: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202.7</w:t>
            </w:r>
          </w:p>
        </w:tc>
        <w:tc>
          <w:tcPr>
            <w:tcW w:w="2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8"/>
              </w:rPr>
              <w:t>166.8</w:t>
            </w:r>
          </w:p>
        </w:tc>
        <w:tc>
          <w:tcPr>
            <w:tcW w:w="3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400.8</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315.0</w:t>
            </w:r>
          </w:p>
        </w:tc>
      </w:tr>
      <w:tr>
        <w:trPr>
          <w:trHeight w:val="149"/>
        </w:trPr>
        <w:tc>
          <w:tcPr>
            <w:tcW w:w="6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Profit as a percentage of Net Sales</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32.3 %</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33.2 %</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34.7 %</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33.8 %</w:t>
            </w:r>
          </w:p>
        </w:tc>
      </w:tr>
      <w:tr>
        <w:trPr>
          <w:trHeight w:val="15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 as a percentage of Net Sales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34.5 %</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33.7 %</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35.8 %</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20"/>
          </w:cols>
          <w:pgMar w:left="300" w:top="640" w:right="37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188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62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135.6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101.1</w:t>
            </w:r>
          </w:p>
        </w:tc>
      </w:tr>
      <w:tr>
        <w:trPr>
          <w:trHeight w:val="171"/>
        </w:trPr>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17.4</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w:t>
            </w: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(gain) loss on intercompany loans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12.3</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20.2</w:t>
            </w:r>
          </w:p>
        </w:tc>
      </w:tr>
      <w:tr>
        <w:trPr>
          <w:trHeight w:val="153"/>
        </w:trPr>
        <w:tc>
          <w:tcPr>
            <w:tcW w:w="62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6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32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144.9</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116.5</w:t>
            </w:r>
          </w:p>
        </w:tc>
      </w:tr>
      <w:tr>
        <w:trPr>
          <w:trHeight w:val="20"/>
        </w:trPr>
        <w:tc>
          <w:tcPr>
            <w:tcW w:w="6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40" w:hanging="130"/>
        <w:spacing w:after="0"/>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using a rate of 24.0%.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140" w:type="dxa"/>
            <w:vAlign w:val="bottom"/>
          </w:tcPr>
          <w:p>
            <w:pPr>
              <w:spacing w:after="0"/>
              <w:rPr>
                <w:sz w:val="11"/>
                <w:szCs w:val="11"/>
                <w:color w:val="auto"/>
              </w:rPr>
            </w:pPr>
          </w:p>
        </w:tc>
        <w:tc>
          <w:tcPr>
            <w:tcW w:w="4300" w:type="dxa"/>
            <w:vAlign w:val="bottom"/>
            <w:gridSpan w:val="4"/>
          </w:tcPr>
          <w:p>
            <w:pPr>
              <w:jc w:val="center"/>
              <w:ind w:left="346"/>
              <w:spacing w:after="0"/>
              <w:rPr>
                <w:sz w:val="20"/>
                <w:szCs w:val="20"/>
                <w:color w:val="auto"/>
              </w:rPr>
            </w:pPr>
            <w:r>
              <w:rPr>
                <w:rFonts w:ascii="Times New Roman" w:cs="Times New Roman" w:eastAsia="Times New Roman" w:hAnsi="Times New Roman"/>
                <w:sz w:val="11"/>
                <w:szCs w:val="11"/>
                <w:b w:val="1"/>
                <w:bCs w:val="1"/>
                <w:color w:val="auto"/>
                <w:w w:val="97"/>
              </w:rPr>
              <w:t>RECONCILIATION OF DILUTED EARNINGS PER COMMON SHARE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2"/>
        </w:trPr>
        <w:tc>
          <w:tcPr>
            <w:tcW w:w="3140" w:type="dxa"/>
            <w:vAlign w:val="bottom"/>
          </w:tcPr>
          <w:p>
            <w:pPr>
              <w:spacing w:after="0"/>
              <w:rPr>
                <w:sz w:val="12"/>
                <w:szCs w:val="12"/>
                <w:color w:val="auto"/>
              </w:rPr>
            </w:pPr>
          </w:p>
        </w:tc>
        <w:tc>
          <w:tcPr>
            <w:tcW w:w="4300" w:type="dxa"/>
            <w:vAlign w:val="bottom"/>
            <w:gridSpan w:val="4"/>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7"/>
              </w:rPr>
              <w:t>TO ADJUSTED DILUTED EARNINGS PER COMMON SHARE (Unaudited)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5"/>
        </w:trPr>
        <w:tc>
          <w:tcPr>
            <w:tcW w:w="3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40" w:type="dxa"/>
            <w:vAlign w:val="bottom"/>
          </w:tcPr>
          <w:p>
            <w:pPr>
              <w:spacing w:after="0"/>
              <w:rPr>
                <w:sz w:val="13"/>
                <w:szCs w:val="13"/>
                <w:color w:val="auto"/>
              </w:rPr>
            </w:pPr>
          </w:p>
        </w:tc>
        <w:tc>
          <w:tcPr>
            <w:tcW w:w="1980" w:type="dxa"/>
            <w:vAlign w:val="bottom"/>
            <w:gridSpan w:val="4"/>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3140" w:type="dxa"/>
            <w:vAlign w:val="bottom"/>
            <w:tcBorders>
              <w:bottom w:val="single" w:sz="8" w:color="CCEEFF"/>
            </w:tcBorders>
          </w:tcPr>
          <w:p>
            <w:pPr>
              <w:spacing w:after="0"/>
              <w:rPr>
                <w:sz w:val="11"/>
                <w:szCs w:val="11"/>
                <w:color w:val="auto"/>
              </w:rPr>
            </w:pPr>
          </w:p>
        </w:tc>
        <w:tc>
          <w:tcPr>
            <w:tcW w:w="3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0.45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0.43</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5"/>
              </w:rPr>
              <w:t>0.76</w:t>
            </w:r>
          </w:p>
        </w:tc>
      </w:tr>
      <w:tr>
        <w:trPr>
          <w:trHeight w:val="180"/>
        </w:trPr>
        <w:tc>
          <w:tcPr>
            <w:tcW w:w="31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3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80" w:type="dxa"/>
            <w:vAlign w:val="bottom"/>
          </w:tcPr>
          <w:p>
            <w:pPr>
              <w:jc w:val="center"/>
              <w:ind w:left="401"/>
              <w:spacing w:after="0"/>
              <w:rPr>
                <w:sz w:val="20"/>
                <w:szCs w:val="20"/>
                <w:color w:val="auto"/>
              </w:rPr>
            </w:pPr>
            <w:r>
              <w:rPr>
                <w:rFonts w:ascii="Times New Roman" w:cs="Times New Roman" w:eastAsia="Times New Roman" w:hAnsi="Times New Roman"/>
                <w:sz w:val="12"/>
                <w:szCs w:val="12"/>
                <w:color w:val="auto"/>
                <w:w w:val="95"/>
              </w:rPr>
              <w:t>0.13</w:t>
            </w:r>
          </w:p>
        </w:tc>
      </w:tr>
      <w:tr>
        <w:trPr>
          <w:trHeight w:val="153"/>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3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0.10</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0.02</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0.09</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5"/>
              </w:rPr>
              <w:t>0.02</w:t>
            </w:r>
          </w:p>
        </w:tc>
      </w:tr>
      <w:tr>
        <w:trPr>
          <w:trHeight w:val="142"/>
        </w:trPr>
        <w:tc>
          <w:tcPr>
            <w:tcW w:w="31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0.10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left="401"/>
              <w:spacing w:after="0"/>
              <w:rPr>
                <w:sz w:val="20"/>
                <w:szCs w:val="20"/>
                <w:color w:val="auto"/>
              </w:rPr>
            </w:pPr>
            <w:r>
              <w:rPr>
                <w:rFonts w:ascii="Times New Roman" w:cs="Times New Roman" w:eastAsia="Times New Roman" w:hAnsi="Times New Roman"/>
                <w:sz w:val="12"/>
                <w:szCs w:val="12"/>
                <w:color w:val="auto"/>
                <w:w w:val="95"/>
              </w:rPr>
              <w:t>0.15</w:t>
            </w:r>
          </w:p>
        </w:tc>
      </w:tr>
      <w:tr>
        <w:trPr>
          <w:trHeight w:val="153"/>
        </w:trPr>
        <w:tc>
          <w:tcPr>
            <w:tcW w:w="31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81"/>
              <w:spacing w:after="0"/>
              <w:rPr>
                <w:sz w:val="20"/>
                <w:szCs w:val="20"/>
                <w:color w:val="auto"/>
              </w:rPr>
            </w:pPr>
            <w:r>
              <w:rPr>
                <w:rFonts w:ascii="Times New Roman" w:cs="Times New Roman" w:eastAsia="Times New Roman" w:hAnsi="Times New Roman"/>
                <w:sz w:val="12"/>
                <w:szCs w:val="12"/>
                <w:color w:val="auto"/>
              </w:rPr>
              <w:t>(0.03)</w:t>
            </w:r>
          </w:p>
        </w:tc>
      </w:tr>
      <w:tr>
        <w:trPr>
          <w:trHeight w:val="124"/>
        </w:trPr>
        <w:tc>
          <w:tcPr>
            <w:tcW w:w="31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Common Share</w:t>
            </w:r>
          </w:p>
        </w:tc>
        <w:tc>
          <w:tcPr>
            <w:tcW w:w="3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0.53</w:t>
            </w:r>
          </w:p>
        </w:tc>
        <w:tc>
          <w:tcPr>
            <w:tcW w:w="22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0.45</w:t>
            </w:r>
          </w:p>
        </w:tc>
        <w:tc>
          <w:tcPr>
            <w:tcW w:w="32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1.11</w:t>
            </w:r>
          </w:p>
        </w:tc>
        <w:tc>
          <w:tcPr>
            <w:tcW w:w="22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center"/>
              <w:ind w:left="401"/>
              <w:spacing w:after="0" w:line="124" w:lineRule="exact"/>
              <w:rPr>
                <w:sz w:val="20"/>
                <w:szCs w:val="20"/>
                <w:color w:val="auto"/>
              </w:rPr>
            </w:pPr>
            <w:r>
              <w:rPr>
                <w:rFonts w:ascii="Times New Roman" w:cs="Times New Roman" w:eastAsia="Times New Roman" w:hAnsi="Times New Roman"/>
                <w:sz w:val="12"/>
                <w:szCs w:val="12"/>
                <w:color w:val="auto"/>
                <w:w w:val="95"/>
              </w:rPr>
              <w:t>0.88</w:t>
            </w:r>
          </w:p>
        </w:tc>
      </w:tr>
      <w:tr>
        <w:trPr>
          <w:trHeight w:val="20"/>
        </w:trPr>
        <w:tc>
          <w:tcPr>
            <w:tcW w:w="3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40" w:hanging="130"/>
        <w:spacing w:after="0"/>
        <w:tabs>
          <w:tab w:leader="none" w:pos="14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using a rate of 24.0%.</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980"/>
          </w:cols>
          <w:pgMar w:left="460" w:top="641" w:right="4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EBITDA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80" w:type="dxa"/>
            <w:vAlign w:val="bottom"/>
          </w:tcPr>
          <w:p>
            <w:pPr>
              <w:spacing w:after="0"/>
              <w:rPr>
                <w:sz w:val="12"/>
                <w:szCs w:val="1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61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58.7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57.2</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135.6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101.1</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19.9</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43.9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33.5</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16.5</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30.9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29.4</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amortization</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9.2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27.2</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12.0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10.2</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12.9</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11.4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2.7</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0.9</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(gain) loss on intercompany loans</w:t>
            </w:r>
          </w:p>
        </w:tc>
        <w:tc>
          <w:tcPr>
            <w:tcW w:w="64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(0.6)</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0.1</w:t>
            </w:r>
          </w:p>
        </w:tc>
      </w:tr>
      <w:tr>
        <w:trPr>
          <w:trHeight w:val="158"/>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64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8"/>
              </w:rPr>
              <w:t>118.6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103.7</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243.9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204.2</w:t>
            </w:r>
          </w:p>
        </w:tc>
      </w:tr>
      <w:tr>
        <w:trPr>
          <w:trHeight w:val="169"/>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as a percentage of Net Sales</w:t>
            </w: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12.1 %</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10.9 %</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20.2 %</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21.0 %</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21.8 %</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20"/>
          </w:cols>
          <w:pgMar w:left="340" w:top="749" w:right="33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2025-05-06T05:11:46Z</dcterms:created>
  <dcterms:modified xsi:type="dcterms:W3CDTF">2025-05-06T05:11:46Z</dcterms:modified>
</cp:coreProperties>
</file>