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079823100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8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23" w:lineRule="exact"/>
        <w:rPr>
          <w:sz w:val="20"/>
          <w:szCs w:val="20"/>
          <w:color w:val="auto"/>
        </w:rPr>
      </w:pPr>
    </w:p>
    <w:p>
      <w:pPr>
        <w:ind w:left="4"/>
        <w:spacing w:after="0"/>
        <w:tabs>
          <w:tab w:leader="none" w:pos="9724"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2 of 5 Pages</w:t>
      </w:r>
    </w:p>
    <w:p>
      <w:pPr>
        <w:spacing w:after="0" w:line="157"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GIC Private Limited</w:t>
      </w:r>
    </w:p>
    <w:p>
      <w:pPr>
        <w:spacing w:after="0" w:line="24"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Republic of Singapore</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6" w:hanging="386"/>
        <w:spacing w:after="0"/>
        <w:tabs>
          <w:tab w:leader="none" w:pos="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389,227</w:t>
      </w:r>
    </w:p>
    <w:p>
      <w:pPr>
        <w:spacing w:after="0" w:line="24" w:lineRule="exact"/>
        <w:rPr>
          <w:sz w:val="20"/>
          <w:szCs w:val="20"/>
          <w:color w:val="auto"/>
        </w:rPr>
      </w:pPr>
    </w:p>
    <w:p>
      <w:pPr>
        <w:ind w:left="386" w:hanging="386"/>
        <w:spacing w:after="0"/>
        <w:tabs>
          <w:tab w:leader="none" w:pos="386"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70,973</w:t>
      </w:r>
    </w:p>
    <w:p>
      <w:pPr>
        <w:spacing w:after="0" w:line="24" w:lineRule="exact"/>
        <w:rPr>
          <w:sz w:val="20"/>
          <w:szCs w:val="20"/>
          <w:color w:val="auto"/>
        </w:rPr>
      </w:pPr>
    </w:p>
    <w:p>
      <w:pPr>
        <w:ind w:left="386" w:hanging="386"/>
        <w:spacing w:after="0"/>
        <w:tabs>
          <w:tab w:leader="none" w:pos="3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06"/>
        <w:spacing w:after="0"/>
        <w:rPr>
          <w:sz w:val="20"/>
          <w:szCs w:val="20"/>
          <w:color w:val="auto"/>
        </w:rPr>
      </w:pPr>
      <w:r>
        <w:rPr>
          <w:rFonts w:ascii="Arial" w:cs="Arial" w:eastAsia="Arial" w:hAnsi="Arial"/>
          <w:sz w:val="22"/>
          <w:szCs w:val="22"/>
          <w:color w:val="auto"/>
        </w:rPr>
        <w:t>389,227</w:t>
      </w:r>
    </w:p>
    <w:p>
      <w:pPr>
        <w:spacing w:after="0" w:line="24" w:lineRule="exact"/>
        <w:rPr>
          <w:sz w:val="20"/>
          <w:szCs w:val="20"/>
          <w:color w:val="auto"/>
        </w:rPr>
      </w:pPr>
    </w:p>
    <w:p>
      <w:pPr>
        <w:ind w:left="386" w:hanging="386"/>
        <w:spacing w:after="0"/>
        <w:tabs>
          <w:tab w:leader="none" w:pos="3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06"/>
        <w:spacing w:after="0"/>
        <w:rPr>
          <w:sz w:val="20"/>
          <w:szCs w:val="20"/>
          <w:color w:val="auto"/>
        </w:rPr>
      </w:pPr>
      <w:r>
        <w:rPr>
          <w:rFonts w:ascii="Arial" w:cs="Arial" w:eastAsia="Arial" w:hAnsi="Arial"/>
          <w:sz w:val="22"/>
          <w:szCs w:val="22"/>
          <w:color w:val="auto"/>
        </w:rPr>
        <w:t>70,973</w:t>
      </w:r>
    </w:p>
    <w:p>
      <w:pPr>
        <w:spacing w:after="0" w:line="24" w:lineRule="exact"/>
        <w:rPr>
          <w:sz w:val="20"/>
          <w:szCs w:val="20"/>
          <w:color w:val="auto"/>
        </w:rPr>
      </w:pPr>
    </w:p>
    <w:p>
      <w:pPr>
        <w:sectPr>
          <w:pgSz w:w="11900" w:h="16838" w:orient="portrait"/>
          <w:cols w:equalWidth="0" w:num="2">
            <w:col w:w="1524" w:space="294"/>
            <w:col w:w="9206"/>
          </w:cols>
          <w:pgMar w:left="436" w:top="274" w:right="439" w:bottom="1440" w:gutter="0" w:footer="0" w:header="0"/>
          <w:type w:val="continuous"/>
        </w:sectPr>
      </w:pPr>
    </w:p>
    <w:p>
      <w:pPr>
        <w:ind w:left="604" w:hanging="357"/>
        <w:spacing w:after="0"/>
        <w:tabs>
          <w:tab w:leader="none" w:pos="6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460,200</w:t>
      </w:r>
    </w:p>
    <w:p>
      <w:pPr>
        <w:spacing w:after="0" w:line="24"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p>
    <w:p>
      <w:pPr>
        <w:spacing w:after="0" w:line="218" w:lineRule="exact"/>
        <w:rPr>
          <w:sz w:val="20"/>
          <w:szCs w:val="20"/>
          <w:color w:val="auto"/>
        </w:rPr>
      </w:pPr>
    </w:p>
    <w:p>
      <w:pPr>
        <w:ind w:left="64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 xml:space="preserve">1.17% </w:t>
      </w:r>
      <w:r>
        <w:rPr>
          <w:rFonts w:ascii="Arial" w:cs="Arial" w:eastAsia="Arial" w:hAnsi="Arial"/>
          <w:sz w:val="18"/>
          <w:szCs w:val="18"/>
          <w:color w:val="auto"/>
        </w:rPr>
        <w:t>(1)</w:t>
      </w:r>
    </w:p>
    <w:p>
      <w:pPr>
        <w:spacing w:after="0" w:line="24" w:lineRule="exact"/>
        <w:rPr>
          <w:sz w:val="20"/>
          <w:szCs w:val="20"/>
          <w:color w:val="auto"/>
        </w:rPr>
      </w:pPr>
    </w:p>
    <w:p>
      <w:pPr>
        <w:ind w:left="164"/>
        <w:spacing w:after="0"/>
        <w:tabs>
          <w:tab w:leader="none" w:pos="584" w:val="left"/>
        </w:tabs>
        <w:rPr>
          <w:sz w:val="20"/>
          <w:szCs w:val="20"/>
          <w:color w:val="auto"/>
        </w:rPr>
      </w:pPr>
      <w:r>
        <w:rPr>
          <w:rFonts w:ascii="Arial" w:cs="Arial" w:eastAsia="Arial" w:hAnsi="Arial"/>
          <w:sz w:val="18"/>
          <w:szCs w:val="18"/>
          <w:color w:val="auto"/>
        </w:rPr>
        <w:t>12</w:t>
        <w:tab/>
        <w:t>TYPE OF REPORTING PERSON (See Instructions)</w:t>
      </w:r>
    </w:p>
    <w:p>
      <w:pPr>
        <w:spacing w:after="0" w:line="24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3" w:lineRule="exact"/>
        <w:rPr>
          <w:sz w:val="20"/>
          <w:szCs w:val="20"/>
          <w:color w:val="auto"/>
        </w:rPr>
      </w:pPr>
    </w:p>
    <w:p>
      <w:pPr>
        <w:ind w:left="424" w:right="60" w:hanging="424"/>
        <w:spacing w:after="0" w:line="277" w:lineRule="auto"/>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39,428,571 Class A Shares outstanding as of November 16, 2020, according to the Form 10-K filed by the Issuer with the Securities and Exchange Commission on November 20, 2020.</w:t>
      </w:r>
    </w:p>
    <w:p>
      <w:pPr>
        <w:sectPr>
          <w:pgSz w:w="11900" w:h="16838" w:orient="portrait"/>
          <w:cols w:equalWidth="0" w:num="1">
            <w:col w:w="11024"/>
          </w:cols>
          <w:pgMar w:left="436" w:top="274" w:right="439" w:bottom="1440" w:gutter="0" w:footer="0" w:header="0"/>
          <w:type w:val="continuous"/>
        </w:sectPr>
      </w:pPr>
    </w:p>
    <w:bookmarkStart w:id="2" w:name="page3"/>
    <w:bookmarkEnd w:id="2"/>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p>
    <w:p>
      <w:pPr>
        <w:spacing w:after="0" w:line="23" w:lineRule="exact"/>
        <w:rPr>
          <w:sz w:val="20"/>
          <w:szCs w:val="20"/>
          <w:color w:val="auto"/>
        </w:rPr>
      </w:pPr>
    </w:p>
    <w:p>
      <w:pPr>
        <w:ind w:left="4"/>
        <w:spacing w:after="0"/>
        <w:tabs>
          <w:tab w:leader="none" w:pos="9724"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3 of 5 Pages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BellRing Brands, Inc.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St. Louis, Missouri 63144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GIC Private Limited (“GIC”)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Class A common stock, par value $0.01 per share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079823100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3 If this statement in filed pursuant to §§240.13d-1(b), or 13d-2(b) or (c), check whether the person filing is 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(a – c) 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2400" w:type="dxa"/>
            <w:vAlign w:val="bottom"/>
            <w:vMerge w:val="restart"/>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of Securities</w:t>
            </w: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4"/>
          </w:tcPr>
          <w:p>
            <w:pPr>
              <w:ind w:left="560"/>
              <w:spacing w:after="0"/>
              <w:rPr>
                <w:sz w:val="20"/>
                <w:szCs w:val="20"/>
                <w:color w:val="auto"/>
              </w:rPr>
            </w:pPr>
            <w:r>
              <w:rPr>
                <w:rFonts w:ascii="Arial" w:cs="Arial" w:eastAsia="Arial" w:hAnsi="Arial"/>
                <w:sz w:val="14"/>
                <w:szCs w:val="14"/>
                <w:b w:val="1"/>
                <w:bCs w:val="1"/>
                <w:color w:val="auto"/>
              </w:rPr>
              <w:t>Voting Power</w:t>
            </w:r>
          </w:p>
        </w:tc>
        <w:tc>
          <w:tcPr>
            <w:tcW w:w="2040" w:type="dxa"/>
            <w:vAlign w:val="bottom"/>
            <w:gridSpan w:val="4"/>
          </w:tcPr>
          <w:p>
            <w:pPr>
              <w:ind w:left="440"/>
              <w:spacing w:after="0"/>
              <w:rPr>
                <w:sz w:val="20"/>
                <w:szCs w:val="20"/>
                <w:color w:val="auto"/>
              </w:rPr>
            </w:pPr>
            <w:r>
              <w:rPr>
                <w:rFonts w:ascii="Arial" w:cs="Arial" w:eastAsia="Arial" w:hAnsi="Arial"/>
                <w:sz w:val="14"/>
                <w:szCs w:val="14"/>
                <w:b w:val="1"/>
                <w:bCs w:val="1"/>
                <w:color w:val="auto"/>
              </w:rPr>
              <w:t>Dispositive Power</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15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1"/>
              </w:rPr>
              <w:t>Beneficially Owned</w:t>
            </w:r>
          </w:p>
        </w:tc>
        <w:tc>
          <w:tcPr>
            <w:tcW w:w="15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Percent of Class (3)</w:t>
            </w:r>
          </w:p>
        </w:tc>
        <w:tc>
          <w:tcPr>
            <w:tcW w:w="108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Sole (1), (2)</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Shared (1), (2)</w:t>
            </w:r>
          </w:p>
        </w:tc>
        <w:tc>
          <w:tcPr>
            <w:tcW w:w="38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Sole (1), (2)</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Shared (1),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GIC Private Limited</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460,200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389,227</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70,973</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389,227</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70,973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00" w:hanging="424"/>
        <w:spacing w:after="0" w:line="279"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As such, GIC has the sole power to vote and power to dispose of the 389,227 securities beneficially owned by it. GIC shares power to vote and dispose of 70,973 securities beneficially owned by it with MAS.</w:t>
      </w:r>
    </w:p>
    <w:p>
      <w:pPr>
        <w:sectPr>
          <w:pgSz w:w="11900" w:h="16838" w:orient="portrait"/>
          <w:cols w:equalWidth="0" w:num="1">
            <w:col w:w="11024"/>
          </w:cols>
          <w:pgMar w:left="436" w:top="274" w:right="439" w:bottom="1440" w:gutter="0" w:footer="0" w:header="0"/>
        </w:sectPr>
      </w:pPr>
    </w:p>
    <w:bookmarkStart w:id="3" w:name="page4"/>
    <w:bookmarkEnd w:id="3"/>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23" w:lineRule="exact"/>
        <w:rPr>
          <w:sz w:val="20"/>
          <w:szCs w:val="20"/>
          <w:color w:val="auto"/>
        </w:rPr>
      </w:pPr>
    </w:p>
    <w:p>
      <w:pPr>
        <w:ind w:left="4"/>
        <w:spacing w:after="0"/>
        <w:tabs>
          <w:tab w:leader="none" w:pos="9724"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4 of 5 Pages</w:t>
      </w:r>
    </w:p>
    <w:p>
      <w:pPr>
        <w:spacing w:after="0" w:line="143"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23" w:lineRule="exact"/>
        <w:rPr>
          <w:rFonts w:ascii="Arial" w:cs="Arial" w:eastAsia="Arial" w:hAnsi="Arial"/>
          <w:sz w:val="18"/>
          <w:szCs w:val="18"/>
          <w:color w:val="auto"/>
        </w:rPr>
      </w:pPr>
    </w:p>
    <w:p>
      <w:pPr>
        <w:ind w:left="424" w:right="60" w:hanging="424"/>
        <w:spacing w:after="0" w:line="260"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39,428,571 Class A Shares outstanding as of November 16, 2020, according to the Form 10-K filed by the Issuer with the Securities and Exchange Commission on November 20,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1.17%</w:t>
      </w:r>
    </w:p>
    <w:p>
      <w:pPr>
        <w:spacing w:after="0" w:line="329" w:lineRule="exact"/>
        <w:rPr>
          <w:sz w:val="20"/>
          <w:szCs w:val="20"/>
          <w:color w:val="auto"/>
        </w:rPr>
      </w:pPr>
    </w:p>
    <w:p>
      <w:pPr>
        <w:ind w:left="4"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left="4" w:right="36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274" w:right="439" w:bottom="1440" w:gutter="0" w:footer="0" w:header="0"/>
        </w:sectPr>
      </w:pPr>
    </w:p>
    <w:bookmarkStart w:id="4" w:name="page5"/>
    <w:bookmarkEnd w:id="4"/>
    <w:p>
      <w:pPr>
        <w:jc w:val="cente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p>
    <w:p>
      <w:pPr>
        <w:spacing w:after="0" w:line="23"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5 of 5 Pages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of February 12,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Celine Loh Sze Ling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Celine Loh Sze Ling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Toh Tze Meng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Toh Tze Meng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5"/>
      <w:numFmt w:val="bullet"/>
      <w:start w:val="1"/>
    </w:lvl>
  </w:abstractNum>
  <w:abstractNum w:abstractNumId="8">
    <w:nsid w:val="66EF438D"/>
    <w:multiLevelType w:val="hybridMultilevel"/>
    <w:lvl w:ilvl="0">
      <w:lvlJc w:val="left"/>
      <w:lvlText w:val="6"/>
      <w:numFmt w:val="bullet"/>
      <w:start w:val="1"/>
    </w:lvl>
  </w:abstractNum>
  <w:abstractNum w:abstractNumId="9">
    <w:nsid w:val="140E0F76"/>
    <w:multiLevelType w:val="hybridMultilevel"/>
    <w:lvl w:ilvl="0">
      <w:lvlJc w:val="left"/>
      <w:lvlText w:val="7"/>
      <w:numFmt w:val="bullet"/>
      <w:start w:val="1"/>
    </w:lvl>
  </w:abstractNum>
  <w:abstractNum w:abstractNumId="10">
    <w:nsid w:val="3352255A"/>
    <w:multiLevelType w:val="hybridMultilevel"/>
    <w:lvl w:ilvl="0">
      <w:lvlJc w:val="left"/>
      <w:lvlText w:val="8"/>
      <w:numFmt w:val="bullet"/>
      <w:start w:val="1"/>
    </w:lvl>
  </w:abstractNum>
  <w:abstractNum w:abstractNumId="11">
    <w:nsid w:val="109CF92E"/>
    <w:multiLevelType w:val="hybridMultilevel"/>
    <w:lvl w:ilvl="0">
      <w:lvlJc w:val="left"/>
      <w:lvlText w:val="9"/>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2021-02-12T15:35:56Z</dcterms:created>
  <dcterms:modified xsi:type="dcterms:W3CDTF">2021-02-12T15:35:56Z</dcterms:modified>
</cp:coreProperties>
</file>