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499890d425.htm"/>
      <w:bookmarkStart w:id="1" w:name="ksd499890d425"/>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FORM 8-K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4"/>
        </w:rPr>
      </w:pPr>
      <w:r>
        <w:rPr>
          <w:rFonts w:ascii="Times New Roman" w:hAnsi="Times New Roman"/>
          <w:b/>
          <w:sz w:val="24"/>
        </w:rPr>
        <w:t xml:space="preserve">CURRENT REPORT </w:t>
      </w:r>
    </w:p>
    <w:p>
      <w:pPr>
        <w:pStyle w:val="TextBody"/>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spacing w:before="240" w:after="0"/>
        <w:jc w:val="center"/>
        <w:rPr>
          <w:rFonts w:ascii="Times New Roman" w:hAnsi="Times New Roman"/>
          <w:b/>
          <w:sz w:val="24"/>
        </w:rPr>
      </w:pPr>
      <w:r>
        <w:rPr>
          <w:rFonts w:ascii="Times New Roman" w:hAnsi="Times New Roman"/>
          <w:b/>
          <w:sz w:val="24"/>
        </w:rPr>
        <w:t xml:space="preserve">Date of Report (Date of earliest event reported): February 28, 2022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p>
      <w:pPr>
        <w:pStyle w:val="TextBody"/>
        <w:spacing w:before="0" w:after="0"/>
        <w:jc w:val="center"/>
        <w:rPr/>
      </w:pPr>
      <w:r>
        <w:rPr/>
        <w:drawing>
          <wp:inline distT="0" distB="0" distL="0" distR="0">
            <wp:extent cx="129540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95400" cy="628650"/>
                    </a:xfrm>
                    <a:prstGeom prst="rect">
                      <a:avLst/>
                    </a:prstGeom>
                  </pic:spPr>
                </pic:pic>
              </a:graphicData>
            </a:graphic>
          </wp:inline>
        </w:drawing>
      </w:r>
      <w:r>
        <w:rPr/>
        <w:t xml:space="preserve"> </w:t>
      </w:r>
    </w:p>
    <w:p>
      <w:pPr>
        <w:pStyle w:val="TextBody"/>
        <w:spacing w:before="0" w:after="0"/>
        <w:jc w:val="center"/>
        <w:rPr>
          <w:rFonts w:ascii="Times New Roman" w:hAnsi="Times New Roman"/>
          <w:b/>
          <w:sz w:val="48"/>
        </w:rPr>
      </w:pPr>
      <w:r>
        <w:rPr>
          <w:rFonts w:ascii="Times New Roman" w:hAnsi="Times New Roman"/>
          <w:b/>
          <w:sz w:val="48"/>
        </w:rPr>
        <w:t xml:space="preserve">BellRing Brands, Inc.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1"/>
        <w:gridCol w:w="3266"/>
        <w:gridCol w:w="101"/>
        <w:gridCol w:w="3266"/>
      </w:tblGrid>
      <w:tr>
        <w:trPr/>
        <w:tc>
          <w:tcPr>
            <w:tcW w:w="347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jc w:val="center"/>
              <w:rPr>
                <w:b/>
              </w:rPr>
            </w:pPr>
            <w:r>
              <w:rPr>
                <w:b/>
              </w:rPr>
              <w:t>Delaware</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001-39093</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83-4096323</w:t>
            </w:r>
          </w:p>
        </w:tc>
      </w:tr>
      <w:tr>
        <w:trPr/>
        <w:tc>
          <w:tcPr>
            <w:tcW w:w="3471"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449"/>
        <w:gridCol w:w="101"/>
        <w:gridCol w:w="2450"/>
        <w:gridCol w:w="101"/>
        <w:gridCol w:w="2553"/>
        <w:gridCol w:w="101"/>
        <w:gridCol w:w="2450"/>
      </w:tblGrid>
      <w:tr>
        <w:trPr/>
        <w:tc>
          <w:tcPr>
            <w:tcW w:w="244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45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553"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450" w:type="dxa"/>
            <w:tcBorders/>
            <w:shd w:fill="auto" w:val="clear"/>
            <w:vAlign w:val="center"/>
          </w:tcPr>
          <w:p>
            <w:pPr>
              <w:pStyle w:val="TableContents"/>
              <w:spacing w:before="0" w:after="283"/>
              <w:rPr>
                <w:sz w:val="4"/>
                <w:szCs w:val="4"/>
              </w:rPr>
            </w:pPr>
            <w:r>
              <w:rPr>
                <w:sz w:val="4"/>
                <w:szCs w:val="4"/>
              </w:rPr>
            </w:r>
          </w:p>
        </w:tc>
      </w:tr>
      <w:tr>
        <w:trPr/>
        <w:tc>
          <w:tcPr>
            <w:tcW w:w="2449" w:type="dxa"/>
            <w:tcBorders/>
            <w:shd w:fill="auto" w:val="clear"/>
          </w:tcPr>
          <w:p>
            <w:pPr>
              <w:pStyle w:val="TableContents"/>
              <w:spacing w:before="0" w:after="283"/>
              <w:jc w:val="center"/>
              <w:rPr>
                <w:b/>
              </w:rPr>
            </w:pPr>
            <w:r>
              <w:rPr>
                <w:b/>
              </w:rPr>
              <w:t>2503 S. Hanley Road</w:t>
            </w:r>
          </w:p>
        </w:tc>
        <w:tc>
          <w:tcPr>
            <w:tcW w:w="101" w:type="dxa"/>
            <w:tcBorders/>
            <w:shd w:fill="auto" w:val="clear"/>
            <w:vAlign w:val="bottom"/>
          </w:tcPr>
          <w:p>
            <w:pPr>
              <w:pStyle w:val="TableContents"/>
              <w:spacing w:before="0" w:after="283"/>
              <w:rPr/>
            </w:pPr>
            <w:r>
              <w:rPr/>
              <w:t> </w:t>
            </w:r>
          </w:p>
        </w:tc>
        <w:tc>
          <w:tcPr>
            <w:tcW w:w="2450" w:type="dxa"/>
            <w:tcBorders/>
            <w:shd w:fill="auto" w:val="clear"/>
          </w:tcPr>
          <w:p>
            <w:pPr>
              <w:pStyle w:val="TableContents"/>
              <w:spacing w:before="0" w:after="283"/>
              <w:jc w:val="center"/>
              <w:rPr>
                <w:b/>
              </w:rPr>
            </w:pPr>
            <w:r>
              <w:rPr>
                <w:b/>
              </w:rPr>
              <w:t>St. Louis</w:t>
            </w:r>
          </w:p>
        </w:tc>
        <w:tc>
          <w:tcPr>
            <w:tcW w:w="101" w:type="dxa"/>
            <w:tcBorders/>
            <w:shd w:fill="auto" w:val="clear"/>
            <w:vAlign w:val="bottom"/>
          </w:tcPr>
          <w:p>
            <w:pPr>
              <w:pStyle w:val="TableContents"/>
              <w:spacing w:before="0" w:after="283"/>
              <w:rPr/>
            </w:pPr>
            <w:r>
              <w:rPr/>
              <w:t> </w:t>
            </w:r>
          </w:p>
        </w:tc>
        <w:tc>
          <w:tcPr>
            <w:tcW w:w="2553" w:type="dxa"/>
            <w:tcBorders/>
            <w:shd w:fill="auto" w:val="clear"/>
          </w:tcPr>
          <w:p>
            <w:pPr>
              <w:pStyle w:val="TableContents"/>
              <w:spacing w:before="0" w:after="283"/>
              <w:jc w:val="center"/>
              <w:rPr>
                <w:b/>
              </w:rPr>
            </w:pPr>
            <w:r>
              <w:rPr>
                <w:b/>
              </w:rPr>
              <w:t>Missouri</w:t>
            </w:r>
          </w:p>
        </w:tc>
        <w:tc>
          <w:tcPr>
            <w:tcW w:w="101" w:type="dxa"/>
            <w:tcBorders/>
            <w:shd w:fill="auto" w:val="clear"/>
            <w:vAlign w:val="bottom"/>
          </w:tcPr>
          <w:p>
            <w:pPr>
              <w:pStyle w:val="TableContents"/>
              <w:spacing w:before="0" w:after="283"/>
              <w:rPr/>
            </w:pPr>
            <w:r>
              <w:rPr/>
              <w:t> </w:t>
            </w:r>
          </w:p>
        </w:tc>
        <w:tc>
          <w:tcPr>
            <w:tcW w:w="2450" w:type="dxa"/>
            <w:tcBorders/>
            <w:shd w:fill="auto" w:val="clear"/>
          </w:tcPr>
          <w:p>
            <w:pPr>
              <w:pStyle w:val="TableContents"/>
              <w:spacing w:before="0" w:after="283"/>
              <w:jc w:val="center"/>
              <w:rPr>
                <w:b/>
              </w:rPr>
            </w:pPr>
            <w:r>
              <w:rPr>
                <w:b/>
              </w:rPr>
              <w:t>63144</w:t>
            </w:r>
          </w:p>
        </w:tc>
      </w:tr>
      <w:tr>
        <w:trPr/>
        <w:tc>
          <w:tcPr>
            <w:tcW w:w="7654" w:type="dxa"/>
            <w:gridSpan w:val="5"/>
            <w:tcBorders/>
            <w:shd w:fill="auto" w:val="clear"/>
          </w:tcPr>
          <w:p>
            <w:pPr>
              <w:pStyle w:val="TableContents"/>
              <w:spacing w:before="0" w:after="283"/>
              <w:jc w:val="center"/>
              <w:rPr>
                <w:b/>
              </w:rPr>
            </w:pPr>
            <w:r>
              <w:rPr>
                <w:b/>
              </w:rPr>
              <w:t>(Address of Principal Executive Offices)</w:t>
            </w:r>
          </w:p>
        </w:tc>
        <w:tc>
          <w:tcPr>
            <w:tcW w:w="101" w:type="dxa"/>
            <w:tcBorders/>
            <w:shd w:fill="auto" w:val="clear"/>
            <w:vAlign w:val="bottom"/>
          </w:tcPr>
          <w:p>
            <w:pPr>
              <w:pStyle w:val="TableContents"/>
              <w:spacing w:before="0" w:after="283"/>
              <w:rPr/>
            </w:pPr>
            <w:r>
              <w:rPr/>
              <w:t> </w:t>
            </w:r>
          </w:p>
        </w:tc>
        <w:tc>
          <w:tcPr>
            <w:tcW w:w="2450" w:type="dxa"/>
            <w:tcBorders/>
            <w:shd w:fill="auto" w:val="clear"/>
          </w:tcPr>
          <w:p>
            <w:pPr>
              <w:pStyle w:val="TableContents"/>
              <w:spacing w:before="0" w:after="283"/>
              <w:jc w:val="center"/>
              <w:rPr>
                <w:b/>
              </w:rPr>
            </w:pPr>
            <w:r>
              <w:rPr>
                <w:b/>
              </w:rPr>
              <w:t>(Zip Code)</w:t>
            </w:r>
          </w:p>
        </w:tc>
      </w:tr>
    </w:tbl>
    <w:p>
      <w:pPr>
        <w:pStyle w:val="TextBody"/>
        <w:spacing w:before="240" w:after="0"/>
        <w:jc w:val="center"/>
        <w:rPr>
          <w:rFonts w:ascii="Times New Roman" w:hAnsi="Times New Roman"/>
          <w:b/>
          <w:sz w:val="20"/>
        </w:rPr>
      </w:pPr>
      <w:r>
        <w:rPr>
          <w:rFonts w:ascii="Times New Roman" w:hAnsi="Times New Roman"/>
          <w:b/>
          <w:sz w:val="20"/>
        </w:rPr>
        <w:t xml:space="preserve">Registrants telephone number, including area code: (314) 644-7600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0"/>
        <w:gridCol w:w="101"/>
        <w:gridCol w:w="3266"/>
        <w:gridCol w:w="101"/>
        <w:gridCol w:w="3267"/>
      </w:tblGrid>
      <w:tr>
        <w:trPr/>
        <w:tc>
          <w:tcPr>
            <w:tcW w:w="3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101" w:type="dxa"/>
            <w:tcBorders/>
            <w:shd w:fill="auto" w:val="clear"/>
            <w:vAlign w:val="bottom"/>
          </w:tcPr>
          <w:p>
            <w:pPr>
              <w:pStyle w:val="TableContents"/>
              <w:spacing w:before="0" w:after="283"/>
              <w:rPr/>
            </w:pPr>
            <w:r>
              <w:rPr/>
              <w:t> </w:t>
            </w:r>
          </w:p>
        </w:tc>
        <w:tc>
          <w:tcPr>
            <w:tcW w:w="3266" w:type="dxa"/>
            <w:tcBorders>
              <w:bottom w:val="single" w:sz="8"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Trading</w:t>
            </w:r>
          </w:p>
          <w:p>
            <w:pPr>
              <w:pStyle w:val="TableContents"/>
              <w:spacing w:before="0" w:after="20"/>
              <w:jc w:val="center"/>
              <w:rPr>
                <w:rFonts w:ascii="Times New Roman" w:hAnsi="Times New Roman"/>
                <w:b/>
                <w:sz w:val="16"/>
              </w:rPr>
            </w:pPr>
            <w:r>
              <w:rPr>
                <w:rFonts w:ascii="Times New Roman" w:hAnsi="Times New Roman"/>
                <w:b/>
                <w:sz w:val="16"/>
              </w:rPr>
              <w:t>Symbol(s)</w:t>
            </w:r>
          </w:p>
        </w:tc>
        <w:tc>
          <w:tcPr>
            <w:tcW w:w="101" w:type="dxa"/>
            <w:tcBorders/>
            <w:shd w:fill="auto" w:val="clear"/>
            <w:vAlign w:val="bottom"/>
          </w:tcPr>
          <w:p>
            <w:pPr>
              <w:pStyle w:val="TableContents"/>
              <w:spacing w:before="0" w:after="283"/>
              <w:rPr/>
            </w:pPr>
            <w:r>
              <w:rPr/>
              <w:t> </w:t>
            </w:r>
          </w:p>
        </w:tc>
        <w:tc>
          <w:tcPr>
            <w:tcW w:w="3267" w:type="dxa"/>
            <w:tcBorders>
              <w:bottom w:val="single" w:sz="8"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3470" w:type="dxa"/>
            <w:tcBorders/>
            <w:shd w:fill="auto" w:val="clear"/>
          </w:tcPr>
          <w:p>
            <w:pPr>
              <w:pStyle w:val="TableContents"/>
              <w:spacing w:before="0" w:after="283"/>
              <w:jc w:val="center"/>
              <w:rPr>
                <w:b/>
              </w:rPr>
            </w:pPr>
            <w:r>
              <w:rPr>
                <w:b/>
              </w:rPr>
              <w:t>Class A Common Stock, $0.01 par value per share</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BRBR</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b/>
              </w:rPr>
            </w:pPr>
            <w:r>
              <w:rPr>
                <w:b/>
              </w:rPr>
              <w:t>New York Stock Exchange</w:t>
            </w:r>
          </w:p>
        </w:tc>
      </w:tr>
    </w:tbl>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spacing w:before="240" w:after="0"/>
        <w:jc w:val="left"/>
        <w:rPr>
          <w:rFonts w:ascii="Times New Roman" w:hAnsi="Times New Roman"/>
          <w:sz w:val="20"/>
        </w:rPr>
      </w:pPr>
      <w:r>
        <w:rPr>
          <w:rFonts w:ascii="Times New Roman" w:hAnsi="Times New Roman"/>
          <w:sz w:val="20"/>
        </w:rPr>
        <w:t>Emerging growth company  ☐</w:t>
      </w:r>
    </w:p>
    <w:p>
      <w:pPr>
        <w:pStyle w:val="TextBody"/>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jc w:val="left"/>
              <w:rPr>
                <w:b/>
              </w:rPr>
            </w:pPr>
            <w:r>
              <w:rPr>
                <w:b/>
              </w:rPr>
              <w:t>Item 8.01.</w:t>
            </w:r>
          </w:p>
        </w:tc>
        <w:tc>
          <w:tcPr>
            <w:tcW w:w="918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spacing w:before="120" w:after="0"/>
        <w:jc w:val="left"/>
        <w:rPr>
          <w:rFonts w:ascii="Times New Roman" w:hAnsi="Times New Roman"/>
          <w:sz w:val="20"/>
        </w:rPr>
      </w:pPr>
      <w:r>
        <w:rPr>
          <w:rFonts w:ascii="Times New Roman" w:hAnsi="Times New Roman"/>
          <w:sz w:val="20"/>
        </w:rPr>
        <w:t xml:space="preserve">On February 28, 2022, BellRing Brands, Inc. (BellRing) issued a press release announcing the approximate per share cash consideration to be paid to existing BellRing stockholders upon completion of Post Holdings, Inc.s (Post) anticipated spin-off and distribution of Posts interest in BellRing to Post shareholders. BellRing stockholders and Post will receive their pro rata share of $405.0 million of aggregate value in the transaction, which amount includes the per share cash consideration described below. </w:t>
      </w:r>
    </w:p>
    <w:p>
      <w:pPr>
        <w:pStyle w:val="TextBody"/>
        <w:spacing w:before="240" w:after="0"/>
        <w:jc w:val="left"/>
        <w:rPr>
          <w:rFonts w:ascii="Times New Roman" w:hAnsi="Times New Roman"/>
          <w:sz w:val="20"/>
        </w:rPr>
      </w:pPr>
      <w:r>
        <w:rPr>
          <w:rFonts w:ascii="Times New Roman" w:hAnsi="Times New Roman"/>
          <w:sz w:val="20"/>
        </w:rPr>
        <w:t xml:space="preserve">Upon completion of the distribution, BellRing will merge with a subsidiary of BellRing Distribution, LLC (which will convert into a Delaware corporation prior to the distribution and be renamed BellRing Brands, Inc.) (New BellRing) and each outstanding share of BellRing Class A common stock will be converted into one share of New BellRing common stock and cash. The amount of cash will be determined in accordance with the Transaction Agreement and Plan of Merger, dated as of October 26, 2021 and amended as of February 28, 2022, by and among Post, BellRing, New BellRing and BellRing Merger Sub Corporation, and will be based on several factors, including the amount of New BellRing indebtedness to be issued in connection with the transactions contemplated thereunder. Based on current expectations as to those factors and using the number of shares of BellRing Class A common stock outstanding as of February 25, 2022, BellRing stockholders would be expected to receive approximately $2.97 per share in the merger for each share of Class A common stock held by such stockholders. The actual per share cash consideration to be received by the BellRing stockholders holding shares of Class A common stock will be determined based on, among other things, the number of shares of BellRing Class A common stock outstanding as of immediately prior to the consummation of the merger. New BellRing common stock will continue to be traded under the ticker symbol BRBR following the completion of the transactions. </w:t>
      </w:r>
    </w:p>
    <w:p>
      <w:pPr>
        <w:pStyle w:val="TextBody"/>
        <w:spacing w:before="240" w:after="0"/>
        <w:jc w:val="left"/>
        <w:rPr>
          <w:rFonts w:ascii="Times New Roman" w:hAnsi="Times New Roman"/>
          <w:sz w:val="20"/>
        </w:rPr>
      </w:pPr>
      <w:r>
        <w:rPr>
          <w:rFonts w:ascii="Times New Roman" w:hAnsi="Times New Roman"/>
          <w:sz w:val="20"/>
        </w:rPr>
        <w:t xml:space="preserve">As a result of certain contributions made in connection with the transactions, Post will receive incremental value in an amount that, based on the percentage of the outstanding BellRing Brands, LLC nonvoting membership units owned by Post as of February 25, 2022, Post and BellRing currently anticipate to be approximately $289.5 million. </w:t>
      </w:r>
    </w:p>
    <w:p>
      <w:pPr>
        <w:pStyle w:val="TextBody"/>
        <w:spacing w:before="240" w:after="0"/>
        <w:jc w:val="left"/>
        <w:rPr>
          <w:rFonts w:ascii="Times New Roman" w:hAnsi="Times New Roman"/>
          <w:sz w:val="20"/>
        </w:rPr>
      </w:pPr>
      <w:r>
        <w:rPr>
          <w:rFonts w:ascii="Times New Roman" w:hAnsi="Times New Roman"/>
          <w:sz w:val="20"/>
        </w:rPr>
        <w:t xml:space="preserve">There can be no assurance that the proposed transactions will be completed as anticipated or at all. </w:t>
      </w:r>
    </w:p>
    <w:p>
      <w:pPr>
        <w:pStyle w:val="TextBody"/>
        <w:spacing w:before="240" w:after="0"/>
        <w:jc w:val="left"/>
        <w:rPr>
          <w:rFonts w:ascii="Times New Roman" w:hAnsi="Times New Roman"/>
          <w:sz w:val="20"/>
        </w:rPr>
      </w:pPr>
      <w:r>
        <w:rPr>
          <w:rFonts w:ascii="Times New Roman" w:hAnsi="Times New Roman"/>
          <w:sz w:val="20"/>
        </w:rPr>
        <w:t xml:space="preserve">A copy of the press release is attached hereto as Exhibit 99.1 and is incorporated by reference herein. </w:t>
      </w:r>
    </w:p>
    <w:p>
      <w:pPr>
        <w:pStyle w:val="TextBody"/>
        <w:spacing w:before="360" w:after="0"/>
        <w:jc w:val="left"/>
        <w:rPr>
          <w:rFonts w:ascii="Times New Roman" w:hAnsi="Times New Roman"/>
          <w:b/>
          <w:sz w:val="20"/>
        </w:rPr>
      </w:pPr>
      <w:r>
        <w:rPr>
          <w:rFonts w:ascii="Times New Roman" w:hAnsi="Times New Roman"/>
          <w:b/>
          <w:sz w:val="20"/>
        </w:rPr>
        <w:t xml:space="preserve">Cautionary Statement on Forward-Looking Language </w:t>
      </w:r>
    </w:p>
    <w:p>
      <w:pPr>
        <w:pStyle w:val="TextBody"/>
        <w:spacing w:before="120" w:after="0"/>
        <w:jc w:val="left"/>
        <w:rPr>
          <w:rFonts w:ascii="Times New Roman" w:hAnsi="Times New Roman"/>
          <w:sz w:val="20"/>
        </w:rPr>
      </w:pPr>
      <w:r>
        <w:rPr>
          <w:rFonts w:ascii="Times New Roman" w:hAnsi="Times New Roman"/>
          <w:sz w:val="20"/>
        </w:rPr>
        <w:t xml:space="preserve">Certain matters discussed in this filing are forward-looking statements. These forward-looking statements are made based on known events and circumstances at the time of release, and as such, are subject to uncertainty and changes in circumstances. These forward-looking statements include statements regarding Posts proposed distribution of a significant portion of its interest in BellRing to Post shareholders, including the amount of New BellRing equity Post intends to distribute, the form of the distribution, the amount of cash Post and BellRing currently anticipate to be distributed to BellRing stockholders and Post and the expected timing of the completion of the proposed transaction. There is no assurance that the proposed transaction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the proposed transaction, the ongoing conflict in Ukraine, the rapidly changing situation related to the COVID-19 pandemic and other risks and uncertainties described in BellRings filings with the Securities and Exchange Commission (the SEC). These forward-looking statements represent BellRings judgment as of the date of this filing. BellRing disclaims, however, any intent or obligation to update these forward-looking statements. </w:t>
      </w:r>
    </w:p>
    <w:p>
      <w:pPr>
        <w:pStyle w:val="TextBody"/>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spacing w:before="120" w:after="0"/>
        <w:jc w:val="left"/>
        <w:rPr>
          <w:rFonts w:ascii="Times New Roman" w:hAnsi="Times New Roman"/>
          <w:sz w:val="20"/>
        </w:rPr>
      </w:pPr>
      <w:r>
        <w:rPr>
          <w:rFonts w:ascii="Times New Roman" w:hAnsi="Times New Roman"/>
          <w:sz w:val="20"/>
        </w:rPr>
        <w:t xml:space="preserve">This filing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In connection with the proposed transaction, New BellRing (as BellRing Distribution, LLC) has filed a registration statement of New BellRing on Form S-4 (File No. 333-261741) with the SEC, which contains a prospectus of New BellRing and a definitive proxy statement of BellRing, dated February 3, 2022, and a registration statement of New BellRing on Form S-4/S-1 (File No. 333-261873) with the SEC, which contains a prospectus of New BellRing, dated February 14, 2022. INVESTORS AND SECURITYHOLDERS ARE URGED TO READ THE REGISTRATION STATEMENTS/ PROSPECTUSES, PROXY STATEMENT AND ANY DOCUMENTS INCORPORATED BY REFERENCE THEREIN, ANY AMENDMENTS OR SUPPLEMENTS TO THESE FILINGS, AND ANY OTHER RELEVANT DOCUMENTS WHEN THEY BECOME AVAILABLE BECAUSE THEY WILL CONTAIN IMPORTANT INFORMATION ABOUT NEW BELLRING, BELLRING AND THE PROPOSED TRANSACTION. The registration statements were declared effective by the SEC on February 3, 2022, and a definitive proxy statement/prospectus was mailed on or about February 3, 2022 to stockholders of BellRing seeking that such stockholders adopt the definitive agreement for the proposed transaction. Investors and security holders will be able to obtain these materials (when they are available) and other documents filed with the SEC free of charge from the SECs website, www.sec.gov, BellRings website, www.bellring.com, or Posts website, www.postholdings.com.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transaction and distribution of this filing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 </w:t>
      </w:r>
    </w:p>
    <w:p>
      <w:pPr>
        <w:pStyle w:val="TextBody"/>
        <w:spacing w:before="360" w:after="0"/>
        <w:jc w:val="left"/>
        <w:rPr>
          <w:rFonts w:ascii="Times New Roman" w:hAnsi="Times New Roman"/>
          <w:b/>
          <w:sz w:val="20"/>
        </w:rPr>
      </w:pPr>
      <w:r>
        <w:rPr>
          <w:rFonts w:ascii="Times New Roman" w:hAnsi="Times New Roman"/>
          <w:b/>
          <w:sz w:val="20"/>
        </w:rPr>
        <w:t xml:space="preserve">Participants in a Solicitation </w:t>
      </w:r>
    </w:p>
    <w:p>
      <w:pPr>
        <w:pStyle w:val="TextBody"/>
        <w:spacing w:before="120" w:after="0"/>
        <w:jc w:val="left"/>
        <w:rPr>
          <w:rFonts w:ascii="Times New Roman" w:hAnsi="Times New Roman"/>
          <w:sz w:val="20"/>
        </w:rPr>
      </w:pPr>
      <w:r>
        <w:rPr>
          <w:rFonts w:ascii="Times New Roman" w:hAnsi="Times New Roman"/>
          <w:sz w:val="20"/>
        </w:rPr>
        <w:t xml:space="preserve">Post, BellRing, New BellRing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is set forth in BellRings definitive proxy statement filed with the SEC. Information regarding the directors and executive officers of BellRing is available in its definitive proxy statement, which was filed with the SEC on December 29, 2021, and its definitive proxy statement relating to the proposed transaction, which was filed with the SEC on February 3, 2022. Information regarding the directors and executive officers of Post is available in its definitive proxy statement, which was filed with the SEC on December 6, 2021. Free copies of these documents may be obtained as described above.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99"/>
        <w:gridCol w:w="9206"/>
      </w:tblGrid>
      <w:tr>
        <w:trPr/>
        <w:tc>
          <w:tcPr>
            <w:tcW w:w="999" w:type="dxa"/>
            <w:tcBorders/>
            <w:shd w:fill="auto" w:val="clear"/>
          </w:tcPr>
          <w:p>
            <w:pPr>
              <w:pStyle w:val="TableContents"/>
              <w:spacing w:before="0" w:after="283"/>
              <w:jc w:val="left"/>
              <w:rPr>
                <w:b/>
              </w:rPr>
            </w:pPr>
            <w:r>
              <w:rPr>
                <w:b/>
              </w:rPr>
              <w:t>Item 9.01.</w:t>
            </w:r>
          </w:p>
        </w:tc>
        <w:tc>
          <w:tcPr>
            <w:tcW w:w="920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120" w:after="0"/>
        <w:jc w:val="left"/>
        <w:rPr>
          <w:rFonts w:ascii="Times New Roman" w:hAnsi="Times New Roman"/>
          <w:b/>
          <w:i/>
          <w:sz w:val="20"/>
        </w:rPr>
      </w:pPr>
      <w:r>
        <w:rPr>
          <w:rFonts w:ascii="Times New Roman" w:hAnsi="Times New Roman"/>
          <w:b/>
          <w:i/>
          <w:sz w:val="20"/>
        </w:rPr>
        <w:t xml:space="preserve">(d) Exhibits.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151"/>
        <w:gridCol w:w="671"/>
        <w:gridCol w:w="8383"/>
      </w:tblGrid>
      <w:tr>
        <w:trPr/>
        <w:tc>
          <w:tcPr>
            <w:tcW w:w="1151"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bottom"/>
          </w:tcPr>
          <w:p>
            <w:pPr>
              <w:pStyle w:val="TableContents"/>
              <w:spacing w:before="0" w:after="283"/>
              <w:rPr>
                <w:sz w:val="4"/>
                <w:szCs w:val="4"/>
              </w:rPr>
            </w:pPr>
            <w:r>
              <w:rPr>
                <w:sz w:val="4"/>
                <w:szCs w:val="4"/>
              </w:rPr>
            </w:r>
          </w:p>
        </w:tc>
        <w:tc>
          <w:tcPr>
            <w:tcW w:w="8383" w:type="dxa"/>
            <w:tcBorders/>
            <w:shd w:fill="auto" w:val="clear"/>
            <w:vAlign w:val="center"/>
          </w:tcPr>
          <w:p>
            <w:pPr>
              <w:pStyle w:val="TableContents"/>
              <w:spacing w:before="0" w:after="283"/>
              <w:rPr>
                <w:sz w:val="4"/>
                <w:szCs w:val="4"/>
              </w:rPr>
            </w:pPr>
            <w:r>
              <w:rPr>
                <w:sz w:val="4"/>
                <w:szCs w:val="4"/>
              </w:rPr>
            </w:r>
          </w:p>
        </w:tc>
      </w:tr>
      <w:tr>
        <w:trPr/>
        <w:tc>
          <w:tcPr>
            <w:tcW w:w="1151" w:type="dxa"/>
            <w:tcBorders>
              <w:bottom w:val="single" w:sz="8" w:space="0" w:color="000000"/>
            </w:tcBorders>
            <w:shd w:fill="auto" w:val="clear"/>
            <w:tcMar>
              <w:bottom w:w="28" w:type="dxa"/>
            </w:tcMar>
            <w:vAlign w:val="bottom"/>
          </w:tcPr>
          <w:p>
            <w:pPr>
              <w:pStyle w:val="TableContents"/>
              <w:spacing w:before="0" w:after="283"/>
              <w:jc w:val="center"/>
              <w:rPr/>
            </w:pPr>
            <w:r>
              <w:rPr/>
              <w:t>Exhibit No.</w:t>
            </w:r>
          </w:p>
        </w:tc>
        <w:tc>
          <w:tcPr>
            <w:tcW w:w="671" w:type="dxa"/>
            <w:tcBorders/>
            <w:shd w:fill="auto" w:val="clear"/>
            <w:vAlign w:val="bottom"/>
          </w:tcPr>
          <w:p>
            <w:pPr>
              <w:pStyle w:val="TableContents"/>
              <w:spacing w:before="0" w:after="283"/>
              <w:rPr/>
            </w:pPr>
            <w:r>
              <w:rPr/>
              <w:t>  </w:t>
            </w:r>
          </w:p>
        </w:tc>
        <w:tc>
          <w:tcPr>
            <w:tcW w:w="8383" w:type="dxa"/>
            <w:tcBorders/>
            <w:shd w:fill="auto" w:val="clear"/>
            <w:vAlign w:val="bottom"/>
          </w:tcPr>
          <w:p>
            <w:pPr>
              <w:pStyle w:val="TableContents"/>
              <w:pBdr>
                <w:bottom w:val="single" w:sz="8" w:space="1" w:color="000000"/>
              </w:pBdr>
              <w:spacing w:before="0" w:after="0"/>
              <w:rPr>
                <w:rFonts w:ascii="Times New Roman" w:hAnsi="Times New Roman"/>
                <w:sz w:val="16"/>
              </w:rPr>
            </w:pPr>
            <w:r>
              <w:rPr>
                <w:rFonts w:ascii="Times New Roman" w:hAnsi="Times New Roman"/>
                <w:sz w:val="16"/>
              </w:rPr>
              <w:t>Description</w:t>
            </w:r>
          </w:p>
        </w:tc>
      </w:tr>
      <w:tr>
        <w:trPr>
          <w:trHeight w:val="120" w:hRule="atLeast"/>
        </w:trPr>
        <w:tc>
          <w:tcPr>
            <w:tcW w:w="1151" w:type="dxa"/>
            <w:tcBorders/>
            <w:shd w:fill="auto" w:val="clear"/>
            <w:vAlign w:val="center"/>
          </w:tcPr>
          <w:p>
            <w:pPr>
              <w:pStyle w:val="TableContents"/>
              <w:spacing w:before="0" w:after="283"/>
              <w:rPr>
                <w:sz w:val="4"/>
                <w:szCs w:val="4"/>
              </w:rPr>
            </w:pPr>
            <w:r>
              <w:rPr>
                <w:sz w:val="4"/>
                <w:szCs w:val="4"/>
              </w:rPr>
            </w:r>
          </w:p>
        </w:tc>
        <w:tc>
          <w:tcPr>
            <w:tcW w:w="9054" w:type="dxa"/>
            <w:gridSpan w:val="2"/>
            <w:tcBorders/>
            <w:shd w:fill="auto" w:val="clear"/>
            <w:vAlign w:val="center"/>
          </w:tcPr>
          <w:p>
            <w:pPr>
              <w:pStyle w:val="TableContents"/>
              <w:spacing w:before="0" w:after="283"/>
              <w:rPr>
                <w:sz w:val="4"/>
                <w:szCs w:val="4"/>
              </w:rPr>
            </w:pPr>
            <w:r>
              <w:rPr>
                <w:sz w:val="4"/>
                <w:szCs w:val="4"/>
              </w:rPr>
            </w:r>
          </w:p>
        </w:tc>
      </w:tr>
      <w:tr>
        <w:trPr/>
        <w:tc>
          <w:tcPr>
            <w:tcW w:w="1151" w:type="dxa"/>
            <w:tcBorders/>
            <w:shd w:fill="auto" w:val="clear"/>
          </w:tcPr>
          <w:p>
            <w:pPr>
              <w:pStyle w:val="TableContents"/>
              <w:spacing w:before="0" w:after="283"/>
              <w:rPr/>
            </w:pPr>
            <w:r>
              <w:rPr/>
              <w:t>99.1</w:t>
            </w:r>
          </w:p>
        </w:tc>
        <w:tc>
          <w:tcPr>
            <w:tcW w:w="671" w:type="dxa"/>
            <w:tcBorders/>
            <w:shd w:fill="auto" w:val="clear"/>
            <w:vAlign w:val="bottom"/>
          </w:tcPr>
          <w:p>
            <w:pPr>
              <w:pStyle w:val="TableContents"/>
              <w:spacing w:before="0" w:after="283"/>
              <w:rPr/>
            </w:pPr>
            <w:r>
              <w:rPr/>
              <w:t>  </w:t>
            </w:r>
          </w:p>
        </w:tc>
        <w:tc>
          <w:tcPr>
            <w:tcW w:w="8383" w:type="dxa"/>
            <w:tcBorders/>
            <w:shd w:fill="auto" w:val="clear"/>
          </w:tcPr>
          <w:p>
            <w:pPr>
              <w:pStyle w:val="TableContents"/>
              <w:spacing w:before="0" w:after="283"/>
              <w:rPr/>
            </w:pPr>
            <w:r>
              <w:rPr/>
              <w:t>Press release dated February 28, 2022</w:t>
            </w:r>
          </w:p>
        </w:tc>
      </w:tr>
      <w:tr>
        <w:trPr>
          <w:trHeight w:val="120" w:hRule="atLeast"/>
        </w:trPr>
        <w:tc>
          <w:tcPr>
            <w:tcW w:w="1151" w:type="dxa"/>
            <w:tcBorders/>
            <w:shd w:fill="auto" w:val="clear"/>
            <w:vAlign w:val="center"/>
          </w:tcPr>
          <w:p>
            <w:pPr>
              <w:pStyle w:val="TableContents"/>
              <w:spacing w:before="0" w:after="283"/>
              <w:rPr>
                <w:sz w:val="4"/>
                <w:szCs w:val="4"/>
              </w:rPr>
            </w:pPr>
            <w:r>
              <w:rPr>
                <w:sz w:val="4"/>
                <w:szCs w:val="4"/>
              </w:rPr>
            </w:r>
          </w:p>
        </w:tc>
        <w:tc>
          <w:tcPr>
            <w:tcW w:w="9054" w:type="dxa"/>
            <w:gridSpan w:val="2"/>
            <w:tcBorders/>
            <w:shd w:fill="auto" w:val="clear"/>
            <w:vAlign w:val="center"/>
          </w:tcPr>
          <w:p>
            <w:pPr>
              <w:pStyle w:val="TableContents"/>
              <w:spacing w:before="0" w:after="283"/>
              <w:rPr>
                <w:sz w:val="4"/>
                <w:szCs w:val="4"/>
              </w:rPr>
            </w:pPr>
            <w:r>
              <w:rPr>
                <w:sz w:val="4"/>
                <w:szCs w:val="4"/>
              </w:rPr>
            </w:r>
          </w:p>
        </w:tc>
      </w:tr>
      <w:tr>
        <w:trPr/>
        <w:tc>
          <w:tcPr>
            <w:tcW w:w="1151" w:type="dxa"/>
            <w:tcBorders/>
            <w:shd w:fill="auto" w:val="clear"/>
          </w:tcPr>
          <w:p>
            <w:pPr>
              <w:pStyle w:val="TableContents"/>
              <w:spacing w:before="0" w:after="283"/>
              <w:rPr/>
            </w:pPr>
            <w:r>
              <w:rPr/>
              <w:t>104</w:t>
            </w:r>
          </w:p>
        </w:tc>
        <w:tc>
          <w:tcPr>
            <w:tcW w:w="671" w:type="dxa"/>
            <w:tcBorders/>
            <w:shd w:fill="auto" w:val="clear"/>
            <w:vAlign w:val="bottom"/>
          </w:tcPr>
          <w:p>
            <w:pPr>
              <w:pStyle w:val="TableContents"/>
              <w:spacing w:before="0" w:after="283"/>
              <w:rPr/>
            </w:pPr>
            <w:r>
              <w:rPr/>
              <w:t>  </w:t>
            </w:r>
          </w:p>
        </w:tc>
        <w:tc>
          <w:tcPr>
            <w:tcW w:w="8383" w:type="dxa"/>
            <w:tcBorders/>
            <w:shd w:fill="auto" w:val="clear"/>
          </w:tcPr>
          <w:p>
            <w:pPr>
              <w:pStyle w:val="TableContents"/>
              <w:spacing w:before="0" w:after="283"/>
              <w:rPr/>
            </w:pPr>
            <w:r>
              <w:rPr/>
              <w:t>Cover Page Interactive Data File (the cover page iXBRL tags are embedded within the Inline XBRL document)</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817"/>
        <w:gridCol w:w="104"/>
        <w:gridCol w:w="337"/>
        <w:gridCol w:w="104"/>
        <w:gridCol w:w="651"/>
        <w:gridCol w:w="104"/>
        <w:gridCol w:w="5088"/>
      </w:tblGrid>
      <w:tr>
        <w:trPr/>
        <w:tc>
          <w:tcPr>
            <w:tcW w:w="3817"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5088" w:type="dxa"/>
            <w:tcBorders/>
            <w:shd w:fill="auto" w:val="clear"/>
            <w:vAlign w:val="center"/>
          </w:tcPr>
          <w:p>
            <w:pPr>
              <w:pStyle w:val="TableContents"/>
              <w:spacing w:before="0" w:after="283"/>
              <w:rPr>
                <w:sz w:val="4"/>
                <w:szCs w:val="4"/>
              </w:rPr>
            </w:pPr>
            <w:r>
              <w:rPr>
                <w:sz w:val="4"/>
                <w:szCs w:val="4"/>
              </w:rPr>
            </w:r>
          </w:p>
        </w:tc>
      </w:tr>
      <w:tr>
        <w:trPr/>
        <w:tc>
          <w:tcPr>
            <w:tcW w:w="3817" w:type="dxa"/>
            <w:tcBorders/>
            <w:shd w:fill="auto" w:val="clear"/>
          </w:tcPr>
          <w:p>
            <w:pPr>
              <w:pStyle w:val="TableContents"/>
              <w:spacing w:before="0" w:after="283"/>
              <w:rPr/>
            </w:pPr>
            <w:r>
              <w:rPr/>
              <w:t>Date: February 28, 2022</w:t>
            </w:r>
          </w:p>
        </w:tc>
        <w:tc>
          <w:tcPr>
            <w:tcW w:w="104"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5843" w:type="dxa"/>
            <w:gridSpan w:val="3"/>
            <w:tcBorders/>
            <w:shd w:fill="auto" w:val="clear"/>
            <w:vAlign w:val="bottom"/>
          </w:tcPr>
          <w:p>
            <w:pPr>
              <w:pStyle w:val="TableContents"/>
              <w:spacing w:before="0" w:after="283"/>
              <w:rPr>
                <w:b/>
              </w:rPr>
            </w:pPr>
            <w:r>
              <w:rPr>
                <w:b/>
              </w:rPr>
              <w:t>BellRing Brands, Inc.</w:t>
            </w:r>
          </w:p>
        </w:tc>
      </w:tr>
      <w:tr>
        <w:trPr/>
        <w:tc>
          <w:tcPr>
            <w:tcW w:w="3817" w:type="dxa"/>
            <w:tcBorders/>
            <w:shd w:fill="auto" w:val="clea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5843" w:type="dxa"/>
            <w:gridSpan w:val="3"/>
            <w:tcBorders/>
            <w:shd w:fill="auto" w:val="clear"/>
            <w:vAlign w:val="bottom"/>
          </w:tcPr>
          <w:p>
            <w:pPr>
              <w:pStyle w:val="TableContents"/>
              <w:spacing w:before="0" w:after="283"/>
              <w:rPr/>
            </w:pPr>
            <w:r>
              <w:rPr/>
              <w:t>(Registrant)</w:t>
            </w:r>
          </w:p>
        </w:tc>
      </w:tr>
      <w:tr>
        <w:trPr>
          <w:trHeight w:val="240" w:hRule="atLeast"/>
        </w:trPr>
        <w:tc>
          <w:tcPr>
            <w:tcW w:w="3817" w:type="dxa"/>
            <w:tcBorders/>
            <w:shd w:fill="auto" w:val="clear"/>
            <w:vAlign w:val="center"/>
          </w:tcPr>
          <w:p>
            <w:pPr>
              <w:pStyle w:val="TableContents"/>
              <w:spacing w:before="0" w:after="283"/>
              <w:rPr>
                <w:sz w:val="4"/>
                <w:szCs w:val="4"/>
              </w:rPr>
            </w:pPr>
            <w:r>
              <w:rPr>
                <w:sz w:val="4"/>
                <w:szCs w:val="4"/>
              </w:rPr>
            </w:r>
          </w:p>
        </w:tc>
        <w:tc>
          <w:tcPr>
            <w:tcW w:w="441" w:type="dxa"/>
            <w:gridSpan w:val="2"/>
            <w:tcBorders/>
            <w:shd w:fill="auto" w:val="clear"/>
            <w:vAlign w:val="center"/>
          </w:tcPr>
          <w:p>
            <w:pPr>
              <w:pStyle w:val="TableContents"/>
              <w:spacing w:before="0" w:after="283"/>
              <w:rPr>
                <w:sz w:val="4"/>
                <w:szCs w:val="4"/>
              </w:rPr>
            </w:pPr>
            <w:r>
              <w:rPr>
                <w:sz w:val="4"/>
                <w:szCs w:val="4"/>
              </w:rPr>
            </w:r>
          </w:p>
        </w:tc>
        <w:tc>
          <w:tcPr>
            <w:tcW w:w="755" w:type="dxa"/>
            <w:gridSpan w:val="2"/>
            <w:tcBorders/>
            <w:shd w:fill="auto" w:val="clear"/>
            <w:vAlign w:val="center"/>
          </w:tcPr>
          <w:p>
            <w:pPr>
              <w:pStyle w:val="TableContents"/>
              <w:spacing w:before="0" w:after="283"/>
              <w:rPr>
                <w:sz w:val="4"/>
                <w:szCs w:val="4"/>
              </w:rPr>
            </w:pPr>
            <w:r>
              <w:rPr>
                <w:sz w:val="4"/>
                <w:szCs w:val="4"/>
              </w:rPr>
            </w:r>
          </w:p>
        </w:tc>
        <w:tc>
          <w:tcPr>
            <w:tcW w:w="5192" w:type="dxa"/>
            <w:gridSpan w:val="2"/>
            <w:tcBorders/>
            <w:shd w:fill="auto" w:val="clear"/>
            <w:vAlign w:val="center"/>
          </w:tcPr>
          <w:p>
            <w:pPr>
              <w:pStyle w:val="TableContents"/>
              <w:spacing w:before="0" w:after="283"/>
              <w:rPr>
                <w:sz w:val="4"/>
                <w:szCs w:val="4"/>
              </w:rPr>
            </w:pPr>
            <w:r>
              <w:rPr>
                <w:sz w:val="4"/>
                <w:szCs w:val="4"/>
              </w:rPr>
            </w:r>
          </w:p>
        </w:tc>
      </w:tr>
      <w:tr>
        <w:trPr/>
        <w:tc>
          <w:tcPr>
            <w:tcW w:w="3817" w:type="dxa"/>
            <w:tcBorders/>
            <w:shd w:fill="auto" w:val="clea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651" w:type="dxa"/>
            <w:tcBorders/>
            <w:shd w:fill="auto" w:val="clear"/>
          </w:tcPr>
          <w:p>
            <w:pPr>
              <w:pStyle w:val="TableContents"/>
              <w:spacing w:before="0" w:after="283"/>
              <w:rPr/>
            </w:pPr>
            <w:r>
              <w:rPr/>
              <w:t>By:</w:t>
            </w:r>
          </w:p>
        </w:tc>
        <w:tc>
          <w:tcPr>
            <w:tcW w:w="104" w:type="dxa"/>
            <w:tcBorders/>
            <w:shd w:fill="auto" w:val="clear"/>
            <w:vAlign w:val="bottom"/>
          </w:tcPr>
          <w:p>
            <w:pPr>
              <w:pStyle w:val="TableContents"/>
              <w:spacing w:before="0" w:after="283"/>
              <w:rPr/>
            </w:pPr>
            <w:r>
              <w:rPr/>
              <w:t> </w:t>
            </w:r>
          </w:p>
        </w:tc>
        <w:tc>
          <w:tcPr>
            <w:tcW w:w="5088" w:type="dxa"/>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Craig Rosenthal</w:t>
            </w:r>
          </w:p>
        </w:tc>
      </w:tr>
      <w:tr>
        <w:trPr/>
        <w:tc>
          <w:tcPr>
            <w:tcW w:w="3817" w:type="dxa"/>
            <w:tcBorders/>
            <w:shd w:fill="auto" w:val="clea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rPr/>
            </w:pPr>
            <w:r>
              <w:rPr/>
              <w:t>Name:</w:t>
            </w:r>
          </w:p>
        </w:tc>
        <w:tc>
          <w:tcPr>
            <w:tcW w:w="104" w:type="dxa"/>
            <w:tcBorders/>
            <w:shd w:fill="auto" w:val="clear"/>
            <w:vAlign w:val="bottom"/>
          </w:tcPr>
          <w:p>
            <w:pPr>
              <w:pStyle w:val="TableContents"/>
              <w:spacing w:before="0" w:after="283"/>
              <w:rPr/>
            </w:pPr>
            <w:r>
              <w:rPr/>
              <w:t> </w:t>
            </w:r>
          </w:p>
        </w:tc>
        <w:tc>
          <w:tcPr>
            <w:tcW w:w="5088" w:type="dxa"/>
            <w:tcBorders/>
            <w:shd w:fill="auto" w:val="clear"/>
            <w:vAlign w:val="bottom"/>
          </w:tcPr>
          <w:p>
            <w:pPr>
              <w:pStyle w:val="TableContents"/>
              <w:spacing w:before="0" w:after="283"/>
              <w:rPr/>
            </w:pPr>
            <w:r>
              <w:rPr/>
              <w:t>Craig Rosenthal</w:t>
            </w:r>
          </w:p>
        </w:tc>
      </w:tr>
      <w:tr>
        <w:trPr/>
        <w:tc>
          <w:tcPr>
            <w:tcW w:w="3817" w:type="dxa"/>
            <w:tcBorders/>
            <w:shd w:fill="auto" w:val="clea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rPr/>
            </w:pPr>
            <w:r>
              <w:rPr/>
              <w:t>Title:</w:t>
            </w:r>
          </w:p>
        </w:tc>
        <w:tc>
          <w:tcPr>
            <w:tcW w:w="104" w:type="dxa"/>
            <w:tcBorders/>
            <w:shd w:fill="auto" w:val="clear"/>
            <w:vAlign w:val="bottom"/>
          </w:tcPr>
          <w:p>
            <w:pPr>
              <w:pStyle w:val="TableContents"/>
              <w:spacing w:before="0" w:after="283"/>
              <w:rPr/>
            </w:pPr>
            <w:r>
              <w:rPr/>
              <w:t> </w:t>
            </w:r>
          </w:p>
        </w:tc>
        <w:tc>
          <w:tcPr>
            <w:tcW w:w="5088" w:type="dxa"/>
            <w:tcBorders/>
            <w:shd w:fill="auto" w:val="clear"/>
            <w:vAlign w:val="bottom"/>
          </w:tcPr>
          <w:p>
            <w:pPr>
              <w:pStyle w:val="TableContents"/>
              <w:spacing w:before="0" w:after="283"/>
              <w:rPr/>
            </w:pPr>
            <w:r>
              <w:rPr/>
              <w:t>Senior Vice President &amp; General Counsel</w:t>
            </w:r>
          </w:p>
        </w:tc>
      </w:tr>
    </w:tbl>
    <w:p>
      <w:pPr>
        <w:pStyle w:val="HorizontalLine"/>
        <w:pBdr>
          <w:bottom w:val="double" w:sz="6" w:space="0" w:color="808080"/>
        </w:pBdr>
        <w:rPr/>
      </w:pPr>
      <w:r>
        <w:br w:type="page"/>
      </w:r>
      <w:r>
        <w:rPr/>
      </w:r>
    </w:p>
    <w:p>
      <w:pPr>
        <w:pStyle w:val="TextBody"/>
        <w:spacing w:before="0" w:after="0"/>
        <w:jc w:val="right"/>
        <w:rPr>
          <w:rFonts w:ascii="Times New Roman" w:hAnsi="Times New Roman"/>
          <w:b/>
          <w:sz w:val="20"/>
        </w:rPr>
      </w:pPr>
      <w:r>
        <w:rPr>
          <w:rFonts w:ascii="Times New Roman" w:hAnsi="Times New Roman"/>
          <w:b/>
          <w:sz w:val="20"/>
        </w:rPr>
        <w:t xml:space="preserve">Exhibit 99.1 </w:t>
      </w:r>
    </w:p>
    <w:p>
      <w:pPr>
        <w:pStyle w:val="TextBody"/>
        <w:spacing w:before="0" w:after="0"/>
        <w:jc w:val="left"/>
        <w:rPr/>
      </w:pPr>
      <w:r>
        <w:rPr/>
        <w:t> </w:t>
      </w:r>
    </w:p>
    <w:p>
      <w:pPr>
        <w:pStyle w:val="TextBody"/>
        <w:spacing w:before="0" w:after="0"/>
        <w:jc w:val="left"/>
        <w:rPr/>
      </w:pPr>
      <w:r>
        <w:rPr/>
        <w:drawing>
          <wp:inline distT="0" distB="0" distL="0" distR="0">
            <wp:extent cx="1495425" cy="733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95425" cy="733425"/>
                    </a:xfrm>
                    <a:prstGeom prst="rect">
                      <a:avLst/>
                    </a:prstGeom>
                  </pic:spPr>
                </pic:pic>
              </a:graphicData>
            </a:graphic>
          </wp:inline>
        </w:drawing>
      </w:r>
      <w:r>
        <w:rPr/>
        <w:t xml:space="preserve"> </w:t>
      </w:r>
    </w:p>
    <w:p>
      <w:pPr>
        <w:pStyle w:val="TextBody"/>
        <w:spacing w:before="240" w:after="0"/>
        <w:jc w:val="center"/>
        <w:rPr>
          <w:rFonts w:ascii="Times New Roman" w:hAnsi="Times New Roman"/>
          <w:b/>
          <w:sz w:val="20"/>
        </w:rPr>
      </w:pPr>
      <w:r>
        <w:rPr>
          <w:rFonts w:ascii="Times New Roman" w:hAnsi="Times New Roman"/>
          <w:b/>
          <w:sz w:val="20"/>
        </w:rPr>
        <w:t xml:space="preserve">BellRing Brands Provides Approximate Per Share Cash Consideration in Connection with the Anticipated Completion of the Spin-Off of Posts Interest in BellRing </w:t>
      </w:r>
    </w:p>
    <w:p>
      <w:pPr>
        <w:pStyle w:val="TextBody"/>
        <w:spacing w:before="240" w:after="0"/>
        <w:jc w:val="left"/>
        <w:rPr>
          <w:rFonts w:ascii="Times New Roman" w:hAnsi="Times New Roman"/>
          <w:sz w:val="20"/>
        </w:rPr>
      </w:pPr>
      <w:r>
        <w:rPr>
          <w:rFonts w:ascii="Times New Roman" w:hAnsi="Times New Roman"/>
          <w:b/>
          <w:sz w:val="20"/>
        </w:rPr>
        <w:t>ST. LOUIS, February</w:t>
      </w:r>
      <w:r>
        <w:rPr>
          <w:rFonts w:ascii="Times New Roman" w:hAnsi="Times New Roman"/>
          <w:sz w:val="20"/>
        </w:rPr>
        <w:t> </w:t>
      </w:r>
      <w:r>
        <w:rPr>
          <w:rFonts w:ascii="Times New Roman" w:hAnsi="Times New Roman"/>
          <w:b/>
          <w:sz w:val="20"/>
        </w:rPr>
        <w:t>28, 2022</w:t>
      </w:r>
      <w:r>
        <w:rPr>
          <w:rFonts w:ascii="Times New Roman" w:hAnsi="Times New Roman"/>
          <w:sz w:val="20"/>
        </w:rPr>
        <w:t xml:space="preserve"> - BellRing Brands, Inc. (NYSE:BRBR) (BellRing) today announced the approximate per share cash consideration to be paid to existing BellRing stockholders upon completion of Post Holdings, Inc.s (Post) anticipated spin-off and distribution of Posts interest in BellRing to Post shareholders. BellRing stockholders and Post will receive their pro rata share of $405.0 million of aggregate value in the transaction, which amount includes the per share cash consideration described below. </w:t>
      </w:r>
    </w:p>
    <w:p>
      <w:pPr>
        <w:pStyle w:val="TextBody"/>
        <w:spacing w:before="240" w:after="0"/>
        <w:jc w:val="left"/>
        <w:rPr>
          <w:rFonts w:ascii="Times New Roman" w:hAnsi="Times New Roman"/>
          <w:sz w:val="20"/>
        </w:rPr>
      </w:pPr>
      <w:r>
        <w:rPr>
          <w:rFonts w:ascii="Times New Roman" w:hAnsi="Times New Roman"/>
          <w:sz w:val="20"/>
        </w:rPr>
        <w:t xml:space="preserve">Upon completion of the distribution, BellRing will merge with a subsidiary of BellRing Distribution, LLC (which will convert into a Delaware corporation prior to the distribution and be renamed BellRing Brands, Inc.) (New BellRing) and each outstanding share of BellRing Class A common stock will be converted into one share of New BellRing common stock and cash. The amount of cash will be determined in accordance with the agreement that governs the transaction and will be based on several factors, including the amount of New BellRing indebtedness to be issued in connection with the transactions contemplated thereunder. Based on current expectations as to those factors and using the number of shares of BellRing Class A common stock outstanding as of February 25, 2022, BellRing stockholders would be expected to receive approximately $2.97 per share in the merger for each share of Class A common stock held by such stockholders. The actual per share cash consideration to be received by the BellRing stockholders holding shares of Class A common stock will be determined based on, among other things, the number of shares of BellRing Class A common stock outstanding as of immediately prior to the consummation of the merger. New BellRing common stock will continue to be traded under the ticker symbol BRBR following the completion of the transactions. </w:t>
      </w:r>
    </w:p>
    <w:p>
      <w:pPr>
        <w:pStyle w:val="TextBody"/>
        <w:spacing w:before="240" w:after="0"/>
        <w:jc w:val="left"/>
        <w:rPr>
          <w:rFonts w:ascii="Times New Roman" w:hAnsi="Times New Roman"/>
          <w:sz w:val="20"/>
        </w:rPr>
      </w:pPr>
      <w:r>
        <w:rPr>
          <w:rFonts w:ascii="Times New Roman" w:hAnsi="Times New Roman"/>
          <w:sz w:val="20"/>
        </w:rPr>
        <w:t xml:space="preserve">As a result of certain contributions made in connection with the transactions, Post will receive incremental value in an amount that, based on the percentage of the outstanding BellRing Brands, LLC nonvoting membership units owned by Post as of February 25, 2022, BellRing currently anticipates to be approximately $289.5 million. </w:t>
      </w:r>
    </w:p>
    <w:p>
      <w:pPr>
        <w:pStyle w:val="TextBody"/>
        <w:spacing w:before="240" w:after="0"/>
        <w:jc w:val="left"/>
        <w:rPr>
          <w:rFonts w:ascii="Times New Roman" w:hAnsi="Times New Roman"/>
          <w:sz w:val="20"/>
        </w:rPr>
      </w:pPr>
      <w:r>
        <w:rPr>
          <w:rFonts w:ascii="Times New Roman" w:hAnsi="Times New Roman"/>
          <w:sz w:val="20"/>
        </w:rPr>
        <w:t xml:space="preserve">There can no assurance that the proposed transactions will be completed as anticipated or at all. </w:t>
      </w:r>
    </w:p>
    <w:p>
      <w:pPr>
        <w:pStyle w:val="TextBody"/>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spacing w:before="120" w:after="0"/>
        <w:jc w:val="left"/>
        <w:rPr>
          <w:rFonts w:ascii="Times New Roman" w:hAnsi="Times New Roman"/>
          <w:sz w:val="20"/>
        </w:rPr>
      </w:pPr>
      <w:r>
        <w:rPr>
          <w:rFonts w:ascii="Times New Roman" w:hAnsi="Times New Roman"/>
          <w:sz w:val="20"/>
        </w:rPr>
        <w:t xml:space="preserve">Certain matters discussed in this press release are forward-looking statements. These forward-looking statements are made based on known events and circumstances at the time of release, and as such, are subject to uncertainty and changes in circumstances. These forward-looking statements include statements regarding Posts proposed distribution of a significant portion of its interest in BellRing to Post shareholders, including the form of the distribution and the amount of cash BellRing currently anticipates to be distributed to BellRing stockholders and Post. There is no assurance that the proposed distribution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the proposed distribution, the ongoing conflict in Ukraine, the rapidly changing situation related to the COVID-19 pandemic and other financial, operational and legal risks and uncertainties described in BellRings filings with the Securities and Exchange Commission (the SEC). These forward-looking statements represent BellRings judgment as of the date of this release. BellRing disclaims, however, any intent or obligation to update these forward-looking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spacing w:before="120" w:after="0"/>
        <w:jc w:val="left"/>
        <w:rPr>
          <w:rFonts w:ascii="Times New Roman" w:hAnsi="Times New Roman"/>
          <w:sz w:val="20"/>
        </w:rPr>
      </w:pPr>
      <w:r>
        <w:rPr>
          <w:rFonts w:ascii="Times New Roman" w:hAnsi="Times New Roman"/>
          <w:sz w:val="20"/>
        </w:rPr>
        <w:t xml:space="preserve">This release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In connection with the proposed transaction, New BellRing (as BellRing Distribution, LLC) has filed a registration statement of New BellRing on Form S-4 (File No. 333-261741) with the SEC, which contains a prospectus of New BellRing and a definitive proxy statement of BellRing, dated February 3, 2022, and a registration statement of New BellRing on Form S-4/S-1 (File No. 333-261873) with the SEC, which contains a prospectus of New BellRing, dated February 14, 2022. INVESTORS AND SECURITYHOLDERS ARE URGED TO READ THE REGISTRATION STATEMENTS/ PROSPECTUSES, PROXY STATEMENT AND ANY DOCUMENTS INCORPORATED BY REFERENCE THEREIN, ANY AMENDMENTS OR SUPPLEMENTS TO THESE FILINGS, AND ANY OTHER RELEVANT DOCUMENTS WHEN THEY BECOME AVAILABLE BECAUSE THEY WILL CONTAIN IMPORTANT INFORMATION ABOUT NEW BELLRING, BELLRING AND THE PROPOSED TRANSACTION. The registration statements were declared effective by the SEC on February 3, 2022, and a definitive proxy statement/prospectus was mailed on or about February 3, 2022 to stockholders of BellRing seeking that such stockholders adopt the definitive agreement for the proposed transaction. Investors and security holders will be able to obtain these materials (when they are available) and other documents filed with the SEC free of charge from the SECs website, www.sec.gov, BellRings website, www.bellring.com, or Posts website, www.postholdings.com. </w:t>
      </w:r>
    </w:p>
    <w:p>
      <w:pPr>
        <w:pStyle w:val="TextBody"/>
        <w:spacing w:before="240" w:after="0"/>
        <w:jc w:val="left"/>
        <w:rPr>
          <w:rFonts w:ascii="Times New Roman" w:hAnsi="Times New Roman"/>
          <w:sz w:val="20"/>
        </w:rPr>
      </w:pPr>
      <w:r>
        <w:rPr>
          <w:rFonts w:ascii="Times New Roman" w:hAnsi="Times New Roman"/>
          <w:sz w:val="20"/>
        </w:rPr>
        <w:t xml:space="preserve">The transaction and distribution of this release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 </w:t>
      </w:r>
    </w:p>
    <w:p>
      <w:pPr>
        <w:pStyle w:val="TextBody"/>
        <w:spacing w:before="360" w:after="0"/>
        <w:jc w:val="left"/>
        <w:rPr>
          <w:rFonts w:ascii="Times New Roman" w:hAnsi="Times New Roman"/>
          <w:b/>
          <w:sz w:val="20"/>
        </w:rPr>
      </w:pPr>
      <w:r>
        <w:rPr>
          <w:rFonts w:ascii="Times New Roman" w:hAnsi="Times New Roman"/>
          <w:b/>
          <w:sz w:val="20"/>
        </w:rPr>
        <w:t xml:space="preserve">Participants in a Solicitation </w:t>
      </w:r>
    </w:p>
    <w:p>
      <w:pPr>
        <w:pStyle w:val="TextBody"/>
        <w:spacing w:before="120" w:after="0"/>
        <w:jc w:val="left"/>
        <w:rPr>
          <w:rFonts w:ascii="Times New Roman" w:hAnsi="Times New Roman"/>
          <w:sz w:val="20"/>
        </w:rPr>
      </w:pPr>
      <w:r>
        <w:rPr>
          <w:rFonts w:ascii="Times New Roman" w:hAnsi="Times New Roman"/>
          <w:sz w:val="20"/>
        </w:rPr>
        <w:t xml:space="preserve">BellRing, New BellRing, Post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is set forth in BellRings definitive proxy statement filed with the SEC. Information regarding the directors and executive officers of BellRing is available in its definitive proxy statement, which was filed with the SEC on December 29, 2021, and its definitive proxy statement relating to the proposed transaction, which was filed with the SEC on February 3, 2022. Information regarding the directors and executive officers of Post is available in its definitive proxy statement, which was filed with the SEC on December 6, 2021. Free copies of these documents may be obtained as described above. </w:t>
      </w:r>
    </w:p>
    <w:p>
      <w:pPr>
        <w:pStyle w:val="TextBody"/>
        <w:spacing w:before="360" w:after="0"/>
        <w:jc w:val="left"/>
        <w:rPr>
          <w:rFonts w:ascii="Times New Roman" w:hAnsi="Times New Roman"/>
          <w:b/>
          <w:sz w:val="20"/>
        </w:rPr>
      </w:pPr>
      <w:r>
        <w:rPr>
          <w:rFonts w:ascii="Times New Roman" w:hAnsi="Times New Roman"/>
          <w:b/>
          <w:sz w:val="20"/>
        </w:rPr>
        <w:t xml:space="preserve">About BellRing Brands, Inc. </w:t>
      </w:r>
    </w:p>
    <w:p>
      <w:pPr>
        <w:pStyle w:val="TextBody"/>
        <w:spacing w:before="120" w:after="0"/>
        <w:jc w:val="left"/>
        <w:rPr>
          <w:rFonts w:ascii="Times New Roman" w:hAnsi="Times New Roman"/>
          <w:sz w:val="20"/>
        </w:rPr>
      </w:pPr>
      <w:r>
        <w:rPr>
          <w:rFonts w:ascii="Times New Roman" w:hAnsi="Times New Roman"/>
          <w:sz w:val="20"/>
        </w:rPr>
        <w:t xml:space="preserve">BellRing Brands, Inc. is a rapidly growing leader in the global convenient nutrition category offering ready-to-drink shake and powder protein products. Its primary brands, </w:t>
      </w:r>
      <w:r>
        <w:rPr>
          <w:rFonts w:ascii="Times New Roman" w:hAnsi="Times New Roman"/>
          <w:i/>
          <w:sz w:val="20"/>
        </w:rPr>
        <w:t>Premier Protein</w:t>
      </w:r>
      <w:r>
        <w:rPr>
          <w:rFonts w:ascii="Times New Roman" w:hAnsi="Times New Roman"/>
          <w:sz w:val="20"/>
        </w:rPr>
        <w:t xml:space="preserve">® and </w:t>
      </w:r>
      <w:r>
        <w:rPr>
          <w:rFonts w:ascii="Times New Roman" w:hAnsi="Times New Roman"/>
          <w:i/>
          <w:sz w:val="20"/>
        </w:rPr>
        <w:t>Dymatize</w:t>
      </w:r>
      <w:r>
        <w:rPr>
          <w:rFonts w:ascii="Times New Roman" w:hAnsi="Times New Roman"/>
          <w:sz w:val="20"/>
        </w:rPr>
        <w:t xml:space="preserve">®, appeal to a broad range of consumers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 </w:t>
      </w:r>
    </w:p>
    <w:p>
      <w:pPr>
        <w:pStyle w:val="TextBody"/>
        <w:spacing w:before="360" w:after="0"/>
        <w:jc w:val="left"/>
        <w:rPr>
          <w:rFonts w:ascii="Times New Roman" w:hAnsi="Times New Roman"/>
          <w:b/>
          <w:sz w:val="20"/>
        </w:rPr>
      </w:pPr>
      <w:r>
        <w:rPr>
          <w:rFonts w:ascii="Times New Roman" w:hAnsi="Times New Roman"/>
          <w:b/>
          <w:sz w:val="20"/>
        </w:rPr>
        <w:t xml:space="preserve">Contact: </w:t>
      </w:r>
    </w:p>
    <w:p>
      <w:pPr>
        <w:pStyle w:val="TextBody"/>
        <w:spacing w:before="120" w:after="0"/>
        <w:jc w:val="left"/>
        <w:rPr>
          <w:rFonts w:ascii="Times New Roman" w:hAnsi="Times New Roman"/>
          <w:sz w:val="20"/>
        </w:rPr>
      </w:pPr>
      <w:r>
        <w:rPr>
          <w:rFonts w:ascii="Times New Roman" w:hAnsi="Times New Roman"/>
          <w:sz w:val="20"/>
        </w:rPr>
        <w:t xml:space="preserve">Investor Relations </w:t>
      </w:r>
    </w:p>
    <w:p>
      <w:pPr>
        <w:pStyle w:val="TextBody"/>
        <w:spacing w:before="0" w:after="0"/>
        <w:jc w:val="left"/>
        <w:rPr>
          <w:rFonts w:ascii="Times New Roman" w:hAnsi="Times New Roman"/>
          <w:sz w:val="20"/>
        </w:rPr>
      </w:pPr>
      <w:r>
        <w:rPr>
          <w:rFonts w:ascii="Times New Roman" w:hAnsi="Times New Roman"/>
          <w:sz w:val="20"/>
        </w:rPr>
        <w:t xml:space="preserve">Jennifer Meyer </w:t>
      </w:r>
    </w:p>
    <w:p>
      <w:pPr>
        <w:pStyle w:val="TextBody"/>
        <w:spacing w:before="0" w:after="0"/>
        <w:jc w:val="left"/>
        <w:rPr>
          <w:rFonts w:ascii="Times New Roman" w:hAnsi="Times New Roman"/>
          <w:sz w:val="20"/>
        </w:rPr>
      </w:pPr>
      <w:r>
        <w:rPr>
          <w:rFonts w:ascii="Times New Roman" w:hAnsi="Times New Roman"/>
          <w:sz w:val="20"/>
        </w:rPr>
        <w:t xml:space="preserve">jennifer.meyer@postholdings.com </w:t>
      </w:r>
    </w:p>
    <w:p>
      <w:pPr>
        <w:pStyle w:val="TextBody"/>
        <w:spacing w:before="0" w:after="0"/>
        <w:jc w:val="left"/>
        <w:rPr>
          <w:rFonts w:ascii="Times New Roman" w:hAnsi="Times New Roman"/>
          <w:sz w:val="20"/>
        </w:rPr>
      </w:pPr>
      <w:r>
        <w:rPr>
          <w:rFonts w:ascii="Times New Roman" w:hAnsi="Times New Roman"/>
          <w:sz w:val="20"/>
        </w:rPr>
        <w:t xml:space="preserve">(314) 644-7665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Media Relations </w:t>
      </w:r>
    </w:p>
    <w:p>
      <w:pPr>
        <w:pStyle w:val="TextBody"/>
        <w:spacing w:before="0" w:after="0"/>
        <w:jc w:val="left"/>
        <w:rPr>
          <w:rFonts w:ascii="Times New Roman" w:hAnsi="Times New Roman"/>
          <w:sz w:val="20"/>
        </w:rPr>
      </w:pPr>
      <w:r>
        <w:rPr>
          <w:rFonts w:ascii="Times New Roman" w:hAnsi="Times New Roman"/>
          <w:sz w:val="20"/>
        </w:rPr>
        <w:t xml:space="preserve">Lisa Hanly </w:t>
      </w:r>
    </w:p>
    <w:p>
      <w:pPr>
        <w:pStyle w:val="TextBody"/>
        <w:spacing w:before="0" w:after="0"/>
        <w:jc w:val="left"/>
        <w:rPr>
          <w:rFonts w:ascii="Times New Roman" w:hAnsi="Times New Roman"/>
          <w:sz w:val="20"/>
        </w:rPr>
      </w:pPr>
      <w:r>
        <w:rPr>
          <w:rFonts w:ascii="Times New Roman" w:hAnsi="Times New Roman"/>
          <w:sz w:val="20"/>
        </w:rPr>
        <w:t xml:space="preserve">lisa.hanly@postholdings.com </w:t>
      </w:r>
    </w:p>
    <w:p>
      <w:pPr>
        <w:pStyle w:val="TextBody"/>
        <w:spacing w:before="0" w:after="0"/>
        <w:jc w:val="left"/>
        <w:rPr>
          <w:rFonts w:ascii="Times New Roman" w:hAnsi="Times New Roman"/>
          <w:sz w:val="20"/>
        </w:rPr>
      </w:pPr>
      <w:r>
        <w:rPr>
          <w:rFonts w:ascii="Times New Roman" w:hAnsi="Times New Roman"/>
          <w:sz w:val="20"/>
        </w:rPr>
        <w:t xml:space="preserve">(314) 665-3180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2878</Words>
  <CharactersWithSpaces>18564</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