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line="235" w:lineRule="auto"/>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218" w:lineRule="exact"/>
        <w:rPr>
          <w:sz w:val="24"/>
          <w:szCs w:val="24"/>
          <w:color w:val="auto"/>
        </w:rPr>
      </w:pPr>
    </w:p>
    <w:p>
      <w:pPr>
        <w:jc w:val="center"/>
        <w:ind w:left="4000" w:right="1400" w:hanging="2596"/>
        <w:spacing w:after="0" w:line="290" w:lineRule="auto"/>
        <w:tabs>
          <w:tab w:leader="none" w:pos="16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3" w:lineRule="exact"/>
        <w:rPr>
          <w:sz w:val="24"/>
          <w:szCs w:val="24"/>
          <w:color w:val="auto"/>
        </w:rPr>
      </w:pPr>
    </w:p>
    <w:p>
      <w:pPr>
        <w:jc w:val="center"/>
        <w:ind w:left="4040" w:right="1400" w:hanging="2640"/>
        <w:spacing w:after="0" w:line="294" w:lineRule="auto"/>
        <w:tabs>
          <w:tab w:leader="none" w:pos="159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 to _____</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130175</wp:posOffset>
            </wp:positionV>
            <wp:extent cx="136271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BellRing Brands,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2280" w:type="dxa"/>
            <w:vAlign w:val="bottom"/>
            <w:gridSpan w:val="2"/>
          </w:tcPr>
          <w:p>
            <w:pPr>
              <w:jc w:val="center"/>
              <w:ind w:left="27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520" w:type="dxa"/>
            <w:vAlign w:val="bottom"/>
            <w:gridSpan w:val="2"/>
          </w:tcPr>
          <w:p>
            <w:pPr>
              <w:jc w:val="right"/>
              <w:ind w:right="1659"/>
              <w:spacing w:after="0"/>
              <w:rPr>
                <w:sz w:val="20"/>
                <w:szCs w:val="20"/>
                <w:color w:val="auto"/>
              </w:rPr>
            </w:pPr>
            <w:r>
              <w:rPr>
                <w:rFonts w:ascii="Times New Roman" w:cs="Times New Roman" w:eastAsia="Times New Roman" w:hAnsi="Times New Roman"/>
                <w:sz w:val="18"/>
                <w:szCs w:val="18"/>
                <w:b w:val="1"/>
                <w:bCs w:val="1"/>
                <w:color w:val="auto"/>
              </w:rPr>
              <w:t>87-3296749</w:t>
            </w:r>
          </w:p>
        </w:tc>
      </w:tr>
      <w:tr>
        <w:trPr>
          <w:trHeight w:val="210"/>
        </w:trPr>
        <w:tc>
          <w:tcPr>
            <w:tcW w:w="7040" w:type="dxa"/>
            <w:vAlign w:val="bottom"/>
            <w:gridSpan w:val="6"/>
          </w:tcPr>
          <w:p>
            <w:pPr>
              <w:jc w:val="center"/>
              <w:ind w:right="13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520" w:type="dxa"/>
            <w:vAlign w:val="bottom"/>
            <w:gridSpan w:val="2"/>
          </w:tcPr>
          <w:p>
            <w:pPr>
              <w:jc w:val="center"/>
              <w:ind w:right="75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40"/>
        </w:trPr>
        <w:tc>
          <w:tcPr>
            <w:tcW w:w="1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20" w:type="dxa"/>
            <w:vAlign w:val="bottom"/>
            <w:gridSpan w:val="3"/>
          </w:tcPr>
          <w:p>
            <w:pPr>
              <w:jc w:val="center"/>
              <w:ind w:left="294"/>
              <w:spacing w:after="0"/>
              <w:rPr>
                <w:sz w:val="20"/>
                <w:szCs w:val="20"/>
                <w:color w:val="auto"/>
              </w:rPr>
            </w:pPr>
            <w:r>
              <w:rPr>
                <w:rFonts w:ascii="Times New Roman" w:cs="Times New Roman" w:eastAsia="Times New Roman" w:hAnsi="Times New Roman"/>
                <w:sz w:val="18"/>
                <w:szCs w:val="18"/>
                <w:b w:val="1"/>
                <w:bCs w:val="1"/>
                <w:color w:val="auto"/>
                <w:w w:val="99"/>
              </w:rPr>
              <w:t>1 N Brentwood Blvd., Suite 1550</w:t>
            </w:r>
          </w:p>
        </w:tc>
        <w:tc>
          <w:tcPr>
            <w:tcW w:w="64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197"/>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20" w:type="dxa"/>
            <w:vAlign w:val="bottom"/>
            <w:gridSpan w:val="3"/>
          </w:tcPr>
          <w:p>
            <w:pPr>
              <w:jc w:val="center"/>
              <w:ind w:left="314"/>
              <w:spacing w:after="0" w:line="198" w:lineRule="exact"/>
              <w:rPr>
                <w:sz w:val="20"/>
                <w:szCs w:val="20"/>
                <w:color w:val="auto"/>
              </w:rPr>
            </w:pPr>
            <w:r>
              <w:rPr>
                <w:rFonts w:ascii="Times New Roman" w:cs="Times New Roman" w:eastAsia="Times New Roman" w:hAnsi="Times New Roman"/>
                <w:sz w:val="18"/>
                <w:szCs w:val="18"/>
                <w:b w:val="1"/>
                <w:bCs w:val="1"/>
                <w:color w:val="auto"/>
                <w:w w:val="99"/>
              </w:rPr>
              <w:t>St. Louis, Missouri 63105</w:t>
            </w:r>
          </w:p>
        </w:tc>
        <w:tc>
          <w:tcPr>
            <w:tcW w:w="64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303"/>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gridSpan w:val="2"/>
          </w:tcPr>
          <w:p>
            <w:pPr>
              <w:jc w:val="center"/>
              <w:ind w:left="1114"/>
              <w:spacing w:after="0"/>
              <w:rPr>
                <w:sz w:val="20"/>
                <w:szCs w:val="20"/>
                <w:color w:val="auto"/>
              </w:rPr>
            </w:pPr>
            <w:r>
              <w:rPr>
                <w:rFonts w:ascii="Times New Roman" w:cs="Times New Roman" w:eastAsia="Times New Roman" w:hAnsi="Times New Roman"/>
                <w:sz w:val="18"/>
                <w:szCs w:val="18"/>
                <w:b w:val="1"/>
                <w:bCs w:val="1"/>
                <w:color w:val="auto"/>
                <w:w w:val="99"/>
              </w:rPr>
              <w:t>(314) 644-7652</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31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95"/>
        </w:trPr>
        <w:tc>
          <w:tcPr>
            <w:tcW w:w="1540" w:type="dxa"/>
            <w:vAlign w:val="bottom"/>
          </w:tcPr>
          <w:p>
            <w:pPr>
              <w:spacing w:after="0"/>
              <w:rPr>
                <w:sz w:val="16"/>
                <w:szCs w:val="16"/>
                <w:color w:val="auto"/>
              </w:rPr>
            </w:pPr>
          </w:p>
        </w:tc>
        <w:tc>
          <w:tcPr>
            <w:tcW w:w="228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180" w:type="dxa"/>
            <w:vAlign w:val="bottom"/>
          </w:tcPr>
          <w:p>
            <w:pPr>
              <w:spacing w:after="0"/>
              <w:rPr>
                <w:sz w:val="16"/>
                <w:szCs w:val="16"/>
                <w:color w:val="auto"/>
              </w:rPr>
            </w:pPr>
          </w:p>
        </w:tc>
        <w:tc>
          <w:tcPr>
            <w:tcW w:w="2040" w:type="dxa"/>
            <w:vAlign w:val="bottom"/>
            <w:gridSpan w:val="2"/>
          </w:tcPr>
          <w:p>
            <w:pPr>
              <w:jc w:val="center"/>
              <w:ind w:right="820"/>
              <w:spacing w:after="0"/>
              <w:rPr>
                <w:sz w:val="20"/>
                <w:szCs w:val="20"/>
                <w:color w:val="auto"/>
              </w:rPr>
            </w:pPr>
            <w:r>
              <w:rPr>
                <w:rFonts w:ascii="Times New Roman" w:cs="Times New Roman" w:eastAsia="Times New Roman" w:hAnsi="Times New Roman"/>
                <w:sz w:val="16"/>
                <w:szCs w:val="16"/>
                <w:color w:val="auto"/>
              </w:rPr>
              <w:t>Trading Symbol(s)</w:t>
            </w:r>
          </w:p>
        </w:tc>
        <w:tc>
          <w:tcPr>
            <w:tcW w:w="64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820" w:type="dxa"/>
            <w:vAlign w:val="bottom"/>
            <w:gridSpan w:val="3"/>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180" w:type="dxa"/>
            <w:vAlign w:val="bottom"/>
          </w:tcPr>
          <w:p>
            <w:pPr>
              <w:spacing w:after="0"/>
              <w:rPr>
                <w:sz w:val="20"/>
                <w:szCs w:val="20"/>
                <w:color w:val="auto"/>
              </w:rPr>
            </w:pPr>
          </w:p>
        </w:tc>
        <w:tc>
          <w:tcPr>
            <w:tcW w:w="2040" w:type="dxa"/>
            <w:vAlign w:val="bottom"/>
            <w:gridSpan w:val="2"/>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w w:val="98"/>
              </w:rPr>
              <w:t>BRBR</w:t>
            </w:r>
          </w:p>
        </w:tc>
        <w:tc>
          <w:tcPr>
            <w:tcW w:w="64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95"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75" w:lineRule="exact"/>
        <w:rPr>
          <w:sz w:val="24"/>
          <w:szCs w:val="24"/>
          <w:color w:val="auto"/>
        </w:rPr>
      </w:pPr>
    </w:p>
    <w:tbl>
      <w:tblPr>
        <w:tblLayout w:type="fixed"/>
        <w:tblInd w:w="300" w:type="dxa"/>
        <w:tblCellMar>
          <w:top w:w="0" w:type="dxa"/>
          <w:left w:w="0" w:type="dxa"/>
          <w:bottom w:w="0" w:type="dxa"/>
          <w:right w:w="0" w:type="dxa"/>
        </w:tblCellMar>
      </w:tblPr>
      <w:tr>
        <w:trPr>
          <w:trHeight w:val="27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6"/>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rPr>
          <w:sz w:val="20"/>
          <w:szCs w:val="20"/>
          <w:color w:val="auto"/>
        </w:rPr>
      </w:pPr>
      <w:r>
        <w:rPr>
          <w:rFonts w:ascii="Times New Roman" w:cs="Times New Roman" w:eastAsia="Times New Roman" w:hAnsi="Times New Roman"/>
          <w:sz w:val="16"/>
          <w:szCs w:val="16"/>
          <w:color w:val="auto"/>
        </w:rPr>
        <w:t>Act.</w:t>
      </w:r>
    </w:p>
    <w:p>
      <w:pPr>
        <w:spacing w:after="0" w:line="8"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Common Stock, $0.01 par value per share – 116,277,850 shares as of 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91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50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w:t>
            </w:r>
          </w:p>
        </w:tc>
        <w:tc>
          <w:tcPr>
            <w:tcW w:w="9220" w:type="dxa"/>
            <w:vAlign w:val="bottom"/>
            <w:tcBorders>
              <w:top w:val="single" w:sz="8" w:color="CCEEFF"/>
            </w:tcBorders>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7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Borders>
              <w:bottom w:val="single" w:sz="8" w:color="auto"/>
            </w:tcBorders>
          </w:tcPr>
          <w:p>
            <w:pPr>
              <w:spacing w:after="0"/>
              <w:rPr>
                <w:sz w:val="18"/>
                <w:szCs w:val="18"/>
                <w:color w:val="auto"/>
              </w:rPr>
            </w:pPr>
          </w:p>
        </w:tc>
      </w:tr>
      <w:tr>
        <w:trPr>
          <w:trHeight w:val="209"/>
        </w:trPr>
        <w:tc>
          <w:tcPr>
            <w:tcW w:w="57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w:t>
            </w:r>
          </w:p>
        </w:tc>
      </w:tr>
      <w:tr>
        <w:trPr>
          <w:trHeight w:val="229"/>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731.5</w:t>
            </w:r>
          </w:p>
        </w:tc>
      </w:tr>
      <w:tr>
        <w:trPr>
          <w:trHeight w:val="223"/>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3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r>
      <w:tr>
        <w:trPr>
          <w:trHeight w:val="23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3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196"/>
        </w:trPr>
        <w:tc>
          <w:tcPr>
            <w:tcW w:w="57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33.9</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58.7</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77.6</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135.6</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5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70"/>
        </w:trPr>
        <w:tc>
          <w:tcPr>
            <w:tcW w:w="5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bl>
    <w:p>
      <w:pPr>
        <w:spacing w:after="0" w:line="28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1960" w:type="dxa"/>
            <w:vAlign w:val="bottom"/>
            <w:gridSpan w:val="4"/>
          </w:tcPr>
          <w:p>
            <w:pPr>
              <w:jc w:val="center"/>
              <w:ind w:left="29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434"/>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80" w:type="dxa"/>
            <w:vAlign w:val="bottom"/>
            <w:tcBorders>
              <w:bottom w:val="single" w:sz="8" w:color="auto"/>
            </w:tcBorders>
          </w:tcPr>
          <w:p>
            <w:pPr>
              <w:spacing w:after="0"/>
              <w:rPr>
                <w:sz w:val="18"/>
                <w:szCs w:val="18"/>
                <w:color w:val="auto"/>
              </w:rPr>
            </w:pPr>
          </w:p>
        </w:tc>
      </w:tr>
      <w:tr>
        <w:trPr>
          <w:trHeight w:val="209"/>
        </w:trPr>
        <w:tc>
          <w:tcPr>
            <w:tcW w:w="53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58.7</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29"/>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foreign currency translation adjustments</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7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59.4</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77.2</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1"/>
        </w:trPr>
        <w:tc>
          <w:tcPr>
            <w:tcW w:w="5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24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82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88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(used in) provided by operating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commodity derivatives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changes in operating assets and liabilities: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in receivables, net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inventories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in prepaid expenses and other current assets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Increase in accounts payable and other current liabilities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50"/>
        </w:trPr>
        <w:tc>
          <w:tcPr>
            <w:tcW w:w="8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Additions to property</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8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withholding payments related to stock compensation plans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82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8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1"/>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r>
        <w:rPr>
          <w:rFonts w:ascii="Times New Roman" w:cs="Times New Roman" w:eastAsia="Times New Roman" w:hAnsi="Times New Roman"/>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As of and for the</w:t>
            </w:r>
          </w:p>
        </w:tc>
        <w:tc>
          <w:tcPr>
            <w:tcW w:w="240" w:type="dxa"/>
            <w:vAlign w:val="bottom"/>
          </w:tcPr>
          <w:p>
            <w:pPr>
              <w:spacing w:after="0"/>
              <w:rPr>
                <w:sz w:val="16"/>
                <w:szCs w:val="16"/>
                <w:color w:val="auto"/>
              </w:rPr>
            </w:pPr>
          </w:p>
        </w:tc>
        <w:tc>
          <w:tcPr>
            <w:tcW w:w="2100" w:type="dxa"/>
            <w:vAlign w:val="bottom"/>
            <w:gridSpan w:val="4"/>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As of and for the</w:t>
            </w:r>
          </w:p>
        </w:tc>
      </w:tr>
      <w:tr>
        <w:trPr>
          <w:trHeight w:val="162"/>
        </w:trPr>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center"/>
              <w:ind w:right="48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center"/>
              <w:ind w:right="171"/>
              <w:spacing w:after="0" w:line="162" w:lineRule="exact"/>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60" w:type="dxa"/>
            <w:vAlign w:val="bottom"/>
            <w:tcBorders>
              <w:bottom w:val="single" w:sz="8" w:color="auto"/>
            </w:tcBorders>
          </w:tcPr>
          <w:p>
            <w:pPr>
              <w:spacing w:after="0"/>
              <w:rPr>
                <w:sz w:val="18"/>
                <w:szCs w:val="18"/>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and 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3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Activity under stock and deferred compensation plans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0"/>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30"/>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r>
      <w:tr>
        <w:trPr>
          <w:trHeight w:val="223"/>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r>
      <w:tr>
        <w:trPr>
          <w:trHeight w:val="20"/>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information and where indicated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BASIS OF PRESENTATION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BellRing Brands, Inc. is a consumer products holding company operating in the global proactive wellness category and is a provider of ready-to-drink (“RTD”) protein shakes and powders. The Company’s principal products are protein-based consumer goods and its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indicates, all references in these financial statements and notes to “BellRing,” the “Company,” “us,” “our” or “we” mean BellRing Brands, Inc. and its subsidiaries.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accounting principles generally accepted in the United States of America (“GAAP”), under the rules and regulations of the United States (the “U.S.”) Securities and Exchange Commission (the “SEC”), and on a basis substantially consistent with the audited consolidated financial statements of the Company as of and for the fiscal year ended September 30, 2025. These unaudited condensed consolidated financial statements should be read in conjunction with such audited consolidated financial statements, which are included in the Company’s Annual Report on Form 10-K for the fiscal year ended September 30, 2025, filed with the SEC on November 18, 2025.</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 comprehensive income, financial condition, cash flows and stockholders’ equity for the interim periods presented. Interim results are not necessarily indicative of the results for any other interim period or for the entire fiscal year. Certain reclassifications have been made to previously reported financial information to conform to the current year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RECENTLY ISSUED ACCOUNTING STANDARDS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condition, cash flows, stockholders’ equity or related disclosures based on current information.</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(the “FASB”) issued Accounting Standards Update (“ASU”) 2025-06, “Intangibles — Goodwill and Other — Internal-Use Software (Subtopic 350-40): Targeted Improvements to the Accounting for Internal-Use Software.” This ASU is effective for fiscal years beginning after December 15, 2027 (i.e., the Company’s annual financial statements for the year ended September 30, 2029), with early adoption permitted. This ASU can be adopted either (i) prospectively, (ii) using a modified transition approach or (iii) retrospectively. The Company is currently evaluating the impact of this standard.</w:t>
      </w:r>
    </w:p>
    <w:p>
      <w:pPr>
        <w:spacing w:after="0" w:line="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Reporting Comprehensive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Expense Disaggregation Disclosures (Subtopic 220-40): Disaggregation of Income Statement Expenses.” This ASU is effective for fiscal years beginning after December 15, 2026 (i.e., the Company’s annual financial statements for the year ended September 30, 2028) and for interim periods within fiscal years beginning after December 15, 2027 (i.e., the Company’s interim financial statements for the three months ended December 31, 2028), with early adoption permitted. This ASU can be adopted either (i) prospectively to financial statements issued for reporting periods after the effective date of this ASU or (ii) retrospectively to any or all prior periods presented in the financial statements. The Company is currently evaluating the impact of this standard.</w:t>
      </w:r>
    </w:p>
    <w:p>
      <w:pPr>
        <w:spacing w:after="0" w:line="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ASU is effective for fiscal years beginning after December 15, 2024 (i.e., the Company’s annual financial statements for the year ended September 30, 2026), with early adoption permitted. This ASU should be adopted prospectively; however, retrospective adoption is permitted. Upon adoption, the impact of ASU 2023-09 will be limited to certain notes to the Company’s annual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sales by product.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Shakes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Powders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w:t>
            </w:r>
          </w:p>
        </w:tc>
      </w:tr>
      <w:tr>
        <w:trPr>
          <w:trHeight w:val="21"/>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Transactions between the Company and Post Holdings, Inc. (“Post”) are considered related party transactions as certain of the Company’s directors serve as officers and/or directors of Post.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MSA Fees and Royalties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used certain functions and services performed by Post under a master services agreement (the “MSA”), which expired during March 2026. These functions and services included finance, internal audit, treasury, information technology support, insurance and tax matters, the use of office and/or data center space, tax compliance services and, prior to January 2025, payroll processing services. All of these functions and services were fully transferred prior to the expiration of the MSA. Fees under the MSA were $0.3 and $1.0 during the three and six months ended March 31, 2026, respectively, and $0.7 and $1.6 during the three and six months ended March 31, 2025, respectively. MSA fees were reported in “Selling, general and administrative expenses” in the Condensed Consolidated Statements of Operations.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licenses certain intellectual property to and from Post and its subsidiaries based upon prices governed by agreements between the Company and Post and its subsidiaries, consistent with prices of similar arm's-length transactions. During both the three and six months ended March 31, 2026 and 2025, royalties paid to and received from Post and its subsidiaries were immaterial.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Co-Packing Agreement</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Premier Nutrition Company, LLC (“Premier Nutrition”), a subsidiary of the Company, has a co-packing agreement with Comet Processing, Inc. (“Comet”), a wholly-owned subsidiary of Post (the “Co-Packing Agreement”). Under the Co-Packing Agreement, Premier Nutrition procures certain packaging materials for Comet that Comet utilizes in the production of RTD shakes for Premier Nutrition. The Company purchased $27.1 and $46.5 of RTD shakes from Comet during the three and six months ended March 31, 2026, respectively, and $20.8 and $27.1 of RTD shakes from Comet during the three and six months ended March 31, 2025, respectively.</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and September 30, 2025, the Company had current payables with Post of $2.6 and $3.7, respectively, related to RTD shake purchases and MSA fees, which were included in “Accounts payable” on the Condensed Consolidated Balance Sheets. Current receivables with Post at both March 31, 2026 and September 30, 2025 were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earnings per share is based on the average number of shares of common stock outstanding during each period. Diluted earnings per share is based on the average number of shares of common stock used for the basic earnings per share calculation, adjusted for the dilutive effect of stock options and restricted stock units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70"/>
        </w:trPr>
        <w:tc>
          <w:tcPr>
            <w:tcW w:w="6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for basic earnings per share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diluted earnings per share</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7"/>
        </w:trPr>
        <w:tc>
          <w:tcPr>
            <w:tcW w:w="6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securities that have been excluded from the calculation of weighted-average shares for diluted earnings per share as they were anti-dilutive.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96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1"/>
        </w:trPr>
        <w:tc>
          <w:tcPr>
            <w:tcW w:w="630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7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0.3</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76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0.4</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08"/>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INVENTORIES</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63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23"/>
        </w:trPr>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PROPERTY, NET</w:t>
            </w: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3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63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at cost</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7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48"/>
        </w:trPr>
        <w:tc>
          <w:tcPr>
            <w:tcW w:w="6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net</w:t>
            </w: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“Goodwill” on the Condensed Consolidated Balance Sheets at both March 31, 2026 and September 30, 2025 are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48"/>
        </w:trPr>
        <w:tc>
          <w:tcPr>
            <w:tcW w:w="9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INTANGIBLE ASSETS, NET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8"/>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right"/>
              <w:ind w:right="453"/>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r>
      <w:tr>
        <w:trPr>
          <w:trHeight w:val="214"/>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1"/>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DERIVATIVE FINANCIAL INSTRUMENTS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The Company utilizes derivative instruments, such as futures and option contracts, to manage certain of these exposures by hedging when it is practical to do so. The Company does not hold or issue financial instruments for speculative or trading purposes.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March 31, 2026, the Company’s derivative instruments, none of which were designated as hedging instruments under Accounting Standards Codification (“ASC”) Topic 815, “Derivatives and Hedging,” consisted of commodity futures and option contracts which relate to inputs that generally will be utilized within the next twelve months. The notional amounts of the commodity contracts were $120.4 and $136.6 at March 31, 2026 and September 30, 2025, respectively.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 sheet location and fair value of the Company’s commodity contracts. The Company does not offset derivative assets and liabilities within the Condensed Consolidated Balance Sheets.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bl>
    <w:p>
      <w:pPr>
        <w:spacing w:after="0" w:line="16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commodity derivative (gains) losses, which were recorded in “Cost of goods sold” in the Condensed Consolidated Statements of Operations.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r>
      <w:tr>
        <w:trPr>
          <w:trHeight w:val="210"/>
        </w:trPr>
        <w:tc>
          <w:tcPr>
            <w:tcW w:w="6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loss (gain) on derivatives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8"/>
              </w:rPr>
              <w:t>(1.4)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(gain) loss on derivatives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required to maintain cash margin accounts with clearing brokers in connection with its exchange-traded commodity derivative instruments. As of March 31, 2026, the Company had received cash collateral from counterparties of $12.8, which was recorded within “Other current liabilities” on the Condensed Consolidated Balance Sheets. As of March 31, 2026 and September 30, 2025, the Company had posted cash collateral to counterparties of $0.6 and $17.3, respectively, which was recorded as “Restricted cash” on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utilizes the income approach to measure fair value for its commodity derivatives using Level 2 inputs. The income approach uses pricing models that rely on market observable inputs such as yield curves and forward prices. Refer to Note 10 for the classification of changes in fair value of derivative assets and liabilities measured at fair value on a recurring basis within the Condensed Consolidated Statements of Operations.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financial assets and liabilities also include cash, cash equivalents and restricted cash, receivables and accounts payable for which the carrying value approximates fair value due to their short maturities (less than 12 months). The Company does not record its long-term debt at fair value on the Condensed Consolidated Balance Sheets. The fair value of any outstanding borrowings under the Revolving Credit Facility (as defined in Note 12) approximated its carrying value. Based on market rates, the fair value (Level 2) of the Company’s debt, excluding any outstanding borrowings under the Revolving Credit Facility, was $842.2 and $869.0 as of March 31, 2026 and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assets and liabilities, including property, goodwill and other intangible assets, are measured at fair value on a non-recurring basis using Level 3 inputs.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“Long-term debt” on the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senior notes maturing in March 2030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10, 2022, the Company entered into a credit agreement (as amended, the “Credit Agreement”), which provided for a revolving credit facility in an aggregate principal amount of $250.0 (the “Revolving Credit Facility”), with commitments made available to the Company in U.S. Dollars, Euros and United Kingdom (“U.K.”) Pounds Sterling. Letters of credit are available under the Credit Agreement in an aggregate amount of up to $20.0.</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22, 2025, the Company entered into a First Amendment to the Credit Agreement (the “Amendment”) by and among the Company, as borrower, certain of the Company’s subsidiaries, as guarantors, JPMorgan Chase Bank, N.A. as administrative agent and each lender (as defined in the Credit Agreement).</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Amendment amended the Company’s Credit Agreement to, among other matters, (i) increase the aggregate principal amount available under the Revolving Credit Facility to $500.0, (ii) extend the maturity date of the Revolving Credit Facility to August 22, 2030, provided that if on December 14, 2029, the Company’s 7.00% Senior Notes have not been redeemed in full in cash or refinanced and replaced in full with notes and/or loans maturing at least 91 days after August 22, 2030, then the maturity date of the Revolving Credit Facility will be December 14, 2029, (iii) reduce the interest rate on borrowings under the Revolving Credit Facility (as discussed below) and (iv) broaden certain exceptions to covenants contained in the Credit Agreement that would otherwise restrict certain activities by the Company, such as repurchases by the Company of its common stock.</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Following the Amendment, borrowings under the Revolving Credit Facility bear interest at an annual rate equal to: (i) in the case of loans denominated in U.S. Dollars, at the Company’s option, the base rate (as defined in the Credit Agreement) plus a margin which will range from 1.00% to 1.75% depending on the Company’s secured net leverage ratio (as defined in the Credit Agreement), or the term SOFR rate (as defined in the Credit Agreement) for the applicable interest period plus a margin which will range from 2.00% to 2.75% depending on the Company’s secured net leverage ratio; (ii) in the case of loans denominated in Euros, the adjusted Eurodollar rate (as defined in the Credit Agreement) for the applicable interest period plus a margin which will range from 2.00% to 2.75% depending on the Company’s secured net leverage ratio; and (iii) in the case of loans denominated in U.K. Pounds Sterling, the daily simple RFR (as defined in the Credit Agreement) plus a margin which will range from 2.00% to 2.75% depending on the Company’s secured net leverage ratio. Facility fees on the daily unused amount of commitments under the Revolving Credit Facility initially will accrue at rates ranging from 0.25% to 0.35% per annum, depending on the Company’s secured net leverage ratio.</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the Amendment, borrowings under the Revolving Credit Facility bore interest at an annual rate equal to: (i) in the case of loans denominated in U.S. Dollars, at the Company’s option, the base rate (as defined in the Credit Agreement) plus a margin which ranged from 2.00% to 2.75% depending on the Company’s secured net leverage ratio (as defined in the Credit Agreement), or the adjusted term SOFR rate (as defined in the Credit Agreement) for the applicable interest period plus a margin which ranged from 3.00% to 3.75% depending on the Company’s secured net leverage ratio; (ii) in the case of loans denominated in Euros, the adjusted Eurodollar rate (as defined in the Credit Agreement) for the applicable interest period plus a margin which ranged from 3.00% to 3.75% depending on the Company’s secured net leverage ratio; and (iii) in the case of loans denominated in U.K. Pounds Sterling, the adjusted daily simple RFR (as defined in the Credit Agreement) plus a margin which ranged from 3.00% to 3.75% depending on the Company’s secured net leverage ratio. Facility fees on the daily unused amount of commitments under the Revolving Credit Facility accrued at rates ranging from 0.25% to 0.375% per annum, depending on the Company’s secured net leverage ratio.</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March 31, 2026, the Company borrowed $265.0 and repaid $165.0 under the Revolving Credit Facility. During the six months ended March 31, 2025, the Company borrowed $230.0 and repaid $110.0 under the Revolving Credit Facility. As of March 31, 2026, the interest rate on the utilized portion of the Revolving Credit Facility was 5.82% and the available borrowing capacity under the Revolving Credit Facility was $147.6, taking into account the $2.4 in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letters of credit, which reduces the amount available for borrowing under the Revolving Credit Facility. As of September 30, 2025, the interest rate on the utilized portion of the Revolving Credit Facility was 6.14% and the available borrowing capacity under the Revolving Credit Facility was $247.6, taking into account the $2.4 in outstanding letters of credit.</w:t>
      </w:r>
    </w:p>
    <w:p>
      <w:pPr>
        <w:spacing w:after="0" w:line="6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 the Company is required to maintain a total net leverage ratio (as defined in the Credit Agreement) not to exceed 6.00:1.00, measured as of the last day of each fiscal quarter. The total net leverage ratio of the Company did not exceed this threshold as of March 31, 2026.</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securing, and guarantees of, the Company’s obligations under the Credit Agreement.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Credit Agreement are unconditionally guaranteed by its existing and subsequently acquired or organized direct and indirect subsidiaries (other than immaterial subsidiaries, certain excluded subsidiaries and subsidiaries the Company designates as unrestricted subsidiaries) and are secured by security interests in substantially all of the Company’s assets and the assets of its subsidiary guarantors, but excluding, in each case, real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Juice Litigation</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line of glucosamine and chondroitin dietary supplement beverages, which it discontinued in the first quarter of fiscal 2023, were false and misleading. In April 2016, the district court certified a California-only class of consumers in this lawsuit (this lawsuit is hereinafter referred to as the “California Federal Class Lawsuit”). In April 2018, the district court dismissed the California Federal Class Lawsuit with prejudice. This dismissal was upheld on appeal by the U.S. Court of Appeals for the Ninth Circuit in 2020, and plaintiff’s petition for an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rehearing by the Ninth Circuit was denied.</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2020, the same lead counsel re-filed the California Federal Class Lawsuit against Premier Nutrition in the California Superior Court for the County of Alameda, alleging identical claims and seeking restitution and injunctive relief on behalf of the same putative class of California consumers as the California Federal Class Lawsuit. In March 2023, the Alameda Superior Court granted in part and denied in part Premier Nutrition’s motion for judgment based on res judicata, and in May 2023, the Court reaffirmed its ruling. In July 2023, Premier Nutrition filed a petition for writ of mandamus in the California Court of Appeal, which writ was denied in March 2024. In November 2023, the Court certified the case as a class action. Trial is currently stayed pending the resolution of the appeal in the action on behalf of New York consumers described in more detail below (the “New York Case”). In January 2025, the plaintiff filed a motion for the application of issue preclusion arising from certain rulings in the New York Case. On May 14, 2025, the court entered an order holding that issue preclusion will apply on certain issues.</w:t>
      </w:r>
    </w:p>
    <w:p>
      <w:pPr>
        <w:spacing w:after="0" w:line="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 “Related Federal Actions”). These complaints contain factual allegations similar to the California Federal Class Lawsuit, also seeking monetary damages and injunctive relief. The action on behalf of New Jersey consumers was voluntarily dismissed. Trial in the New York Case was held beginning in May 2022, and the jury delivered its verdict in favor of plaintiff in June 2022. In August 2022, the Court entered a judgment in that case in favor of plaintiff in the amount of $12.9, which includes statutory damages and prejudgment interest, and in August 2023, the Court entered a judgment awarding plaintiff $7.9 in attorneys’ fees and costs. In October 2022, each plaintiff and Premier Nutrition filed Notices of Appeal to the Ninth Circuit on the damages award and in December 2023 Premier Nutrition filed its Notice of Appeal to the Ninth Circuit on the attorneys’ fees award. In August 2024, the Court of Appeals issued an opinion on the damages award affirming the trial court’s decision on liability, vacating and remanding to the trial court for further consideration its decision on calculated damages and reversing the trial court’s award of prejudgment interest to plaintiff. Premier Nutrition’s subsequent petition for en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banc rehearing with the Ninth Circuit Court of Appeals was denied in October 2024. On January 25, 2025, the Ninth Circuit affirmed the trial court’s attorneys’ fees award. On February 3, 2025, the trial court entered an order awarding $0.9 in attorneys’ fees and costs. On March 10, 2025, the trial court entered an order again limiting statutory damages to $8.3 under the due process clause. Each plaintiff and Premier Nutrition filed Notices of Appeal to the Ninth Circuit on the damages award. On March 13, 2025, Premier Nutrition filed a certiorari petition with the United States Supreme Court seeking review of the Ninth Circuit’s merits decision.</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In February 2025, the court set a trial date for February 2026 in the Related Federal Action on behalf of the class of consumers in Illinois (the “Illinois Case”). Plaintiff filed a motion to apply issue preclusion from certain rulings in the New York Case to the Illinois Ca</w:t>
      </w:r>
      <w:r>
        <w:rPr>
          <w:rFonts w:ascii="Times New Roman" w:cs="Times New Roman" w:eastAsia="Times New Roman" w:hAnsi="Times New Roman"/>
          <w:sz w:val="18"/>
          <w:szCs w:val="18"/>
          <w:color w:val="000000"/>
        </w:rPr>
        <w:t>se. On May 2, 2025, the trial court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entered an order holding that issue preclusion will apply in the Illinois Case on the issues of deceptiveness, materiality, the measure of damages, and the First Amendment, but not on the issues of causation, intent, or punitive damages. The court certified individual state classes in each of the seven other Related Federal Actions (except New Mexico).</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 (the “California State Case”). In July 2020, the court issued an order certifying a statewide class. Premier Nutrition moved for summary judgment in July 2023, which motion remains pending. In January 2025, the plaintiff filed a motion for the application of issue preclusion arising from certain rulings in the New York Case decision. </w:t>
      </w:r>
      <w:r>
        <w:rPr>
          <w:rFonts w:ascii="Times New Roman" w:cs="Times New Roman" w:eastAsia="Times New Roman" w:hAnsi="Times New Roman"/>
          <w:sz w:val="18"/>
          <w:szCs w:val="18"/>
          <w:color w:val="231F20"/>
        </w:rPr>
        <w:t>On May 14, 2025, the court entered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order holding that issue preclusion will apply on certain issues.</w:t>
      </w:r>
    </w:p>
    <w:p>
      <w:pPr>
        <w:spacing w:after="0" w:line="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June 25, 2025, the parties reached a class-wide settlement in principle related to the </w:t>
      </w:r>
      <w:r>
        <w:rPr>
          <w:rFonts w:ascii="Times New Roman" w:cs="Times New Roman" w:eastAsia="Times New Roman" w:hAnsi="Times New Roman"/>
          <w:sz w:val="18"/>
          <w:szCs w:val="18"/>
          <w:i w:val="1"/>
          <w:iCs w:val="1"/>
          <w:color w:val="auto"/>
        </w:rPr>
        <w:t>Joint Juice Litigation,</w:t>
      </w:r>
      <w:r>
        <w:rPr>
          <w:rFonts w:ascii="Times New Roman" w:cs="Times New Roman" w:eastAsia="Times New Roman" w:hAnsi="Times New Roman"/>
          <w:sz w:val="18"/>
          <w:szCs w:val="18"/>
          <w:color w:val="auto"/>
        </w:rPr>
        <w:t xml:space="preserve"> which includes the California Federal Class Lawsuit, all of the Related Federal Actions and the California State Case through a court-ordered settlement conference, which settlement in principle is subject to judicial approval. On June 26, 2025, the parties filed a joint motion with the United States Supreme Court to hold the certiorari petition in the New York Case in abeyance pending approval of the class settlement. On July 2, 2025, the parties filed a joint motion with the Ninth Circuit to hold the appeal in the New York Case in abeyance pending approval of the class settlement.</w:t>
      </w:r>
    </w:p>
    <w:p>
      <w:pPr>
        <w:spacing w:after="0" w:line="7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17, 2025, the parties executed a Stipulation of Settlement in the New York Case (the “New York Settlement”). On October 20, 2025, Plaintiff filed an unopposed motion for preliminary approval of the New York Settlement. On December 5, 2025, the court granted preliminary approval of the New York Settlement and scheduled a final approval hearing. On March 20, 2026, Plaintiff filed an unopposed motion for final approval of the New York Settlement. The final approval hearing is scheduled for May 7, 2026. Pursuant to the terms of the New York Settlement, the Company paid $2.0 into a settlement fund to resolve the New York Case. If the settlement receives final approval and becomes effective, the Company will pay an additional $17.2 into that settlement fund. The New York Settlement does not constitute an admission of liability or wrongdoing by the Company or any of its current or former directors or officers.</w:t>
      </w:r>
    </w:p>
    <w:p>
      <w:pPr>
        <w:spacing w:after="0" w:line="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22, 2025, the parties executed a Stipulation of Settlement in the California State Case (the “Multistate Settlement”). The Multistate Settlement also encompasses the California Federal Class Lawsuit (which has been consolidated with the California State Case) and the Related Federal Actions (which were added to the California State Case via a stipulated amended complaint pursuant to the terms of the Multistate Settlement) excluding New York and New Mexico. On October 23, 2025, Plaintiffs filed an unopposed motion for preliminary approval of the Multistate Settlement. On January 8, 2026, the court granted preliminary approval of the Multistate Settlement and scheduled a final approval hearing. On March 20, 2026, Plaintiff filed an unopposed motion for final approval of the Multistate Settlement. The final approval hearing is scheduled for May 5, 2026. Pursuant to the terms of the Multistate Settlement, the Company paid $2.0 into a settlement fund to resolve the Multistate Case. Pursuant to the terms of the Multistate Settlement, if the settlement receives final approval and becomes effective, the Company will pay a total of $70.8 into a settlement fund to resolve the California State Case, California Federal Class Lawsuit, and Related Federal Actions excluding New York and New Mexico. The Multistate Settlement does not constitute an admission of liability or wrongdoing by the Company or any of its current or former directors or officers.</w:t>
      </w:r>
    </w:p>
    <w:p>
      <w:pPr>
        <w:spacing w:after="0" w:line="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12, 2025, the parties entered into a confidential settlement agreement and release in the New Mexico Federal Related Action, which is not subject to court approval. Pursuant to the terms of the settlement agreement, the Company made an immaterial payment to resolve the New Mexico action and plaintiff filed a notice of voluntary dismissal with prejudice on December 15, 2025.</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than legal fees, no expense related to this litigation was incurred during the three or six months ended March 31, 2026. During the three and six months ended March 31, 2025, the Company expensed $0.9 related to the legal matter and plaintiff legal fees in connection with the Joint Juice litigation, which was included in “Selling, general and administrative expenses” on the Condensed Consolidated Statements of Operations. At March 31, 2026 and September 30, 2025, the Company had an estimated liability of $86.0 and $90.0, respectively, related to these matters that was included in “Other current liabilities”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Putative Securities Class Action and Related Shareholder Derivative Actions</w:t>
      </w:r>
    </w:p>
    <w:p>
      <w:pPr>
        <w:spacing w:after="0" w:line="11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January 22, 2026, a putative securities class action captioned </w:t>
      </w:r>
      <w:r>
        <w:rPr>
          <w:rFonts w:ascii="Times New Roman" w:cs="Times New Roman" w:eastAsia="Times New Roman" w:hAnsi="Times New Roman"/>
          <w:sz w:val="18"/>
          <w:szCs w:val="18"/>
          <w:i w:val="1"/>
          <w:iCs w:val="1"/>
          <w:color w:val="auto"/>
        </w:rPr>
        <w:t>Denha v. BellRing Brands, Inc.</w:t>
      </w:r>
      <w:r>
        <w:rPr>
          <w:rFonts w:ascii="Times New Roman" w:cs="Times New Roman" w:eastAsia="Times New Roman" w:hAnsi="Times New Roman"/>
          <w:sz w:val="18"/>
          <w:szCs w:val="18"/>
          <w:color w:val="auto"/>
        </w:rPr>
        <w:t xml:space="preserve"> was filed in the U.S. District Court for the Southern District of New York against the Company and Darcy Horn Davenport, the Company’s President and Chief Executive Officer, and Paul Rode, the Company’s Chief Financial Officer and Treasurer. The complaint alleges violations of Sections 10(b) and 20(a) of the Securities Exchange Act of 1934 and Rule 10b-5 based on alleged misstatements regarding the Company’s financial performance and prospects during the period from November 19, 2024 through August 4, 2025. The plaintiff seeks unspecified compensatory damages, attorneys’ fees and other relief as the court may deem appropriate. The court appointed lead plaintiff and lead counsel on April 10, 2026. On April 13, 2026, the court recaptioned the case </w:t>
      </w:r>
      <w:r>
        <w:rPr>
          <w:rFonts w:ascii="Times New Roman" w:cs="Times New Roman" w:eastAsia="Times New Roman" w:hAnsi="Times New Roman"/>
          <w:sz w:val="18"/>
          <w:szCs w:val="18"/>
          <w:i w:val="1"/>
          <w:iCs w:val="1"/>
          <w:color w:val="auto"/>
        </w:rPr>
        <w:t>In re: BellRing Brands, Inc.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(the “Securities Action”), ordered the lead plaintiff to file an amended complaint by May 8, 2026 and scheduled oral argument on any motion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dismiss for July 16, 2026.</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intends to defend the Securities Action vigorously. Given the early stage of this litigation, the Company is unable to predict the outcome or estimate the amount of loss, if any, that may result from the litigation.</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18, 2026, William Miller filed a shareholder derivative action in the U.S. District Court for the District of Delaware purportedly on behalf of, and for the benefit of, BellRing Brands, Inc. against Darcy Horn Davenport, Robert V. Vitale, Thomas P. Erickson, Elliot H. Stein, Jr., Jennifer Kuperman Johnson, Chonda J. Nwamu, Shawn W. Conway, and David I. Finkelstein (the “</w:t>
      </w:r>
      <w:r>
        <w:rPr>
          <w:rFonts w:ascii="Times New Roman" w:cs="Times New Roman" w:eastAsia="Times New Roman" w:hAnsi="Times New Roman"/>
          <w:sz w:val="18"/>
          <w:szCs w:val="18"/>
          <w:i w:val="1"/>
          <w:iCs w:val="1"/>
          <w:color w:val="auto"/>
        </w:rPr>
        <w:t>Miller</w:t>
      </w:r>
      <w:r>
        <w:rPr>
          <w:rFonts w:ascii="Times New Roman" w:cs="Times New Roman" w:eastAsia="Times New Roman" w:hAnsi="Times New Roman"/>
          <w:sz w:val="18"/>
          <w:szCs w:val="18"/>
          <w:color w:val="auto"/>
        </w:rPr>
        <w:t xml:space="preserve"> Action”). On March 11, 2026, Joshua Green filed a shareholder derivative action in the U.S. District Court for the Southern District of New York purportedly on behalf of, and for the benefit of, BellRing against the </w:t>
      </w:r>
      <w:r>
        <w:rPr>
          <w:rFonts w:ascii="Times New Roman" w:cs="Times New Roman" w:eastAsia="Times New Roman" w:hAnsi="Times New Roman"/>
          <w:sz w:val="18"/>
          <w:szCs w:val="18"/>
          <w:i w:val="1"/>
          <w:iCs w:val="1"/>
          <w:color w:val="auto"/>
        </w:rPr>
        <w:t>Miller</w:t>
      </w:r>
      <w:r>
        <w:rPr>
          <w:rFonts w:ascii="Times New Roman" w:cs="Times New Roman" w:eastAsia="Times New Roman" w:hAnsi="Times New Roman"/>
          <w:sz w:val="18"/>
          <w:szCs w:val="18"/>
          <w:color w:val="auto"/>
        </w:rPr>
        <w:t xml:space="preserve"> Action defendants, excluding Mr. Finkelstein, and Paul Rode, which complaint was amended on March 12, 2026 and voluntarily dismissed on March 17, 2026. On March 26, 2026, Joshua Green re-filed his shareholder derivative action in the U.S. District Court for the District of Delaware purportedly on behalf of, and for the benefit of, BellRing against the </w:t>
      </w:r>
      <w:r>
        <w:rPr>
          <w:rFonts w:ascii="Times New Roman" w:cs="Times New Roman" w:eastAsia="Times New Roman" w:hAnsi="Times New Roman"/>
          <w:sz w:val="18"/>
          <w:szCs w:val="18"/>
          <w:i w:val="1"/>
          <w:iCs w:val="1"/>
          <w:color w:val="auto"/>
        </w:rPr>
        <w:t>Miller</w:t>
      </w:r>
      <w:r>
        <w:rPr>
          <w:rFonts w:ascii="Times New Roman" w:cs="Times New Roman" w:eastAsia="Times New Roman" w:hAnsi="Times New Roman"/>
          <w:sz w:val="18"/>
          <w:szCs w:val="18"/>
          <w:color w:val="auto"/>
        </w:rPr>
        <w:t xml:space="preserve"> Action defendants, excluding Mr. Finkelstein, and Paul Rode, (the “</w:t>
      </w:r>
      <w:r>
        <w:rPr>
          <w:rFonts w:ascii="Times New Roman" w:cs="Times New Roman" w:eastAsia="Times New Roman" w:hAnsi="Times New Roman"/>
          <w:sz w:val="18"/>
          <w:szCs w:val="18"/>
          <w:i w:val="1"/>
          <w:iCs w:val="1"/>
          <w:color w:val="auto"/>
        </w:rPr>
        <w:t>Green</w:t>
      </w:r>
      <w:r>
        <w:rPr>
          <w:rFonts w:ascii="Times New Roman" w:cs="Times New Roman" w:eastAsia="Times New Roman" w:hAnsi="Times New Roman"/>
          <w:sz w:val="18"/>
          <w:szCs w:val="18"/>
          <w:color w:val="auto"/>
        </w:rPr>
        <w:t xml:space="preserve"> Action,” and, with the </w:t>
      </w:r>
      <w:r>
        <w:rPr>
          <w:rFonts w:ascii="Times New Roman" w:cs="Times New Roman" w:eastAsia="Times New Roman" w:hAnsi="Times New Roman"/>
          <w:sz w:val="18"/>
          <w:szCs w:val="18"/>
          <w:i w:val="1"/>
          <w:iCs w:val="1"/>
          <w:color w:val="auto"/>
        </w:rPr>
        <w:t>Miller</w:t>
      </w:r>
      <w:r>
        <w:rPr>
          <w:rFonts w:ascii="Times New Roman" w:cs="Times New Roman" w:eastAsia="Times New Roman" w:hAnsi="Times New Roman"/>
          <w:sz w:val="18"/>
          <w:szCs w:val="18"/>
          <w:color w:val="auto"/>
        </w:rPr>
        <w:t xml:space="preserve"> Action, the “Related Shareholder Derivative Actions”). The complaints in the Related Shareholder Derivative Actions allege violations of federal securities laws and related state law claims based on allegations substantially similar to the allegations in the Securities Action and seek, among other things, awarding the Company unspecified monetary damages, equitable relief to remedy breaches of fiduciary duties, improvements in the Company's compliance, internal control systems, and corporate governance practices, restitution from the individual defendants and disgorgement of profits, benefits, and other compensation, attorney's fees and expenses, and such other relief as the court deems proper.</w:t>
      </w:r>
    </w:p>
    <w:p>
      <w:pPr>
        <w:spacing w:after="0" w:line="8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Given the early stage of the Related Shareholder Derivative Actions, the Company is unable to predict the outcome or estimate the amount of loss, if any, that may result from them.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condition, results of operations or cash flows of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STOCKHOLDERS’ DEFICIT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repurchases of its common stock.</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r>
      <w:tr>
        <w:trPr>
          <w:trHeight w:val="209"/>
        </w:trPr>
        <w:tc>
          <w:tcPr>
            <w:tcW w:w="6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 (a)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 repurchase cost (b)</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r>
    </w:tbl>
    <w:p>
      <w:pPr>
        <w:spacing w:after="0" w:line="189"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per share excludes any accrued excise tax and broker’s commissions, which are included in “Total share repurchase cost” within this table.</w:t>
      </w:r>
    </w:p>
    <w:p>
      <w:pPr>
        <w:spacing w:after="0" w:line="113" w:lineRule="exact"/>
        <w:rPr>
          <w:rFonts w:ascii="Times New Roman" w:cs="Times New Roman" w:eastAsia="Times New Roman" w:hAnsi="Times New Roman"/>
          <w:sz w:val="16"/>
          <w:szCs w:val="16"/>
          <w:color w:val="auto"/>
        </w:rPr>
      </w:pPr>
    </w:p>
    <w:p>
      <w:pPr>
        <w:jc w:val="both"/>
        <w:ind w:left="340" w:hanging="332"/>
        <w:spacing w:after="0" w:line="270"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“Purchases of treasury stock” in the Condensed Consolidated Statements of Cash Flows for the six months ended March 31, 2026 excluded $1.1 of accrued excise tax that had not been paid as of March 31, 2026 and included $3.9 of accrued excise tax payments that had been accrued in fiscal 2025. “Purchases of treasury stock” in the Condensed Consolidated Statements of Cash Flows for the </w:t>
      </w:r>
      <w:r>
        <w:rPr>
          <w:rFonts w:ascii="Times New Roman" w:cs="Times New Roman" w:eastAsia="Times New Roman" w:hAnsi="Times New Roman"/>
          <w:sz w:val="17"/>
          <w:szCs w:val="17"/>
          <w:color w:val="auto"/>
        </w:rPr>
        <w:t>six</w:t>
      </w:r>
      <w:r>
        <w:rPr>
          <w:rFonts w:ascii="Times New Roman" w:cs="Times New Roman" w:eastAsia="Times New Roman" w:hAnsi="Times New Roman"/>
          <w:sz w:val="16"/>
          <w:szCs w:val="16"/>
          <w:color w:val="auto"/>
        </w:rPr>
        <w:t xml:space="preserve"> months ended March 31, 2025 excluded $1.0 of accrued excise tax that had not been paid as of March 31, 2025 and included $2.2 of accrued excise tax payments that had been accrued in prior fiscal years.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manages its operations on a consolidated basis through one operating and reportable segment. The Company’s Chief Operating Decision Maker (“CODM”) is the President and Chief Executive Officer of BellRing. The CODM utilizes consolidated single-segment net earnings (reported on the Condensed Consolidated Statements of Operations as “Net Earnings”) to evaluate financial performance, allocate resources and forecast future period financial results. The CODM evaluates performance by comparing actual to budgeted results and utilizes this information to decide whether to reinvest into the segment or into other parts of the entity, such as for acquisitions or to repurchase shares. The measure of segment assets is reported on the Condensed Consolidated Balance Sheets as “Total Assets”.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sales, the significant expense categories reviewed by the CODM and net earnings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r>
      <w:tr>
        <w:trPr>
          <w:trHeight w:val="209"/>
        </w:trPr>
        <w:tc>
          <w:tcPr>
            <w:tcW w:w="6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w:t>
            </w: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w:t>
            </w:r>
          </w:p>
        </w:tc>
      </w:tr>
      <w:tr>
        <w:trPr>
          <w:trHeight w:val="23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expenses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segment expenses (a)</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3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40" w:hanging="332"/>
        <w:spacing w:after="0" w:line="280" w:lineRule="auto"/>
        <w:tabs>
          <w:tab w:leader="none" w:pos="33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expenses includes employee-related expenses, marketing and distribution, research and development, outside professional services, depreciation and other general expenses.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r>
        <w:rPr>
          <w:rFonts w:ascii="Times New Roman" w:cs="Times New Roman" w:eastAsia="Times New Roman" w:hAnsi="Times New Roman"/>
          <w:sz w:val="20"/>
          <w:szCs w:val="20"/>
          <w:color w:val="auto"/>
        </w:rPr>
        <w:t>.</w:t>
      </w:r>
    </w:p>
    <w:p>
      <w:pPr>
        <w:spacing w:after="0" w:line="238" w:lineRule="exact"/>
        <w:rPr>
          <w:sz w:val="20"/>
          <w:szCs w:val="20"/>
          <w:color w:val="auto"/>
        </w:rPr>
      </w:pPr>
    </w:p>
    <w:p>
      <w:pPr>
        <w:jc w:val="both"/>
        <w:ind w:left="20"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consolidated operating results, financial condition, liquidity and capital resources of BellRing Brands, Inc. and its consolidated subsidiaries. This discussion should be read in conjunction with our unaudited condensed consolidated financial statements and notes thereto included herein, our audited consolidated financial statements and notes thereto in our Annual Report on Form 10-K for the fiscal year ended September 30, 2025 and the “Cautionary Statement on Forward-Looking Statements” section included below. The terms “our,” “we,” “us,” “Company” and “BellRing” refer to BellRing Brands, Inc. and its consolidated subsidiaries.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a consumer products holding company operating in the global proactive wellness category and are a provider of ready-to-drink (“RTD”) protein shakes and powders. We have a single operating and reportable segment, with our principal products being protein-based consumer goods. Our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jc w:val="both"/>
        <w:ind w:left="20" w:firstLine="324"/>
        <w:spacing w:after="0" w:line="258" w:lineRule="auto"/>
        <w:rPr>
          <w:sz w:val="20"/>
          <w:szCs w:val="20"/>
          <w:color w:val="auto"/>
        </w:rPr>
      </w:pPr>
      <w:r>
        <w:rPr>
          <w:rFonts w:ascii="Times New Roman" w:cs="Times New Roman" w:eastAsia="Times New Roman" w:hAnsi="Times New Roman"/>
          <w:sz w:val="18"/>
          <w:szCs w:val="18"/>
          <w:color w:val="auto"/>
        </w:rPr>
        <w:t>During fiscal 2026, input costs, including raw materials, packaging, and manufacturing, have been subject to inflationary pressures, in part due to the impact of tariffs and evolving global trade policies. Existing tariffs, as well as potential future increases or modifications, may further contribute to supply chain disruption, commodity cost volatility and broader economic uncertainty. We have implemented mitigation initiatives, including pricing actions, cost optimization and supply chain adjustments, which we expect to partially offset these pressures. However, if such cost increases persist and we are unable to fully mitigate their impact, they could have a material adverse effect on our results of operations.</w:t>
      </w:r>
    </w:p>
    <w:p>
      <w:pPr>
        <w:spacing w:after="0" w:line="75" w:lineRule="exact"/>
        <w:rPr>
          <w:sz w:val="20"/>
          <w:szCs w:val="20"/>
          <w:color w:val="auto"/>
        </w:rPr>
      </w:pPr>
    </w:p>
    <w:p>
      <w:pPr>
        <w:jc w:val="both"/>
        <w:ind w:left="20" w:firstLine="324"/>
        <w:spacing w:after="0" w:line="261" w:lineRule="auto"/>
        <w:rPr>
          <w:sz w:val="20"/>
          <w:szCs w:val="20"/>
          <w:color w:val="auto"/>
        </w:rPr>
      </w:pPr>
      <w:r>
        <w:rPr>
          <w:rFonts w:ascii="Times New Roman" w:cs="Times New Roman" w:eastAsia="Times New Roman" w:hAnsi="Times New Roman"/>
          <w:sz w:val="18"/>
          <w:szCs w:val="18"/>
          <w:color w:val="auto"/>
        </w:rPr>
        <w:t>In February 2026, a military conflict began in the Middle East. While we do not have operations in the region, the conflict has the potential to disrupt global energy markets, which could result in higher energy prices, increased inflationary pressures, and indirect impacts on global supply chains and consumer demand. We continue to monitor developments in the region and assess potential impacts on our business. At this time, we do not expect the conflict to have a material adverse effect on our results of operations.</w:t>
      </w:r>
    </w:p>
    <w:p>
      <w:pPr>
        <w:spacing w:after="0" w:line="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For additional discussion, refer to “Liquidity and Capital Resources” and “Cautionary Statement on Forward-Looking Statements” within this section.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11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Six Months Ended March</w:t>
            </w:r>
          </w:p>
        </w:tc>
        <w:tc>
          <w:tcPr>
            <w:tcW w:w="260" w:type="dxa"/>
            <w:vAlign w:val="bottom"/>
          </w:tcPr>
          <w:p>
            <w:pPr>
              <w:spacing w:after="0"/>
              <w:rPr>
                <w:sz w:val="16"/>
                <w:szCs w:val="16"/>
                <w:color w:val="auto"/>
              </w:rPr>
            </w:pPr>
          </w:p>
        </w:tc>
        <w:tc>
          <w:tcPr>
            <w:tcW w:w="11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w w:val="99"/>
              </w:rPr>
              <w:t>31,</w:t>
            </w: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2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9" w:lineRule="exact"/>
        <w:rPr>
          <w:sz w:val="20"/>
          <w:szCs w:val="20"/>
          <w:color w:val="auto"/>
        </w:rPr>
      </w:pPr>
    </w:p>
    <w:p>
      <w:pPr>
        <w:jc w:val="both"/>
        <w:ind w:left="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Net sales increased $10.7 million, or 2%, during the three months ended March 31, 2026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$9.0 million, or 2%, on 11% higher volumes. Volumes rose primarily due to increased promotional activity and distribution gains.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Average net selling prices decreased due to incremental promotional investment and unfavorable mix.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down $1.3 million, or 2%, driven by 7% lower volumes and partially offset by higher average net selling prices. Volume decreases were driven by elasticities due to inflation-driven price increases. Average net selling prices increased primarily due to targeted price increases and reduced promotional investment. Sales of all other products were up $3.0 million.</w:t>
      </w:r>
    </w:p>
    <w:p>
      <w:pPr>
        <w:spacing w:after="0" w:line="74" w:lineRule="exact"/>
        <w:rPr>
          <w:sz w:val="20"/>
          <w:szCs w:val="20"/>
          <w:color w:val="auto"/>
        </w:rPr>
      </w:pPr>
    </w:p>
    <w:p>
      <w:pPr>
        <w:jc w:val="both"/>
        <w:ind w:lef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Net sales increased $15.1 million, or 1%, during the six months ended March 31, 2026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$3.3 million, or less than 1%, on 6% higher volumes. Volumes increased primarily due to increased promotional activity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distribution gains. Average net selling prices decreased due to incremental promotional investment and unfavorable mix.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$8.6 million, or 7%, driven by 10% higher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volumes primarily due to higher international volumes. Average net selling prices decreased due to unfavorable product mix. Sales of all other products were up $3.2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Operating profit decreased $29.1 million, or 31%, during the three months ended March 31, 2026, compared to the prior year period. This decrease was primarily driven by lower average net selling prices on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products, as previously discussed, higher net product costs of $9.7 million, and increased advertising expenses of $8.7 million. These impacts were partially offset by increased sales volumes on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products, as previously discussed, and lower employee-related expenses of $7.5 million. Higher net product costs were primarily driven by higher raw material, manufacturing, and freight costs, including an $11.3 million inventory-related charge associated with a third-party supplied ingredient that did not meet our quality standards, with none of the finished goods released to customers. Higher net product costs were partially offset by a $34.0 million favorable change in (gains) losses on commodity derivatives.</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Operating profit decreased $65.9 million, or 31%, during the six months ended March 31, 2026 compared to the prior year period. This decrease was primarily driven by higher net product costs of $45.7 million, lower average net selling prices, as previously discussed, and increased advertising expenses of $6.0 million. These impacts were partially offset by increased sales volumes, as previously discussed, and lower employee-related expenses of $6.8 million. Higher net product costs were primarily driven by higher raw material, manufacturing, and freight costs, including an $11.3 million inventory-related charge associated with a third-party supplied ingredient that did not meet our quality standards, with none of the finished goods released to customers. Higher net product costs were partially offset by a $31.4 million favorable change in (gains) losses on commodity derivatives.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net increased $3.6 million during the three months ended March 31, 2026 compared to the prior year period primarily due to higher outstanding borrowings under our Revolving Credit Facility (as defined in “Liquidity and Capital Resources” below). The weighted-average interest rate on our total outstanding debt was 6.6% and 7.2% for the three months ended March 31, 2026 and 2025, respectively.</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increased $9.2 million during the six months ended March 31, 2026 compared to the prior year period primarily due to higher outstanding borrowings under our Revolving Credit Facility. The weighted-average interest rate on our total outstanding debt was 6.8% and 7.1% for the six months ended March 31, 2026 and 2025, respectively. See Note 12 within “Notes to Condensed Consolidated Financial Statements” for additional information on our debt.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26.1% and 25.3% for the three months ended March 31, 2026 and 2025, respectively, and 25.7% and 24.5% for the six months ended March 31, 2026 and 2025, respectively.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six months ended March 31, 2026, we borrowed $265.0 million and repaid $165.0 million under our revolving credit facility, which is provided for under our amended credit agreement (the "Credit Agreement") in an aggregate principal amount of $500.0 million (the "Revolving Credit Facility"). As of March 31, 2026, we had $147.6 million of available borrowing capacity, taking into account the $2.4 million letters of credit outstanding under the Revolving Credit Facility, which reduce the amount available for borrowing under the Revolving Credit Facility. Letters of credit are available under the Revolving Credit Facility in an aggregate amount of up to $20.0 million. Our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March 31, 2026, we repurchased 4.2 million shares of our common stock at an average share price of $29.18 per share and at a total cost, including any accrued excise tax and broker’s commissions, of $124.4 million. In addition, during the six months ended March 31, 2026, we paid $3.9 million of excise tax that related to fiscal 2025 share repurchases.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to generate positive cash flows from operations over the next twelve months and believe our cash on hand, cash flows from operations and available borrowing capacity will be sufficient to satisfy our future working capital requirements, purchase commitments, research and development activities, debt repayments (including interest payments), share repurchases and other financing requirements for the foreseeable future. We are currently not aware of any trends or demands, commitments, events or uncertainties that will result in, or that are reasonably likely to result in, our liquidity increasing or decreasing in any material way that will impact meeting our capital needs during or beyond the next twelve months. Our ability to generate positive cash flows from operations is dependent on general economic conditions, competitive pressures and other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business risk factors. We believe that we have sufficient liquidity and cash on hand to satisfy our cash needs. If we are unable to generate sufficient cash flows from operations, or otherwise to comply with the terms of our credit facilities, we may be required to seek additional financing alternatives.</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Short-term financing needs primarily consist of working capital requirements, interest payments on our 7.00% senior notes maturing in March 2030 (the “7.00% Senior Notes”) and on outstanding borrowings under our Revolving Credit Facility and payments on our provision for legal matters. Long-term financing needs include the repayment of our 7.00% Senior Notes and outstanding borrowings under our Revolving Credit Facility. Additional long-term financing needs will depend largely on potential growth opportunities, including acquisition activity and other strategic transactions. Our asset-light business model requires modest capital expenditures, with annual capital expenditures over the last three fiscal years averaging less than 1% of net sales. No significant capital expenditures are planned during the next 12 months. Additionally, we may seek to repurchase shares of our common stock. Such repurchases, if any, will depend on prevailing market conditions, our liquidity requirements, contractual restrictions and other factors. The amounts involved may be material.</w:t>
      </w:r>
    </w:p>
    <w:p>
      <w:pPr>
        <w:sectPr>
          <w:pgSz w:w="11900" w:h="16838" w:orient="portrait"/>
          <w:cols w:equalWidth="0" w:num="1">
            <w:col w:w="11240"/>
          </w:cols>
          <w:pgMar w:left="320" w:top="121" w:right="339" w:bottom="1440" w:gutter="0" w:footer="0" w:header="0"/>
        </w:sectPr>
      </w:pP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select cash flow data, which is discussed below.</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00" w:right="2580" w:hanging="40"/>
        <w:spacing w:after="0" w:line="339" w:lineRule="auto"/>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Net decrease in cash, cash equivalents and restricted cash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43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30"/>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34"/>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08" w:lineRule="exact"/>
        <w:rPr>
          <w:sz w:val="20"/>
          <w:szCs w:val="20"/>
          <w:color w:val="auto"/>
        </w:rPr>
      </w:pPr>
    </w:p>
    <w:p>
      <w:pPr>
        <w:sectPr>
          <w:pgSz w:w="11900" w:h="16838" w:orient="portrait"/>
          <w:cols w:equalWidth="0" w:num="2">
            <w:col w:w="8180" w:space="720"/>
            <w:col w:w="2340"/>
          </w:cols>
          <w:pgMar w:left="320" w:top="121" w:right="339" w:bottom="1440" w:gutter="0" w:footer="0" w:header="0"/>
          <w:type w:val="continuous"/>
        </w:sect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for the six months ended March 31, 2026 was $14.3 million compared to cash provided by operating activities of $51.2 million for the six months ended March 31, 2025. T</w:t>
      </w:r>
      <w:r>
        <w:rPr>
          <w:rFonts w:ascii="Times New Roman" w:cs="Times New Roman" w:eastAsia="Times New Roman" w:hAnsi="Times New Roman"/>
          <w:sz w:val="18"/>
          <w:szCs w:val="18"/>
          <w:color w:val="242424"/>
        </w:rPr>
        <w:t>his decrease was primarily due to lower net earnings, which included noncash gains and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from commodity derivative remeasurement, </w:t>
      </w:r>
      <w:r>
        <w:rPr>
          <w:rFonts w:ascii="Times New Roman" w:cs="Times New Roman" w:eastAsia="Times New Roman" w:hAnsi="Times New Roman"/>
          <w:sz w:val="18"/>
          <w:szCs w:val="18"/>
          <w:color w:val="000000"/>
        </w:rPr>
        <w:t>and cash outflows related to other assets. These impacts were partially offset by less inventory build in the</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current year, decreased tax payments (net of refunds) of $17.3 million, and favorable changes related to the timing of payments of trade payables.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March 31, 2026 increased $4.1 million compared to the prior year period driven by an increase in capital expenditures.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March 31, 2026 decreased $40.8 million compared to the prior year period, driven by lower payments of $57.7 million, including broker’s commissions, for the repurchase of our common stock, and lower tax withholding payments related to stock compensation plans of $3.1 million. These drivers were partially offset by lower net borrowings of $20.0 million under our Revolving Credit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applicable to us and our restricted subsidiaries customary for agreements of this type, including delivery of financial and other information; compliance with laws; maintenance of property, existence, insurance and books and records; providing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 to comply with a financial covenant requiring us to maintain a total net leverage ratio (as defined in the Credit Agreement) not to exceed 6.00:1.00, measured as of the last day of each fiscal quarter. We were in compliance with the financial covenant as of March 31, 2026, and we do not believe non-compliance is reasonably likely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indenture governing the 7.00% Senior Notes contains negative covenants customary for this type of agreement that limit our ability and the ability of our restricted subsidiaries to, among other things: borrow money or guarantee debt; create liens; pay dividends on, or redeem or repurchase, stock; make specified types of investments and acquisitions; enter into or permit to exist contractual limits on the ability of our subsidiaries to pay dividends to us; enter into transactions with affiliates; and sell assets or merge with other companies. Certain of these covenants are subject to suspension when and if the 7.00% Senior Notes receive investment grade ratings.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critical accounting estimates are more fully described in our Annual Report on Form 10-K for the year ended September 30, 2025, as filed with the Securities and Exchange Commission (the “SEC”) on November 18, 2025. There have been no significant changes to our critical accounting estimates since September 30, 2025.</w:t>
      </w:r>
    </w:p>
    <w:p>
      <w:pPr>
        <w:spacing w:after="0" w:line="17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within “Notes to Condensed Consolidated Financial Statements” for a discussion regarding recently issued accounting standards.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of 1933, as amended, and Section 21E of the Exchange Act, are made throughout this report, including statements regarding unanticipated developments that negatively impact our common stock.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8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RTD protein shakes;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third-party suppliers or manufacturers for the manufacturing of many of our products, pandemics and other outbreaks of contagious diseases, labor shortages, fires and evacuations related thereto, changes in weather conditions, natural disasters, agricultural diseases and pests and other events beyond our control;</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contract manufacturers for the manufacture of most of our products, including one manufacturer for nearly half of our RTD protein shakes;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contract manufacturers to produce an amount of our products that enables us to meet customer and consumer demand for the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third-party suppliers to provide certain ingredients and packaging;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cost or availability of inputs to our business (including freight, raw materials, packaging, energy, labor and other supplies), including as a result of tariffs or inflationary pressures;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 and future laws and regulations regarding food safety, advertising, labeling, tax matters and environmental matters;</w:t>
      </w:r>
    </w:p>
    <w:p>
      <w:pPr>
        <w:spacing w:after="0" w:line="11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(including both secured and unsecured debt) and our ability to service our outstanding debt (including covenants that restrict the operation of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critical accounting estimates;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economic conditions that limit customer and consumer demand for our products or increase our costs;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Holdings, Inc. (“Post”) following our separation from Post and Post’s distribution of our stock to its shareholders (the “Spin-off”), including our obligations under various agreements with Post;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and/or directors of Post;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previously completed Spin-off;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third-party intellectual property subject to intellectual property licenses;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technology failures, cybersecurity incidents and corruption of our data privacy protections;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 assets or other long-lived assets;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included under “Risk Factors” in this report and in our Annual Report on Form 10-K for the fiscal year ended September 30, 2025, filed with the SEC on November 18, 2025.</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The Company may use futures contracts and options to manage certain of these exposures when it is practical to do so. A hypothetical 10% adverse change in the underlying market prices of the Company’s principal hedged commodity (non-fat dry milk), reflecting the sensitivity of the Company’s outstanding derivative positions to changes in commodity prices, would have changed the fair value of the Company’s commodity-related derivatives portfolio by approximately $11 million and $12 million as of March 31, 2026 and September 30, 2025, respectively. This volatility analysis ignores changes in the exposures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inherent in the underlying hedged transactions. Because the Company does not hold or trade derivatives for speculation or profit, all changes in derivative values are effectively offset by corresponding changes in the underlying commodity exposures.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Company’s commodity contracts, see Note 10 within “Notes to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Related to Active Nutrition International GmbH, whose functional currency is the Euro, the Company is exposed to risks of fluctuations in future cash flows and earnings due to changes in foreign currency exchange rates. Related to Premier Nutrition Company, LLC, a subsidiary of the Company whose functional currency is the U.S. Dollar, the Company is exposed to foreign currency transactional risk as it sells to certain customers in Canadian dollars (“CAD”). The foreign currency balance sheet exposures as a result of these CAD transactions are not expected to result in a significant impact on future earnings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both March 31, 2026 and September 30, 2025, the Company had outstanding principal value indebtedness of $840.0 million related to its 7.00% Senior Notes. Additionally, the Company had outstanding borrowings of $350.0 million and $250.0 million under its Revolving Credit Facility as of March 31, 2026 and September 30, 2025, respectively. Borrowings under the Revolving Credit Facility had a variable interest rate of 5.82% and 6.14% as of March 31, 2026 and September 30, 2025, respectively.</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March 31, 2026 and September 30, 2025, the fair value of the Company’s debt, excluding any borrowings under its Revolving Credit Facility, was $842.2 million and $869.0 million, respectively. Changes in interest rates impact fixed and variable rate debt differently. For fixed rate debt, a change in interest rates will only impact the fair value of the debt, whereas a change in interest rates on variable rate debt will impact interest expense and cash flows. A hypothetical 10% decrease in interest rates would have changed the fair value of the fixed rate debt by approximately $12 million and $5 million as of March 31, 2026 and September 30, 2025, respectively. A hypothetical 10% increase in interest rates would have had an immaterial impact on both interest expense and interest paid during the three and six months ended March 31, 2026 and 2025, respectively. For additional information regarding the Company’s debt, see Note 12 within “Notes to Condensed Consolidated Financial Statements.”</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with the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CEO and CFO concluded that, as of the end of the period covered by this report, the Company’s disclosure controls and procedures were effective to provide reasonable assurance of achieving the desired control objectives.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internal control over financial reporting during the quarter ended March 31, 2026 was materially affected by the transition of certain financial reporting controls and the transition to a new consolidation system due to the expiration of the amended and restated master services agreement among the Company, Post, BellRing Intermediate Holdings, Inc. and BellRing Brands, LLC on March 10, 2026. Internal controls transitioned to us and internal controls over the new consolidation system were in place at March 31, 2026, and the Company believes they were operating effectively.</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other significant changes in the Company’s internal control over financial reporting during the quarter ended March 31,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required under this Item 1 is set forth in Note 13 within “Notes to Condensed Consolidated Financial Statements” included in Part I, Item 1 of this report, which is incorporated herein by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to disclose for the three months ended March 31, 2026.</w:t>
      </w:r>
    </w:p>
    <w:p>
      <w:pPr>
        <w:spacing w:after="0" w:line="1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information set forth elsewhere in this Quarterly Report on Form 10-Q (the “Quarterly Report”), you should carefully consider the risk factors we previously disclosed in our Annual Report on Form 10-K, filed with the SEC on November 18, 2025, as of and for the year ended September 30, 2025 (the “Annual Report”).</w:t>
      </w:r>
    </w:p>
    <w:p>
      <w:pPr>
        <w:spacing w:after="0" w:line="6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risk factor updates and replaces in its entirety the risk factor titled “</w:t>
      </w:r>
      <w:r>
        <w:rPr>
          <w:rFonts w:ascii="Times New Roman" w:cs="Times New Roman" w:eastAsia="Times New Roman" w:hAnsi="Times New Roman"/>
          <w:sz w:val="18"/>
          <w:szCs w:val="18"/>
          <w:i w:val="1"/>
          <w:iCs w:val="1"/>
          <w:color w:val="auto"/>
        </w:rPr>
        <w:t>We have incurred, and we will continue to incur, additional fees,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costs and expenses to create and maintain the corporate infrastructure to operate as a public company, and we have and we will continue to experience increased ongoing costs and expenses in connection with being a public company” </w:t>
      </w:r>
      <w:r>
        <w:rPr>
          <w:rFonts w:ascii="Times New Roman" w:cs="Times New Roman" w:eastAsia="Times New Roman" w:hAnsi="Times New Roman"/>
          <w:sz w:val="18"/>
          <w:szCs w:val="18"/>
          <w:color w:val="auto"/>
        </w:rPr>
        <w:t>included in Part I, Item 1A, “Risk Factors,” of the Annual Report,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filed with the Securities and Exchange Commission.</w:t>
      </w:r>
    </w:p>
    <w:p>
      <w:pPr>
        <w:spacing w:after="0" w:line="7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we will continue to incur, additional fees, costs and expenses to create and maintain the corporate infrastructure to operate as a public company, and we have and we will continue to experience increased ongoing costs and expenses in connection with being a public company.</w:t>
      </w:r>
    </w:p>
    <w:p>
      <w:pPr>
        <w:spacing w:after="0" w:line="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Prior to our IPO, our business had historically used some of Post’s corporate infrastructure and services to support our business functions. The expenses related to establishing and maintaining this infrastructure had been spread across all of Post’s businesses and charged to us on a cost-allocation basis. The services historically provided to us by Post included, but were not limited to, finance, information technology, legal, human resources, quality, supply chain and purchasing functions. Following our IPO, we continued to receive some of these services pursuant to a master services agreement with Post, and in connection with the Spin-off, we, Post, BellRing Intermediate Holdings, Inc. and BellRing Brands, LLC entered into an amended and restated master services agreement, which was further amended in fiscal 2023. Under the amended and restated master services agreement, Post provided certain of the above described services until the amended and restated master services agreement expired on March 10, 2026. There can be no assurance that all of the functions provided to us by Post under the amended and restated master services agreement were successfully executed by Post during the term of the amended and restated master services agreement or that the transition from Post to us of all of the functions provided to us by Post under the amended and restated master services agreement were successfully executed. Specifically, effective internal control over financial reporting is necessary for us to provide reliable financial reports. If we fail to properly and efficiently maintain effective internal control over financial reporting, we could fail to report our financial results accurately.</w:t>
      </w:r>
    </w:p>
    <w:p>
      <w:pPr>
        <w:spacing w:after="0" w:line="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date of this Quarterly Report, other than as set forth above, there have been no material changes to the risk factors previously disclosed in the Annual Report. These risks could materially and adversely affect our business, financial condition, results of operations and cash flows. Additional risks and uncertainties not presently known to us or that we currently deem immaterial also may impair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73"/>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3"/>
        <w:spacing w:after="0"/>
        <w:tabs>
          <w:tab w:leader="none" w:pos="893"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ind w:left="73"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repurchases of shares of our common stock during the three months ended March 31, 2026 and our common stock repurchase authorization.</w:t>
      </w:r>
    </w:p>
    <w:p>
      <w:pPr>
        <w:spacing w:after="0" w:line="67" w:lineRule="exact"/>
        <w:rPr>
          <w:sz w:val="20"/>
          <w:szCs w:val="20"/>
          <w:color w:val="auto"/>
        </w:rPr>
      </w:pPr>
    </w:p>
    <w:tbl>
      <w:tblPr>
        <w:tblLayout w:type="fixed"/>
        <w:tblInd w:w="73"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176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Price Paid</w:t>
            </w:r>
          </w:p>
        </w:tc>
        <w:tc>
          <w:tcPr>
            <w:tcW w:w="2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6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60" w:type="dxa"/>
            <w:vAlign w:val="bottom"/>
          </w:tcPr>
          <w:p>
            <w:pPr>
              <w:jc w:val="center"/>
              <w:ind w:left="31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per Share</w:t>
            </w:r>
          </w:p>
        </w:tc>
        <w:tc>
          <w:tcPr>
            <w:tcW w:w="2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 Programs</w:t>
            </w:r>
          </w:p>
        </w:tc>
        <w:tc>
          <w:tcPr>
            <w:tcW w:w="2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that May Yet be Purchased</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 Programs (b)</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 January 31, 2026</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832,590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832,590</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$523,099,449</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2026 - February 28, 2026</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73,915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73,915</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$521,768,431</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 March 31, 2026</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280,524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280,524</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$516,851,534</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1,187,029</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1,187,029</w:t>
            </w: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$516,851,534</w:t>
            </w:r>
          </w:p>
        </w:tc>
        <w:tc>
          <w:tcPr>
            <w:tcW w:w="0" w:type="dxa"/>
            <w:vAlign w:val="bottom"/>
          </w:tcPr>
          <w:p>
            <w:pPr>
              <w:spacing w:after="0"/>
              <w:rPr>
                <w:sz w:val="1"/>
                <w:szCs w:val="1"/>
                <w:color w:val="auto"/>
              </w:rPr>
            </w:pPr>
          </w:p>
        </w:tc>
      </w:tr>
      <w:tr>
        <w:trPr>
          <w:trHeight w:val="21"/>
        </w:trPr>
        <w:tc>
          <w:tcPr>
            <w:tcW w:w="3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93" w:hanging="312"/>
        <w:spacing w:after="0"/>
        <w:tabs>
          <w:tab w:leader="none" w:pos="3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broker’s commissions or accrued excise tax, if any.</w:t>
      </w:r>
    </w:p>
    <w:p>
      <w:pPr>
        <w:spacing w:after="0" w:line="117" w:lineRule="exact"/>
        <w:rPr>
          <w:rFonts w:ascii="Times New Roman" w:cs="Times New Roman" w:eastAsia="Times New Roman" w:hAnsi="Times New Roman"/>
          <w:sz w:val="18"/>
          <w:szCs w:val="18"/>
          <w:color w:val="auto"/>
        </w:rPr>
      </w:pPr>
    </w:p>
    <w:p>
      <w:pPr>
        <w:jc w:val="both"/>
        <w:ind w:left="413" w:hanging="332"/>
        <w:spacing w:after="0" w:line="261" w:lineRule="auto"/>
        <w:tabs>
          <w:tab w:leader="none" w:pos="4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19, 2025, the Company’s Board of Directors approved a $600,000,000 repurchase authorization with respect to shares of the Company’s common stock (the “Authorization”). The Authorization was effective on November 19, 2025 and has an expiration date of November 19, 2027. Repurchases may be made from time to time in the open market, private purchases, through forward, derivative, accelerated repurchase or automatic purchase transactions, or otherwise.</w:t>
      </w:r>
    </w:p>
    <w:p>
      <w:pPr>
        <w:spacing w:after="0" w:line="122" w:lineRule="exact"/>
        <w:rPr>
          <w:sz w:val="20"/>
          <w:szCs w:val="20"/>
          <w:color w:val="auto"/>
        </w:rPr>
      </w:pPr>
    </w:p>
    <w:p>
      <w:pPr>
        <w:ind w:left="73"/>
        <w:spacing w:after="0"/>
        <w:tabs>
          <w:tab w:leader="none" w:pos="893"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9"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119" w:lineRule="exact"/>
        <w:rPr>
          <w:sz w:val="20"/>
          <w:szCs w:val="20"/>
          <w:color w:val="auto"/>
        </w:rPr>
      </w:pPr>
    </w:p>
    <w:p>
      <w:pPr>
        <w:ind w:left="73"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our directors or officers, as defined in Rule 16a-1(f) under the Securities Exchange Act of 1934, as amended, adopted or terminated the “Rule 10b5-1 trading arrangements” as defined in Item 408 of Regulation S-K, set forth in the table below:</w:t>
      </w:r>
    </w:p>
    <w:p>
      <w:pPr>
        <w:spacing w:after="0" w:line="101" w:lineRule="exact"/>
        <w:rPr>
          <w:sz w:val="20"/>
          <w:szCs w:val="20"/>
          <w:color w:val="auto"/>
        </w:rPr>
      </w:pPr>
    </w:p>
    <w:tbl>
      <w:tblPr>
        <w:tblLayout w:type="fixed"/>
        <w:tblInd w:w="73"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Type of Trading</w:t>
            </w:r>
          </w:p>
        </w:tc>
        <w:tc>
          <w:tcPr>
            <w:tcW w:w="15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1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2140" w:type="dxa"/>
            <w:vAlign w:val="bottom"/>
            <w:vMerge w:val="restart"/>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Total Shares of Common Stock</w:t>
            </w: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30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4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Rule 10b5-1*</w:t>
            </w: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Duration of Plan</w:t>
            </w:r>
          </w:p>
        </w:tc>
        <w:tc>
          <w:tcPr>
            <w:tcW w:w="21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to be Sold</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Darcy H. Davenport</w:t>
            </w:r>
          </w:p>
        </w:tc>
        <w:tc>
          <w:tcPr>
            <w:tcW w:w="1480" w:type="dxa"/>
            <w:vAlign w:val="bottom"/>
            <w:shd w:val="clear" w:color="auto" w:fill="CCEEFF"/>
          </w:tcPr>
          <w:p>
            <w:pPr>
              <w:jc w:val="center"/>
              <w:ind w:left="214"/>
              <w:spacing w:after="0" w:line="195" w:lineRule="exact"/>
              <w:rPr>
                <w:sz w:val="20"/>
                <w:szCs w:val="20"/>
                <w:color w:val="auto"/>
              </w:rPr>
            </w:pPr>
            <w:r>
              <w:rPr>
                <w:rFonts w:ascii="Times New Roman" w:cs="Times New Roman" w:eastAsia="Times New Roman" w:hAnsi="Times New Roman"/>
                <w:sz w:val="18"/>
                <w:szCs w:val="18"/>
                <w:color w:val="auto"/>
              </w:rPr>
              <w:t>2/24/2026</w:t>
            </w:r>
          </w:p>
        </w:tc>
        <w:tc>
          <w:tcPr>
            <w:tcW w:w="12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Terminate</w:t>
            </w:r>
          </w:p>
        </w:tc>
        <w:tc>
          <w:tcPr>
            <w:tcW w:w="150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shd w:val="clear" w:color="auto" w:fill="CCEEFF"/>
          </w:tcPr>
          <w:p>
            <w:pPr>
              <w:jc w:val="center"/>
              <w:ind w:left="52"/>
              <w:spacing w:after="0" w:line="195" w:lineRule="exact"/>
              <w:rPr>
                <w:sz w:val="20"/>
                <w:szCs w:val="20"/>
                <w:color w:val="auto"/>
              </w:rPr>
            </w:pPr>
            <w:r>
              <w:rPr>
                <w:rFonts w:ascii="Times New Roman" w:cs="Times New Roman" w:eastAsia="Times New Roman" w:hAnsi="Times New Roman"/>
                <w:sz w:val="18"/>
                <w:szCs w:val="18"/>
                <w:color w:val="auto"/>
              </w:rPr>
              <w:t>12/5/2025 to</w:t>
            </w:r>
          </w:p>
        </w:tc>
        <w:tc>
          <w:tcPr>
            <w:tcW w:w="2140" w:type="dxa"/>
            <w:vAlign w:val="bottom"/>
            <w:shd w:val="clear" w:color="auto" w:fill="CCEEFF"/>
          </w:tcPr>
          <w:p>
            <w:pPr>
              <w:jc w:val="center"/>
              <w:ind w:left="56"/>
              <w:spacing w:after="0" w:line="195" w:lineRule="exact"/>
              <w:rPr>
                <w:sz w:val="20"/>
                <w:szCs w:val="20"/>
                <w:color w:val="auto"/>
              </w:rPr>
            </w:pPr>
            <w:r>
              <w:rPr>
                <w:rFonts w:ascii="Times New Roman" w:cs="Times New Roman" w:eastAsia="Times New Roman" w:hAnsi="Times New Roman"/>
                <w:sz w:val="18"/>
                <w:szCs w:val="18"/>
                <w:color w:val="auto"/>
              </w:rPr>
              <w:t>Up to 45,616</w:t>
            </w: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3/1/2027</w:t>
            </w: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Douglas Cornille</w:t>
            </w:r>
          </w:p>
        </w:tc>
        <w:tc>
          <w:tcPr>
            <w:tcW w:w="1480" w:type="dxa"/>
            <w:vAlign w:val="bottom"/>
          </w:tcPr>
          <w:p>
            <w:pPr>
              <w:jc w:val="center"/>
              <w:ind w:left="214"/>
              <w:spacing w:after="0" w:line="195" w:lineRule="exact"/>
              <w:rPr>
                <w:sz w:val="20"/>
                <w:szCs w:val="20"/>
                <w:color w:val="auto"/>
              </w:rPr>
            </w:pPr>
            <w:r>
              <w:rPr>
                <w:rFonts w:ascii="Times New Roman" w:cs="Times New Roman" w:eastAsia="Times New Roman" w:hAnsi="Times New Roman"/>
                <w:sz w:val="18"/>
                <w:szCs w:val="18"/>
                <w:color w:val="auto"/>
              </w:rPr>
              <w:t>2/25/2026</w:t>
            </w:r>
          </w:p>
        </w:tc>
        <w:tc>
          <w:tcPr>
            <w:tcW w:w="12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Terminate</w:t>
            </w:r>
          </w:p>
        </w:tc>
        <w:tc>
          <w:tcPr>
            <w:tcW w:w="15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tcPr>
          <w:p>
            <w:pPr>
              <w:jc w:val="center"/>
              <w:ind w:left="52"/>
              <w:spacing w:after="0" w:line="195" w:lineRule="exact"/>
              <w:rPr>
                <w:sz w:val="20"/>
                <w:szCs w:val="20"/>
                <w:color w:val="auto"/>
              </w:rPr>
            </w:pPr>
            <w:r>
              <w:rPr>
                <w:rFonts w:ascii="Times New Roman" w:cs="Times New Roman" w:eastAsia="Times New Roman" w:hAnsi="Times New Roman"/>
                <w:sz w:val="18"/>
                <w:szCs w:val="18"/>
                <w:color w:val="auto"/>
              </w:rPr>
              <w:t>6/4/2025 to</w:t>
            </w:r>
          </w:p>
        </w:tc>
        <w:tc>
          <w:tcPr>
            <w:tcW w:w="2140" w:type="dxa"/>
            <w:vAlign w:val="bottom"/>
          </w:tcPr>
          <w:p>
            <w:pPr>
              <w:jc w:val="center"/>
              <w:ind w:left="56"/>
              <w:spacing w:after="0" w:line="195" w:lineRule="exact"/>
              <w:rPr>
                <w:sz w:val="20"/>
                <w:szCs w:val="20"/>
                <w:color w:val="auto"/>
              </w:rPr>
            </w:pPr>
            <w:r>
              <w:rPr>
                <w:rFonts w:ascii="Times New Roman" w:cs="Times New Roman" w:eastAsia="Times New Roman" w:hAnsi="Times New Roman"/>
                <w:sz w:val="18"/>
                <w:szCs w:val="18"/>
                <w:color w:val="auto"/>
              </w:rPr>
              <w:t>Up to 15,880</w:t>
            </w:r>
          </w:p>
        </w:tc>
        <w:tc>
          <w:tcPr>
            <w:tcW w:w="0" w:type="dxa"/>
            <w:vAlign w:val="bottom"/>
          </w:tcPr>
          <w:p>
            <w:pPr>
              <w:spacing w:after="0"/>
              <w:rPr>
                <w:sz w:val="1"/>
                <w:szCs w:val="1"/>
                <w:color w:val="auto"/>
              </w:rPr>
            </w:pPr>
          </w:p>
        </w:tc>
      </w:tr>
      <w:tr>
        <w:trPr>
          <w:trHeight w:val="2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Growth Officer</w:t>
            </w:r>
          </w:p>
        </w:tc>
        <w:tc>
          <w:tcPr>
            <w:tcW w:w="1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6/4/2026</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Robin Singh</w:t>
            </w:r>
          </w:p>
        </w:tc>
        <w:tc>
          <w:tcPr>
            <w:tcW w:w="1480" w:type="dxa"/>
            <w:vAlign w:val="bottom"/>
            <w:shd w:val="clear" w:color="auto" w:fill="CCEEFF"/>
          </w:tcPr>
          <w:p>
            <w:pPr>
              <w:jc w:val="center"/>
              <w:ind w:left="214"/>
              <w:spacing w:after="0" w:line="195" w:lineRule="exact"/>
              <w:rPr>
                <w:sz w:val="20"/>
                <w:szCs w:val="20"/>
                <w:color w:val="auto"/>
              </w:rPr>
            </w:pPr>
            <w:r>
              <w:rPr>
                <w:rFonts w:ascii="Times New Roman" w:cs="Times New Roman" w:eastAsia="Times New Roman" w:hAnsi="Times New Roman"/>
                <w:sz w:val="18"/>
                <w:szCs w:val="18"/>
                <w:color w:val="auto"/>
              </w:rPr>
              <w:t>2/25/2026</w:t>
            </w:r>
          </w:p>
        </w:tc>
        <w:tc>
          <w:tcPr>
            <w:tcW w:w="12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Terminate</w:t>
            </w:r>
          </w:p>
        </w:tc>
        <w:tc>
          <w:tcPr>
            <w:tcW w:w="150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shd w:val="clear" w:color="auto" w:fill="CCEEFF"/>
          </w:tcPr>
          <w:p>
            <w:pPr>
              <w:jc w:val="center"/>
              <w:ind w:left="52"/>
              <w:spacing w:after="0" w:line="195" w:lineRule="exact"/>
              <w:rPr>
                <w:sz w:val="20"/>
                <w:szCs w:val="20"/>
                <w:color w:val="auto"/>
              </w:rPr>
            </w:pPr>
            <w:r>
              <w:rPr>
                <w:rFonts w:ascii="Times New Roman" w:cs="Times New Roman" w:eastAsia="Times New Roman" w:hAnsi="Times New Roman"/>
                <w:sz w:val="18"/>
                <w:szCs w:val="18"/>
                <w:color w:val="auto"/>
              </w:rPr>
              <w:t>8/20/2025 to</w:t>
            </w:r>
          </w:p>
        </w:tc>
        <w:tc>
          <w:tcPr>
            <w:tcW w:w="2140" w:type="dxa"/>
            <w:vAlign w:val="bottom"/>
            <w:shd w:val="clear" w:color="auto" w:fill="CCEEFF"/>
          </w:tcPr>
          <w:p>
            <w:pPr>
              <w:jc w:val="center"/>
              <w:ind w:left="56"/>
              <w:spacing w:after="0" w:line="195" w:lineRule="exact"/>
              <w:rPr>
                <w:sz w:val="20"/>
                <w:szCs w:val="20"/>
                <w:color w:val="auto"/>
              </w:rPr>
            </w:pPr>
            <w:r>
              <w:rPr>
                <w:rFonts w:ascii="Times New Roman" w:cs="Times New Roman" w:eastAsia="Times New Roman" w:hAnsi="Times New Roman"/>
                <w:sz w:val="18"/>
                <w:szCs w:val="18"/>
                <w:color w:val="auto"/>
                <w:w w:val="98"/>
              </w:rPr>
              <w:t>Up to 2,500</w:t>
            </w: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Supply Chain Officer</w:t>
            </w:r>
          </w:p>
        </w:tc>
        <w:tc>
          <w:tcPr>
            <w:tcW w:w="1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8"/>
              </w:rPr>
              <w:t>8/20/2026</w:t>
            </w: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Darcy H. Davenport</w:t>
            </w:r>
          </w:p>
        </w:tc>
        <w:tc>
          <w:tcPr>
            <w:tcW w:w="1480" w:type="dxa"/>
            <w:vAlign w:val="bottom"/>
          </w:tcPr>
          <w:p>
            <w:pPr>
              <w:jc w:val="center"/>
              <w:ind w:left="234"/>
              <w:spacing w:after="0" w:line="195" w:lineRule="exact"/>
              <w:rPr>
                <w:sz w:val="20"/>
                <w:szCs w:val="20"/>
                <w:color w:val="auto"/>
              </w:rPr>
            </w:pPr>
            <w:r>
              <w:rPr>
                <w:rFonts w:ascii="Times New Roman" w:cs="Times New Roman" w:eastAsia="Times New Roman" w:hAnsi="Times New Roman"/>
                <w:sz w:val="18"/>
                <w:szCs w:val="18"/>
                <w:color w:val="auto"/>
                <w:w w:val="99"/>
              </w:rPr>
              <w:t>3/6/2026</w:t>
            </w:r>
          </w:p>
        </w:tc>
        <w:tc>
          <w:tcPr>
            <w:tcW w:w="12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Adopt</w:t>
            </w:r>
          </w:p>
        </w:tc>
        <w:tc>
          <w:tcPr>
            <w:tcW w:w="15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tcPr>
          <w:p>
            <w:pPr>
              <w:jc w:val="center"/>
              <w:ind w:left="52"/>
              <w:spacing w:after="0" w:line="195" w:lineRule="exact"/>
              <w:rPr>
                <w:sz w:val="20"/>
                <w:szCs w:val="20"/>
                <w:color w:val="auto"/>
              </w:rPr>
            </w:pPr>
            <w:r>
              <w:rPr>
                <w:rFonts w:ascii="Times New Roman" w:cs="Times New Roman" w:eastAsia="Times New Roman" w:hAnsi="Times New Roman"/>
                <w:sz w:val="18"/>
                <w:szCs w:val="18"/>
                <w:color w:val="auto"/>
              </w:rPr>
              <w:t>3/6/2026 to</w:t>
            </w:r>
          </w:p>
        </w:tc>
        <w:tc>
          <w:tcPr>
            <w:tcW w:w="2140" w:type="dxa"/>
            <w:vAlign w:val="bottom"/>
          </w:tcPr>
          <w:p>
            <w:pPr>
              <w:jc w:val="center"/>
              <w:ind w:left="56"/>
              <w:spacing w:after="0" w:line="195" w:lineRule="exact"/>
              <w:rPr>
                <w:sz w:val="20"/>
                <w:szCs w:val="20"/>
                <w:color w:val="auto"/>
              </w:rPr>
            </w:pPr>
            <w:r>
              <w:rPr>
                <w:rFonts w:ascii="Times New Roman" w:cs="Times New Roman" w:eastAsia="Times New Roman" w:hAnsi="Times New Roman"/>
                <w:sz w:val="18"/>
                <w:szCs w:val="18"/>
                <w:color w:val="auto"/>
              </w:rPr>
              <w:t>Up to 45,616</w:t>
            </w:r>
          </w:p>
        </w:tc>
        <w:tc>
          <w:tcPr>
            <w:tcW w:w="0" w:type="dxa"/>
            <w:vAlign w:val="bottom"/>
          </w:tcPr>
          <w:p>
            <w:pPr>
              <w:spacing w:after="0"/>
              <w:rPr>
                <w:sz w:val="1"/>
                <w:szCs w:val="1"/>
                <w:color w:val="auto"/>
              </w:rPr>
            </w:pPr>
          </w:p>
        </w:tc>
      </w:tr>
      <w:tr>
        <w:trPr>
          <w:trHeight w:val="2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5/31/2027</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3" w:hanging="133"/>
        <w:spacing w:after="0"/>
        <w:tabs>
          <w:tab w:leader="none" w:pos="13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instruction, or written plan intended to satisfy the affirmative defense conditions of Rule 10b5-1(c) under the Exchange Act.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2" w:lineRule="exact"/>
        <w:rPr>
          <w:rFonts w:ascii="Times New Roman" w:cs="Times New Roman" w:eastAsia="Times New Roman" w:hAnsi="Times New Roman"/>
          <w:sz w:val="18"/>
          <w:szCs w:val="18"/>
          <w:color w:val="auto"/>
        </w:rPr>
      </w:pPr>
    </w:p>
    <w:p>
      <w:pPr>
        <w:ind w:left="561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either provided with this Form 10-Q or are incorporated herein by reference.</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040" w:type="dxa"/>
            <w:vAlign w:val="bottom"/>
            <w:gridSpan w:val="21"/>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1300" w:type="dxa"/>
            <w:vAlign w:val="bottom"/>
          </w:tcPr>
          <w:p>
            <w:pPr>
              <w:jc w:val="center"/>
              <w:ind w:right="131"/>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9040" w:type="dxa"/>
            <w:vAlign w:val="bottom"/>
            <w:gridSpan w:val="21"/>
          </w:tcPr>
          <w:p>
            <w:pPr>
              <w:spacing w:after="0" w:line="195" w:lineRule="exact"/>
              <w:rPr>
                <w:rFonts w:ascii="Times New Roman" w:cs="Times New Roman" w:eastAsia="Times New Roman" w:hAnsi="Times New Roman"/>
                <w:sz w:val="18"/>
                <w:szCs w:val="18"/>
                <w:color w:val="3051F2"/>
              </w:rPr>
            </w:pPr>
            <w:hyperlink r:id="rId40">
              <w:r>
                <w:rPr>
                  <w:rFonts w:ascii="Times New Roman" w:cs="Times New Roman" w:eastAsia="Times New Roman" w:hAnsi="Times New Roman"/>
                  <w:sz w:val="18"/>
                  <w:szCs w:val="18"/>
                  <w:color w:val="3051F2"/>
                </w:rPr>
                <w:t>Transaction Agreement and Plan of Merger, dated as of October 26, 2021, by and among Post Holdings, Inc., BellRing</w:t>
              </w:r>
            </w:hyperlink>
          </w:p>
        </w:tc>
      </w:tr>
      <w:tr>
        <w:trPr>
          <w:trHeight w:val="156"/>
        </w:trPr>
        <w:tc>
          <w:tcPr>
            <w:tcW w:w="1300" w:type="dxa"/>
            <w:vAlign w:val="bottom"/>
          </w:tcPr>
          <w:p>
            <w:pPr>
              <w:spacing w:after="0"/>
              <w:rPr>
                <w:sz w:val="13"/>
                <w:szCs w:val="13"/>
                <w:color w:val="auto"/>
              </w:rPr>
            </w:pPr>
          </w:p>
        </w:tc>
        <w:tc>
          <w:tcPr>
            <w:tcW w:w="8960" w:type="dxa"/>
            <w:vAlign w:val="bottom"/>
            <w:tcBorders>
              <w:top w:val="single" w:sz="8" w:color="3051F2"/>
              <w:bottom w:val="single" w:sz="8" w:color="3051F2"/>
            </w:tcBorders>
            <w:gridSpan w:val="17"/>
          </w:tcPr>
          <w:p>
            <w:pPr>
              <w:spacing w:after="0" w:line="156" w:lineRule="exact"/>
              <w:rPr>
                <w:rFonts w:ascii="Times New Roman" w:cs="Times New Roman" w:eastAsia="Times New Roman" w:hAnsi="Times New Roman"/>
                <w:sz w:val="18"/>
                <w:szCs w:val="18"/>
                <w:color w:val="3051F2"/>
              </w:rPr>
            </w:pPr>
            <w:hyperlink r:id="rId40">
              <w:r>
                <w:rPr>
                  <w:rFonts w:ascii="Times New Roman" w:cs="Times New Roman" w:eastAsia="Times New Roman" w:hAnsi="Times New Roman"/>
                  <w:sz w:val="18"/>
                  <w:szCs w:val="18"/>
                  <w:color w:val="3051F2"/>
                </w:rPr>
                <w:t>Brands, Inc., BellRing Distribution, LLC and BellRing Merger Sub Corporation (Incorporated by reference to Exhibit 2.1</w:t>
              </w:r>
            </w:hyperlink>
          </w:p>
        </w:tc>
        <w:tc>
          <w:tcPr>
            <w:tcW w:w="20" w:type="dxa"/>
            <w:vAlign w:val="bottom"/>
            <w:tcBorders>
              <w:bottom w:val="single" w:sz="8" w:color="3051F2"/>
            </w:tcBorders>
          </w:tcPr>
          <w:p>
            <w:pPr>
              <w:spacing w:after="0"/>
              <w:rPr>
                <w:sz w:val="13"/>
                <w:szCs w:val="13"/>
                <w:color w:val="auto"/>
              </w:rPr>
            </w:pPr>
          </w:p>
        </w:tc>
        <w:tc>
          <w:tcPr>
            <w:tcW w:w="20" w:type="dxa"/>
            <w:vAlign w:val="bottom"/>
            <w:tcBorders>
              <w:bottom w:val="single" w:sz="8" w:color="3051F2"/>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9000" w:type="dxa"/>
            <w:vAlign w:val="bottom"/>
            <w:gridSpan w:val="19"/>
          </w:tcPr>
          <w:p>
            <w:pPr>
              <w:spacing w:after="0" w:line="169" w:lineRule="exact"/>
              <w:rPr>
                <w:rFonts w:ascii="Times New Roman" w:cs="Times New Roman" w:eastAsia="Times New Roman" w:hAnsi="Times New Roman"/>
                <w:sz w:val="18"/>
                <w:szCs w:val="18"/>
                <w:color w:val="3051F2"/>
              </w:rPr>
            </w:pPr>
            <w:hyperlink r:id="rId40">
              <w:r>
                <w:rPr>
                  <w:rFonts w:ascii="Times New Roman" w:cs="Times New Roman" w:eastAsia="Times New Roman" w:hAnsi="Times New Roman"/>
                  <w:sz w:val="18"/>
                  <w:szCs w:val="18"/>
                  <w:color w:val="3051F2"/>
                </w:rPr>
                <w:t>to the Company’s Form 8-K filed on October 27,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120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2.2</w:t>
            </w:r>
          </w:p>
        </w:tc>
        <w:tc>
          <w:tcPr>
            <w:tcW w:w="9040" w:type="dxa"/>
            <w:vAlign w:val="bottom"/>
            <w:gridSpan w:val="21"/>
          </w:tcPr>
          <w:p>
            <w:pPr>
              <w:spacing w:after="0"/>
              <w:rPr>
                <w:rFonts w:ascii="Times New Roman" w:cs="Times New Roman" w:eastAsia="Times New Roman" w:hAnsi="Times New Roman"/>
                <w:sz w:val="18"/>
                <w:szCs w:val="18"/>
                <w:color w:val="3051F2"/>
              </w:rPr>
            </w:pPr>
            <w:hyperlink r:id="rId41">
              <w:r>
                <w:rPr>
                  <w:rFonts w:ascii="Times New Roman" w:cs="Times New Roman" w:eastAsia="Times New Roman" w:hAnsi="Times New Roman"/>
                  <w:sz w:val="18"/>
                  <w:szCs w:val="18"/>
                  <w:color w:val="3051F2"/>
                </w:rPr>
                <w:t>Amendment No. 1 to Transaction Agreement and Plan of Merger, dated as of February 28, 2022, by and among Post</w:t>
              </w:r>
            </w:hyperlink>
          </w:p>
        </w:tc>
      </w:tr>
      <w:tr>
        <w:trPr>
          <w:trHeight w:val="156"/>
        </w:trPr>
        <w:tc>
          <w:tcPr>
            <w:tcW w:w="1300" w:type="dxa"/>
            <w:vAlign w:val="bottom"/>
          </w:tcPr>
          <w:p>
            <w:pPr>
              <w:spacing w:after="0"/>
              <w:rPr>
                <w:sz w:val="13"/>
                <w:szCs w:val="13"/>
                <w:color w:val="auto"/>
              </w:rPr>
            </w:pPr>
          </w:p>
        </w:tc>
        <w:tc>
          <w:tcPr>
            <w:tcW w:w="8980" w:type="dxa"/>
            <w:vAlign w:val="bottom"/>
            <w:tcBorders>
              <w:top w:val="single" w:sz="8" w:color="3051F2"/>
            </w:tcBorders>
            <w:gridSpan w:val="18"/>
          </w:tcPr>
          <w:p>
            <w:pPr>
              <w:spacing w:after="0" w:line="156" w:lineRule="exact"/>
              <w:rPr>
                <w:rFonts w:ascii="Times New Roman" w:cs="Times New Roman" w:eastAsia="Times New Roman" w:hAnsi="Times New Roman"/>
                <w:sz w:val="18"/>
                <w:szCs w:val="18"/>
                <w:color w:val="3051F2"/>
              </w:rPr>
            </w:pPr>
            <w:hyperlink r:id="rId41">
              <w:r>
                <w:rPr>
                  <w:rFonts w:ascii="Times New Roman" w:cs="Times New Roman" w:eastAsia="Times New Roman" w:hAnsi="Times New Roman"/>
                  <w:sz w:val="18"/>
                  <w:szCs w:val="18"/>
                  <w:color w:val="3051F2"/>
                </w:rPr>
                <w:t>Holdings, Inc., BellRing Brands, Inc., BellRing Distribution, LLC and BellRing Merger Sub Corporation (Incorporated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8940" w:type="dxa"/>
            <w:vAlign w:val="bottom"/>
            <w:tcBorders>
              <w:top w:val="single" w:sz="8" w:color="3051F2"/>
            </w:tcBorders>
            <w:gridSpan w:val="16"/>
          </w:tcPr>
          <w:p>
            <w:pPr>
              <w:spacing w:after="0" w:line="169" w:lineRule="exact"/>
              <w:rPr>
                <w:rFonts w:ascii="Times New Roman" w:cs="Times New Roman" w:eastAsia="Times New Roman" w:hAnsi="Times New Roman"/>
                <w:sz w:val="18"/>
                <w:szCs w:val="18"/>
                <w:color w:val="3051F2"/>
              </w:rPr>
            </w:pPr>
            <w:hyperlink r:id="rId41">
              <w:r>
                <w:rPr>
                  <w:rFonts w:ascii="Times New Roman" w:cs="Times New Roman" w:eastAsia="Times New Roman" w:hAnsi="Times New Roman"/>
                  <w:sz w:val="18"/>
                  <w:szCs w:val="18"/>
                  <w:color w:val="3051F2"/>
                </w:rPr>
                <w:t>reference to Exhibit 2.1 to the Company’s Form 8-K filed on February 28, 2022)</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120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1540" w:type="dxa"/>
            <w:vAlign w:val="bottom"/>
            <w:shd w:val="clear" w:color="auto" w:fill="3051F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3.1</w:t>
            </w:r>
          </w:p>
        </w:tc>
        <w:tc>
          <w:tcPr>
            <w:tcW w:w="9040" w:type="dxa"/>
            <w:vAlign w:val="bottom"/>
            <w:gridSpan w:val="21"/>
          </w:tcPr>
          <w:p>
            <w:pPr>
              <w:spacing w:after="0"/>
              <w:rPr>
                <w:rFonts w:ascii="Times New Roman" w:cs="Times New Roman" w:eastAsia="Times New Roman" w:hAnsi="Times New Roman"/>
                <w:sz w:val="18"/>
                <w:szCs w:val="18"/>
                <w:color w:val="3051F2"/>
              </w:rPr>
            </w:pPr>
            <w:hyperlink r:id="rId42">
              <w:r>
                <w:rPr>
                  <w:rFonts w:ascii="Times New Roman" w:cs="Times New Roman" w:eastAsia="Times New Roman" w:hAnsi="Times New Roman"/>
                  <w:sz w:val="18"/>
                  <w:szCs w:val="18"/>
                  <w:color w:val="3051F2"/>
                </w:rPr>
                <w:t>BellRing Brands, Inc. Restated Certificate of Incorporation (Incorporated by reference to Exhibit 3.1 to the Company’s</w:t>
              </w:r>
            </w:hyperlink>
          </w:p>
        </w:tc>
      </w:tr>
      <w:tr>
        <w:trPr>
          <w:trHeight w:val="155"/>
        </w:trPr>
        <w:tc>
          <w:tcPr>
            <w:tcW w:w="1300" w:type="dxa"/>
            <w:vAlign w:val="bottom"/>
          </w:tcPr>
          <w:p>
            <w:pPr>
              <w:spacing w:after="0"/>
              <w:rPr>
                <w:sz w:val="13"/>
                <w:szCs w:val="13"/>
                <w:color w:val="auto"/>
              </w:rPr>
            </w:pPr>
          </w:p>
        </w:tc>
        <w:tc>
          <w:tcPr>
            <w:tcW w:w="2660" w:type="dxa"/>
            <w:vAlign w:val="bottom"/>
            <w:tcBorders>
              <w:top w:val="single" w:sz="8" w:color="3051F2"/>
              <w:bottom w:val="single" w:sz="8" w:color="3051F2"/>
            </w:tcBorders>
            <w:gridSpan w:val="4"/>
          </w:tcPr>
          <w:p>
            <w:pPr>
              <w:spacing w:after="0" w:line="156" w:lineRule="exact"/>
              <w:rPr>
                <w:rFonts w:ascii="Times New Roman" w:cs="Times New Roman" w:eastAsia="Times New Roman" w:hAnsi="Times New Roman"/>
                <w:sz w:val="18"/>
                <w:szCs w:val="18"/>
                <w:color w:val="3051F2"/>
                <w:w w:val="99"/>
              </w:rPr>
            </w:pPr>
            <w:hyperlink r:id="rId42">
              <w:r>
                <w:rPr>
                  <w:rFonts w:ascii="Times New Roman" w:cs="Times New Roman" w:eastAsia="Times New Roman" w:hAnsi="Times New Roman"/>
                  <w:sz w:val="18"/>
                  <w:szCs w:val="18"/>
                  <w:color w:val="3051F2"/>
                  <w:w w:val="99"/>
                </w:rPr>
                <w:t>Form 8-K filed on January 31, 2025)</w:t>
              </w:r>
            </w:hyperlink>
          </w:p>
        </w:tc>
        <w:tc>
          <w:tcPr>
            <w:tcW w:w="5900" w:type="dxa"/>
            <w:vAlign w:val="bottom"/>
            <w:tcBorders>
              <w:top w:val="single" w:sz="8" w:color="3051F2"/>
            </w:tcBorders>
            <w:gridSpan w:val="6"/>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3.2</w:t>
            </w:r>
          </w:p>
        </w:tc>
        <w:tc>
          <w:tcPr>
            <w:tcW w:w="9040" w:type="dxa"/>
            <w:vAlign w:val="bottom"/>
            <w:gridSpan w:val="21"/>
          </w:tcPr>
          <w:p>
            <w:pPr>
              <w:spacing w:after="0"/>
              <w:rPr>
                <w:rFonts w:ascii="Times New Roman" w:cs="Times New Roman" w:eastAsia="Times New Roman" w:hAnsi="Times New Roman"/>
                <w:sz w:val="18"/>
                <w:szCs w:val="18"/>
                <w:color w:val="3051F2"/>
              </w:rPr>
            </w:pPr>
            <w:hyperlink r:id="rId43">
              <w:r>
                <w:rPr>
                  <w:rFonts w:ascii="Times New Roman" w:cs="Times New Roman" w:eastAsia="Times New Roman" w:hAnsi="Times New Roman"/>
                  <w:sz w:val="18"/>
                  <w:szCs w:val="18"/>
                  <w:color w:val="3051F2"/>
                </w:rPr>
                <w:t>BellRing Brands, Inc. amended and restated Bylaws (Incorporated by reference to Exhibit 3.2 to the Company’s Form 8-K</w:t>
              </w:r>
            </w:hyperlink>
          </w:p>
        </w:tc>
      </w:tr>
      <w:tr>
        <w:trPr>
          <w:trHeight w:val="156"/>
        </w:trPr>
        <w:tc>
          <w:tcPr>
            <w:tcW w:w="1300" w:type="dxa"/>
            <w:vAlign w:val="bottom"/>
          </w:tcPr>
          <w:p>
            <w:pPr>
              <w:spacing w:after="0"/>
              <w:rPr>
                <w:sz w:val="13"/>
                <w:szCs w:val="13"/>
                <w:color w:val="auto"/>
              </w:rPr>
            </w:pPr>
          </w:p>
        </w:tc>
        <w:tc>
          <w:tcPr>
            <w:tcW w:w="1900" w:type="dxa"/>
            <w:vAlign w:val="bottom"/>
            <w:tcBorders>
              <w:top w:val="single" w:sz="8" w:color="3051F2"/>
              <w:bottom w:val="single" w:sz="8" w:color="3051F2"/>
            </w:tcBorders>
            <w:gridSpan w:val="2"/>
          </w:tcPr>
          <w:p>
            <w:pPr>
              <w:spacing w:after="0" w:line="156" w:lineRule="exact"/>
              <w:rPr>
                <w:rFonts w:ascii="Times New Roman" w:cs="Times New Roman" w:eastAsia="Times New Roman" w:hAnsi="Times New Roman"/>
                <w:sz w:val="18"/>
                <w:szCs w:val="18"/>
                <w:color w:val="3051F2"/>
                <w:w w:val="99"/>
              </w:rPr>
            </w:pPr>
            <w:hyperlink r:id="rId43">
              <w:r>
                <w:rPr>
                  <w:rFonts w:ascii="Times New Roman" w:cs="Times New Roman" w:eastAsia="Times New Roman" w:hAnsi="Times New Roman"/>
                  <w:sz w:val="18"/>
                  <w:szCs w:val="18"/>
                  <w:color w:val="3051F2"/>
                  <w:w w:val="99"/>
                </w:rPr>
                <w:t>filed on January 31, 2025)</w:t>
              </w:r>
            </w:hyperlink>
          </w:p>
        </w:tc>
        <w:tc>
          <w:tcPr>
            <w:tcW w:w="6940" w:type="dxa"/>
            <w:vAlign w:val="bottom"/>
            <w:tcBorders>
              <w:top w:val="single" w:sz="8" w:color="3051F2"/>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*4.1</w:t>
            </w:r>
          </w:p>
        </w:tc>
        <w:tc>
          <w:tcPr>
            <w:tcW w:w="9040" w:type="dxa"/>
            <w:vAlign w:val="bottom"/>
            <w:gridSpan w:val="21"/>
          </w:tcPr>
          <w:p>
            <w:pPr>
              <w:spacing w:after="0"/>
              <w:rPr>
                <w:rFonts w:ascii="Times New Roman" w:cs="Times New Roman" w:eastAsia="Times New Roman" w:hAnsi="Times New Roman"/>
                <w:sz w:val="18"/>
                <w:szCs w:val="18"/>
                <w:color w:val="3051F2"/>
              </w:rPr>
            </w:pPr>
            <w:hyperlink r:id="rId44">
              <w:r>
                <w:rPr>
                  <w:rFonts w:ascii="Times New Roman" w:cs="Times New Roman" w:eastAsia="Times New Roman" w:hAnsi="Times New Roman"/>
                  <w:sz w:val="18"/>
                  <w:szCs w:val="18"/>
                  <w:color w:val="3051F2"/>
                </w:rPr>
                <w:t>Indenture, dated March 10, 2022, by and among BellRing Brands, Inc. and Computershare Trust Company, N.A., as trustee</w:t>
              </w:r>
            </w:hyperlink>
          </w:p>
        </w:tc>
      </w:tr>
      <w:tr>
        <w:trPr>
          <w:trHeight w:val="156"/>
        </w:trPr>
        <w:tc>
          <w:tcPr>
            <w:tcW w:w="1300" w:type="dxa"/>
            <w:vAlign w:val="bottom"/>
          </w:tcPr>
          <w:p>
            <w:pPr>
              <w:spacing w:after="0"/>
              <w:rPr>
                <w:sz w:val="13"/>
                <w:szCs w:val="13"/>
                <w:color w:val="auto"/>
              </w:rPr>
            </w:pPr>
          </w:p>
        </w:tc>
        <w:tc>
          <w:tcPr>
            <w:tcW w:w="8900" w:type="dxa"/>
            <w:vAlign w:val="bottom"/>
            <w:tcBorders>
              <w:top w:val="single" w:sz="8" w:color="3051F2"/>
            </w:tcBorders>
            <w:gridSpan w:val="15"/>
          </w:tcPr>
          <w:p>
            <w:pPr>
              <w:spacing w:after="0" w:line="156" w:lineRule="exact"/>
              <w:rPr>
                <w:rFonts w:ascii="Times New Roman" w:cs="Times New Roman" w:eastAsia="Times New Roman" w:hAnsi="Times New Roman"/>
                <w:sz w:val="18"/>
                <w:szCs w:val="18"/>
                <w:color w:val="3051F2"/>
              </w:rPr>
            </w:pPr>
            <w:hyperlink r:id="rId44">
              <w:r>
                <w:rPr>
                  <w:rFonts w:ascii="Times New Roman" w:cs="Times New Roman" w:eastAsia="Times New Roman" w:hAnsi="Times New Roman"/>
                  <w:sz w:val="18"/>
                  <w:szCs w:val="18"/>
                  <w:color w:val="3051F2"/>
                </w:rPr>
                <w:t>(Incorporated by reference to Exhibit 4.1 to the Company’s Second Form 8-K filed on March 10, 2022)</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shd w:val="clear" w:color="auto" w:fill="3051F2"/>
          </w:tcPr>
          <w:p>
            <w:pPr>
              <w:spacing w:after="0" w:line="20" w:lineRule="exact"/>
              <w:rPr>
                <w:sz w:val="1"/>
                <w:szCs w:val="1"/>
                <w:color w:val="auto"/>
              </w:rPr>
            </w:pPr>
          </w:p>
        </w:tc>
        <w:tc>
          <w:tcPr>
            <w:tcW w:w="500" w:type="dxa"/>
            <w:vAlign w:val="bottom"/>
            <w:gridSpan w:val="2"/>
            <w:shd w:val="clear" w:color="auto" w:fill="3051F2"/>
          </w:tcPr>
          <w:p>
            <w:pPr>
              <w:spacing w:after="0" w:line="20" w:lineRule="exact"/>
              <w:rPr>
                <w:sz w:val="1"/>
                <w:szCs w:val="1"/>
                <w:color w:val="auto"/>
              </w:rPr>
            </w:pPr>
          </w:p>
        </w:tc>
        <w:tc>
          <w:tcPr>
            <w:tcW w:w="1560" w:type="dxa"/>
            <w:vAlign w:val="bottom"/>
            <w:gridSpan w:val="2"/>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3180" w:type="dxa"/>
            <w:vAlign w:val="bottom"/>
            <w:gridSpan w:val="2"/>
            <w:shd w:val="clear" w:color="auto" w:fill="3051F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4.2</w:t>
            </w:r>
          </w:p>
        </w:tc>
        <w:tc>
          <w:tcPr>
            <w:tcW w:w="9040" w:type="dxa"/>
            <w:vAlign w:val="bottom"/>
            <w:gridSpan w:val="21"/>
          </w:tcPr>
          <w:p>
            <w:pPr>
              <w:spacing w:after="0"/>
              <w:rPr>
                <w:rFonts w:ascii="Times New Roman" w:cs="Times New Roman" w:eastAsia="Times New Roman" w:hAnsi="Times New Roman"/>
                <w:sz w:val="18"/>
                <w:szCs w:val="18"/>
                <w:color w:val="3051F2"/>
              </w:rPr>
            </w:pPr>
            <w:hyperlink r:id="rId44">
              <w:r>
                <w:rPr>
                  <w:rFonts w:ascii="Times New Roman" w:cs="Times New Roman" w:eastAsia="Times New Roman" w:hAnsi="Times New Roman"/>
                  <w:sz w:val="18"/>
                  <w:szCs w:val="18"/>
                  <w:color w:val="3051F2"/>
                </w:rPr>
                <w:t>Form of Note (Incorporated by reference to Exhibit 4.2 to the Company’s Second Form 8-K filed on March 10, 2022, which</w:t>
              </w:r>
            </w:hyperlink>
          </w:p>
        </w:tc>
      </w:tr>
      <w:tr>
        <w:trPr>
          <w:trHeight w:val="156"/>
        </w:trPr>
        <w:tc>
          <w:tcPr>
            <w:tcW w:w="1300" w:type="dxa"/>
            <w:vAlign w:val="bottom"/>
          </w:tcPr>
          <w:p>
            <w:pPr>
              <w:spacing w:after="0"/>
              <w:rPr>
                <w:sz w:val="13"/>
                <w:szCs w:val="13"/>
                <w:color w:val="auto"/>
              </w:rPr>
            </w:pPr>
          </w:p>
        </w:tc>
        <w:tc>
          <w:tcPr>
            <w:tcW w:w="3860" w:type="dxa"/>
            <w:vAlign w:val="bottom"/>
            <w:tcBorders>
              <w:top w:val="single" w:sz="8" w:color="3051F2"/>
              <w:bottom w:val="single" w:sz="8" w:color="3051F2"/>
            </w:tcBorders>
            <w:gridSpan w:val="5"/>
          </w:tcPr>
          <w:p>
            <w:pPr>
              <w:spacing w:after="0" w:line="156" w:lineRule="exact"/>
              <w:rPr>
                <w:rFonts w:ascii="Times New Roman" w:cs="Times New Roman" w:eastAsia="Times New Roman" w:hAnsi="Times New Roman"/>
                <w:sz w:val="18"/>
                <w:szCs w:val="18"/>
                <w:color w:val="3051F2"/>
                <w:w w:val="99"/>
              </w:rPr>
            </w:pPr>
            <w:hyperlink r:id="rId44">
              <w:r>
                <w:rPr>
                  <w:rFonts w:ascii="Times New Roman" w:cs="Times New Roman" w:eastAsia="Times New Roman" w:hAnsi="Times New Roman"/>
                  <w:sz w:val="18"/>
                  <w:szCs w:val="18"/>
                  <w:color w:val="3051F2"/>
                  <w:w w:val="99"/>
                </w:rPr>
                <w:t>Exhibit 4.2 is referenced in Exhibit 4.1 to such filing)</w:t>
              </w:r>
            </w:hyperlink>
          </w:p>
        </w:tc>
        <w:tc>
          <w:tcPr>
            <w:tcW w:w="5160" w:type="dxa"/>
            <w:vAlign w:val="bottom"/>
            <w:tcBorders>
              <w:top w:val="single" w:sz="8" w:color="3051F2"/>
            </w:tcBorders>
            <w:gridSpan w:val="1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31.1</w:t>
            </w: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3051F2"/>
              </w:rPr>
              <w:t>Certification of Darcy H. Davenport pursuant to Rule 13a-14(a), as adopted pursuant to Section 302 of the Sarbanes-Oxley</w:t>
            </w:r>
          </w:p>
        </w:tc>
      </w:tr>
      <w:tr>
        <w:trPr>
          <w:trHeight w:val="156"/>
        </w:trPr>
        <w:tc>
          <w:tcPr>
            <w:tcW w:w="1300" w:type="dxa"/>
            <w:vAlign w:val="bottom"/>
          </w:tcPr>
          <w:p>
            <w:pPr>
              <w:spacing w:after="0"/>
              <w:rPr>
                <w:sz w:val="13"/>
                <w:szCs w:val="13"/>
                <w:color w:val="auto"/>
              </w:rPr>
            </w:pPr>
          </w:p>
        </w:tc>
        <w:tc>
          <w:tcPr>
            <w:tcW w:w="8860" w:type="dxa"/>
            <w:vAlign w:val="bottom"/>
            <w:tcBorders>
              <w:top w:val="single" w:sz="8" w:color="3051F2"/>
            </w:tcBorders>
            <w:gridSpan w:val="13"/>
          </w:tcPr>
          <w:p>
            <w:pPr>
              <w:spacing w:after="0" w:line="156" w:lineRule="exact"/>
              <w:rPr>
                <w:sz w:val="20"/>
                <w:szCs w:val="20"/>
                <w:color w:val="auto"/>
              </w:rPr>
            </w:pPr>
            <w:r>
              <w:rPr>
                <w:rFonts w:ascii="Times New Roman" w:cs="Times New Roman" w:eastAsia="Times New Roman" w:hAnsi="Times New Roman"/>
                <w:sz w:val="18"/>
                <w:szCs w:val="18"/>
                <w:color w:val="3051F2"/>
              </w:rPr>
              <w:t>Act of 2002, dated May 5, 2026</w:t>
            </w: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shd w:val="clear" w:color="auto" w:fill="3051F2"/>
          </w:tcPr>
          <w:p>
            <w:pPr>
              <w:spacing w:after="0" w:line="20" w:lineRule="exact"/>
              <w:rPr>
                <w:sz w:val="1"/>
                <w:szCs w:val="1"/>
                <w:color w:val="auto"/>
              </w:rPr>
            </w:pPr>
          </w:p>
        </w:tc>
        <w:tc>
          <w:tcPr>
            <w:tcW w:w="500" w:type="dxa"/>
            <w:vAlign w:val="bottom"/>
            <w:gridSpan w:val="2"/>
            <w:shd w:val="clear" w:color="auto" w:fill="3051F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31.2</w:t>
            </w: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3051F2"/>
              </w:rPr>
              <w:t>Certification of Paul A. Rode pursuant to Rule 13a-14(a), as adopted pursuant to Section 302 of the Sarbanes-Oxley Act of</w:t>
            </w:r>
          </w:p>
        </w:tc>
      </w:tr>
      <w:tr>
        <w:trPr>
          <w:trHeight w:val="155"/>
        </w:trPr>
        <w:tc>
          <w:tcPr>
            <w:tcW w:w="1300" w:type="dxa"/>
            <w:vAlign w:val="bottom"/>
          </w:tcPr>
          <w:p>
            <w:pPr>
              <w:spacing w:after="0"/>
              <w:rPr>
                <w:sz w:val="13"/>
                <w:szCs w:val="13"/>
                <w:color w:val="auto"/>
              </w:rPr>
            </w:pPr>
          </w:p>
        </w:tc>
        <w:tc>
          <w:tcPr>
            <w:tcW w:w="8880" w:type="dxa"/>
            <w:vAlign w:val="bottom"/>
            <w:tcBorders>
              <w:top w:val="single" w:sz="8" w:color="3051F2"/>
            </w:tcBorders>
            <w:gridSpan w:val="14"/>
          </w:tcPr>
          <w:p>
            <w:pPr>
              <w:spacing w:after="0" w:line="156" w:lineRule="exact"/>
              <w:rPr>
                <w:sz w:val="20"/>
                <w:szCs w:val="20"/>
                <w:color w:val="auto"/>
              </w:rPr>
            </w:pPr>
            <w:r>
              <w:rPr>
                <w:rFonts w:ascii="Times New Roman" w:cs="Times New Roman" w:eastAsia="Times New Roman" w:hAnsi="Times New Roman"/>
                <w:sz w:val="18"/>
                <w:szCs w:val="18"/>
                <w:color w:val="3051F2"/>
              </w:rPr>
              <w:t>2002, dated May 5, 2026</w:t>
            </w:r>
          </w:p>
        </w:tc>
        <w:tc>
          <w:tcPr>
            <w:tcW w:w="160" w:type="dxa"/>
            <w:vAlign w:val="bottom"/>
            <w:gridSpan w:val="7"/>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shd w:val="clear" w:color="auto" w:fill="3051F2"/>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32.1</w:t>
            </w: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3051F2"/>
              </w:rPr>
              <w:t>Certification of Darcy H. Davenport and Paul A. Rode, pursuant to 18 U.S.C. Section 1350 as adopted pursuant to Section</w:t>
            </w:r>
          </w:p>
        </w:tc>
      </w:tr>
      <w:tr>
        <w:trPr>
          <w:trHeight w:val="156"/>
        </w:trPr>
        <w:tc>
          <w:tcPr>
            <w:tcW w:w="1300" w:type="dxa"/>
            <w:vAlign w:val="bottom"/>
          </w:tcPr>
          <w:p>
            <w:pPr>
              <w:spacing w:after="0"/>
              <w:rPr>
                <w:sz w:val="13"/>
                <w:szCs w:val="13"/>
                <w:color w:val="auto"/>
              </w:rPr>
            </w:pPr>
          </w:p>
        </w:tc>
        <w:tc>
          <w:tcPr>
            <w:tcW w:w="8820" w:type="dxa"/>
            <w:vAlign w:val="bottom"/>
            <w:tcBorders>
              <w:top w:val="single" w:sz="8" w:color="3051F2"/>
            </w:tcBorders>
            <w:gridSpan w:val="11"/>
          </w:tcPr>
          <w:p>
            <w:pPr>
              <w:spacing w:after="0" w:line="156" w:lineRule="exact"/>
              <w:rPr>
                <w:sz w:val="20"/>
                <w:szCs w:val="20"/>
                <w:color w:val="auto"/>
              </w:rPr>
            </w:pPr>
            <w:r>
              <w:rPr>
                <w:rFonts w:ascii="Times New Roman" w:cs="Times New Roman" w:eastAsia="Times New Roman" w:hAnsi="Times New Roman"/>
                <w:sz w:val="18"/>
                <w:szCs w:val="18"/>
                <w:color w:val="3051F2"/>
              </w:rPr>
              <w:t>906 of the Sarbanes-Oxley Act of 2002, dated May 5, 2026</w:t>
            </w:r>
          </w:p>
        </w:tc>
        <w:tc>
          <w:tcPr>
            <w:tcW w:w="220" w:type="dxa"/>
            <w:vAlign w:val="bottom"/>
            <w:gridSpan w:val="10"/>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120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1320" w:right="980" w:hanging="900"/>
        <w:spacing w:after="0" w:line="231" w:lineRule="auto"/>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 10-Q for the quarterly period ended March 31, 2026 filed in iXBRL (Inline eXtensible Business Reporting Language)). The financial information contained in the iXBRL-related documents is “unaudited” and “unreviewed.”</w:t>
      </w:r>
    </w:p>
    <w:p>
      <w:pPr>
        <w:spacing w:after="0" w:line="1" w:lineRule="exact"/>
        <w:rPr>
          <w:sz w:val="20"/>
          <w:szCs w:val="20"/>
          <w:color w:val="auto"/>
        </w:rPr>
      </w:pPr>
    </w:p>
    <w:p>
      <w:pPr>
        <w:ind w:left="1320" w:right="980" w:hanging="900"/>
        <w:spacing w:after="0" w:line="234" w:lineRule="auto"/>
        <w:tabs>
          <w:tab w:leader="none" w:pos="13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Form 10-Q for the quarterly period ended March 31, 2026, formatted in iXBRL (Inline eXtensible Business Reporting Language) and contained in Exhibit 101</w:t>
      </w:r>
    </w:p>
    <w:p>
      <w:pPr>
        <w:spacing w:after="0" w:line="239" w:lineRule="exact"/>
        <w:rPr>
          <w:rFonts w:ascii="Times New Roman" w:cs="Times New Roman" w:eastAsia="Times New Roman" w:hAnsi="Times New Roman"/>
          <w:sz w:val="18"/>
          <w:szCs w:val="18"/>
          <w:color w:val="auto"/>
        </w:rPr>
      </w:pPr>
    </w:p>
    <w:p>
      <w:pPr>
        <w:ind w:left="1060" w:right="1200" w:hanging="1039"/>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601(a)(5) of Regulation S-K. The Company agrees to furnish supplementally to the Securities and Exchange Commission (the “SEC”) a copy of any omitted exhibit or schedule upon request by the SEC.</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agreements and other documents filed as exhibits to this Quarterly Report on Form 10-Q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other documents and that may not be reflected in such agreements and other documents.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 and other documents.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ind w:left="20"/>
        <w:spacing w:after="0"/>
        <w:tabs>
          <w:tab w:leader="none" w:pos="700" w:val="left"/>
          <w:tab w:leader="none" w:pos="6980" w:val="left"/>
          <w:tab w:leader="none" w:pos="7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14605</wp:posOffset>
            </wp:positionV>
            <wp:extent cx="24085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Paul A. Rode</w:t>
      </w:r>
    </w:p>
    <w:p>
      <w:pPr>
        <w:spacing w:after="0" w:line="1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 and Treasurer (Principal</w:t>
      </w:r>
    </w:p>
    <w:p>
      <w:pPr>
        <w:ind w:left="7460"/>
        <w:spacing w:after="0"/>
        <w:rPr>
          <w:sz w:val="20"/>
          <w:szCs w:val="20"/>
          <w:color w:val="auto"/>
        </w:rPr>
      </w:pPr>
      <w:r>
        <w:rPr>
          <w:rFonts w:ascii="Times New Roman" w:cs="Times New Roman" w:eastAsia="Times New Roman" w:hAnsi="Times New Roman"/>
          <w:sz w:val="18"/>
          <w:szCs w:val="18"/>
          <w:color w:val="auto"/>
        </w:rPr>
        <w:t>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80"/>
          </w:cols>
          <w:pgMar w:left="320" w:top="121" w:right="39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740" w:val="left"/>
          <w:tab w:leader="none" w:pos="4540" w:val="left"/>
          <w:tab w:leader="none" w:pos="4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20745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740" w:val="left"/>
          <w:tab w:leader="none" w:pos="4540" w:val="left"/>
          <w:tab w:leader="none" w:pos="4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20745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Paul A. Rode</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BellRing Brands, Inc. (the “Company”), hereby certifies that, to her knowledge on the date hereof:</w:t>
      </w:r>
    </w:p>
    <w:p>
      <w:pPr>
        <w:spacing w:after="0" w:line="189" w:lineRule="exact"/>
        <w:rPr>
          <w:sz w:val="20"/>
          <w:szCs w:val="20"/>
          <w:color w:val="auto"/>
        </w:rPr>
      </w:pPr>
    </w:p>
    <w:p>
      <w:pPr>
        <w:ind w:left="660" w:right="920" w:hanging="652"/>
        <w:spacing w:after="0" w:line="266" w:lineRule="auto"/>
        <w:tabs>
          <w:tab w:leader="none" w:pos="3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March 31, 2026,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1500" w:hanging="652"/>
        <w:spacing w:after="0" w:line="282" w:lineRule="auto"/>
        <w:tabs>
          <w:tab w:leader="none" w:pos="4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p>
      <w:pPr>
        <w:ind w:left="20"/>
        <w:spacing w:after="0"/>
        <w:tabs>
          <w:tab w:leader="none" w:pos="760" w:val="left"/>
          <w:tab w:leader="none" w:pos="4440" w:val="left"/>
          <w:tab w:leader="none" w:pos="4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1342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4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29" w:name="page30"/>
    <w:bookmarkEnd w:id="29"/>
    <w:p>
      <w:pPr>
        <w:spacing w:after="0" w:line="18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undersigned, the Chief Financial Officer of BellRing Brands, Inc. (the “Company”), hereby certifies that, to his knowledge on the date hereof:</w:t>
      </w:r>
    </w:p>
    <w:p>
      <w:pPr>
        <w:spacing w:after="0" w:line="189" w:lineRule="exact"/>
        <w:rPr>
          <w:sz w:val="20"/>
          <w:szCs w:val="20"/>
          <w:color w:val="auto"/>
        </w:rPr>
      </w:pPr>
    </w:p>
    <w:p>
      <w:pPr>
        <w:ind w:left="660" w:right="140" w:hanging="652"/>
        <w:spacing w:after="0" w:line="266" w:lineRule="auto"/>
        <w:tabs>
          <w:tab w:leader="none" w:pos="3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March 31, 2026,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4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p>
      <w:pPr>
        <w:ind w:left="20"/>
        <w:spacing w:after="0"/>
        <w:tabs>
          <w:tab w:leader="none" w:pos="760" w:val="left"/>
          <w:tab w:leader="none" w:pos="4440" w:val="left"/>
          <w:tab w:leader="none" w:pos="4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1342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Paul A. Rode</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01"/>
    </w:lvl>
  </w:abstractNum>
  <w:abstractNum w:abstractNumId="9">
    <w:nsid w:val="66EF438D"/>
    <w:multiLevelType w:val="hybridMultilevel"/>
    <w:lvl w:ilvl="0">
      <w:lvlJc w:val="left"/>
      <w:lvlText w:val="*"/>
      <w:numFmt w:val="bullet"/>
      <w:start w:val="1"/>
    </w:lvl>
    <w:lvl w:ilvl="1">
      <w:lvlJc w:val="left"/>
      <w:lvlText w:val="%2"/>
      <w:numFmt w:val="decimal"/>
      <w:start w:val="104"/>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40" Type="http://schemas.openxmlformats.org/officeDocument/2006/relationships/hyperlink" Target="https://www.sec.gov/Archives/edgar/data/1772016/000119312521308736/d232418dex21.htm" TargetMode="External"/><Relationship Id="rId41" Type="http://schemas.openxmlformats.org/officeDocument/2006/relationships/hyperlink" Target="https://www.sec.gov/Archives/edgar/data/1772016/000119312522055719/d405795dex21.htm" TargetMode="External"/><Relationship Id="rId42" Type="http://schemas.openxmlformats.org/officeDocument/2006/relationships/hyperlink" Target="https://www.sec.gov/Archives/edgar/data/1772016/000119312525018382/d925487dex31.htm" TargetMode="External"/><Relationship Id="rId43" Type="http://schemas.openxmlformats.org/officeDocument/2006/relationships/hyperlink" Target="https://www.sec.gov/Archives/edgar/data/1772016/000119312525018382/d925487dex32.htm" TargetMode="External"/><Relationship Id="rId44" Type="http://schemas.openxmlformats.org/officeDocument/2006/relationships/hyperlink" Target="https://www.sec.gov/Archives/edgar/data/1772016/000119312522072132/d31912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2026-05-05T09:24:01Z</dcterms:created>
  <dcterms:modified xsi:type="dcterms:W3CDTF">2026-05-05T09:24:01Z</dcterms:modified>
</cp:coreProperties>
</file>