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BELLRING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5,803,099.00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6,067,631.00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6,067,631.00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5.22 %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5,803,099.00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6,067,631.00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6,067,631.00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8"/>
        <w:gridCol w:w="8962"/>
        <w:gridCol w:w="155"/>
      </w:tblGrid>
      <w:tr>
        <w:trPr/>
        <w:tc>
          <w:tcPr>
            <w:tcW w:w="1088" w:type="dxa"/>
            <w:tcBorders/>
            <w:vAlign w:val="center"/>
          </w:tcPr>
          <w:p>
            <w:pPr>
              <w:pStyle w:val="TableContents"/>
              <w:bidi w:val="0"/>
              <w:spacing w:before="0" w:after="283"/>
              <w:jc w:val="left"/>
              <w:rPr/>
            </w:pPr>
            <w:r>
              <w:rPr/>
              <w:t>Item 1.</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issuer: </w:t>
            </w:r>
          </w:p>
          <w:p>
            <w:pPr>
              <w:pStyle w:val="TableContents"/>
              <w:bidi w:val="0"/>
              <w:spacing w:before="0" w:after="0"/>
              <w:jc w:val="left"/>
              <w:rPr/>
            </w:pPr>
            <w:r>
              <w:rPr/>
              <w:t>BELLRING BRANDS, INC.</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N. BRENTWOOD BOULEVARD, SUITE 1550, CLAYTON, MISSOURI 63105</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2.</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3.</w:t>
            </w:r>
          </w:p>
        </w:tc>
        <w:tc>
          <w:tcPr>
            <w:tcW w:w="896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(f)</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(g)</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(h)</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(j)</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(k)</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9117"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4.</w:t>
            </w:r>
          </w:p>
        </w:tc>
        <w:tc>
          <w:tcPr>
            <w:tcW w:w="896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6,067,631</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5.22  %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- 5,803,099 AQR Capital Management Holdings, LLC - 5,803,099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- 6,067,631 AQR Capital Management Holdings, LLC - 6,067,631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5.</w:t>
            </w:r>
          </w:p>
        </w:tc>
        <w:tc>
          <w:tcPr>
            <w:tcW w:w="896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6.</w:t>
            </w:r>
          </w:p>
        </w:tc>
        <w:tc>
          <w:tcPr>
            <w:tcW w:w="896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7.</w:t>
            </w:r>
          </w:p>
        </w:tc>
        <w:tc>
          <w:tcPr>
            <w:tcW w:w="896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8.</w:t>
            </w:r>
          </w:p>
        </w:tc>
        <w:tc>
          <w:tcPr>
            <w:tcW w:w="896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9.</w:t>
            </w:r>
          </w:p>
        </w:tc>
        <w:tc>
          <w:tcPr>
            <w:tcW w:w="896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1032</Words>
  <Characters>5397</Characters>
  <CharactersWithSpaces>6398</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