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left"/>
              <w:rPr/>
            </w:pPr>
            <w:r>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pPr>
      <w:r>
        <w:rPr>
          <w:rFonts w:ascii="Times New Roman;serif" w:hAnsi="Times New Roman;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312" w:before="18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July 30, 2025 </w:t>
      </w:r>
    </w:p>
    <w:p>
      <w:pPr>
        <w:pStyle w:val="TextBody"/>
        <w:bidi w:val="0"/>
        <w:spacing w:before="0" w:after="60"/>
        <w:jc w:val="center"/>
        <w:rPr/>
      </w:pPr>
      <w:r>
        <w:rPr/>
        <w:drawing>
          <wp:inline distT="0" distB="0" distL="0" distR="0">
            <wp:extent cx="166687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76300"/>
                    </a:xfrm>
                    <a:prstGeom prst="rect">
                      <a:avLst/>
                    </a:prstGeom>
                  </pic:spPr>
                </pic:pic>
              </a:graphicData>
            </a:graphic>
          </wp:inline>
        </w:drawing>
      </w:r>
      <w:bookmarkStart w:id="0" w:name="i-1"/>
      <w:bookmarkEnd w:id="0"/>
    </w:p>
    <w:p>
      <w:pPr>
        <w:pStyle w:val="TextBody"/>
        <w:bidi w:val="0"/>
        <w:spacing w:lineRule="auto" w:line="288" w:before="0" w:after="140"/>
        <w:jc w:val="center"/>
        <w:rPr/>
      </w:pPr>
      <w:r>
        <w:rPr>
          <w:rFonts w:ascii="Times New Roman;serif" w:hAnsi="Times New Roman;serif"/>
          <w:b/>
          <w:color w:val="000000"/>
          <w:sz w:val="40"/>
        </w:rPr>
        <w:t>BellRing Brands,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861" w:type="dxa"/>
        <w:jc w:val="center"/>
        <w:tblInd w:w="0" w:type="dxa"/>
        <w:tblLayout w:type="fixed"/>
        <w:tblCellMar>
          <w:top w:w="28" w:type="dxa"/>
          <w:left w:w="28" w:type="dxa"/>
          <w:bottom w:w="28" w:type="dxa"/>
          <w:right w:w="28" w:type="dxa"/>
        </w:tblCellMar>
      </w:tblPr>
      <w:tblGrid>
        <w:gridCol w:w="1328"/>
        <w:gridCol w:w="1167"/>
        <w:gridCol w:w="1179"/>
        <w:gridCol w:w="379"/>
        <w:gridCol w:w="379"/>
        <w:gridCol w:w="379"/>
        <w:gridCol w:w="379"/>
        <w:gridCol w:w="379"/>
        <w:gridCol w:w="398"/>
        <w:gridCol w:w="847"/>
        <w:gridCol w:w="847"/>
        <w:gridCol w:w="120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001-39093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87-3296749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3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5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894"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2503 S. Hanley Road</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St. Louis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Missouri</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63144</w:t>
            </w:r>
          </w:p>
        </w:tc>
      </w:tr>
      <w:tr>
        <w:trPr/>
        <w:tc>
          <w:tcPr>
            <w:tcW w:w="5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12" w:before="120" w:after="18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2"/>
        </w:rPr>
        <w:t>(314) 644-7600</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83" w:type="dxa"/>
        <w:jc w:val="left"/>
        <w:tblInd w:w="0" w:type="dxa"/>
        <w:tblLayout w:type="fixed"/>
        <w:tblCellMar>
          <w:top w:w="28" w:type="dxa"/>
          <w:left w:w="28" w:type="dxa"/>
          <w:bottom w:w="28" w:type="dxa"/>
          <w:right w:w="28" w:type="dxa"/>
        </w:tblCellMar>
      </w:tblPr>
      <w:tblGrid>
        <w:gridCol w:w="1325"/>
        <w:gridCol w:w="1160"/>
        <w:gridCol w:w="1174"/>
        <w:gridCol w:w="539"/>
        <w:gridCol w:w="539"/>
        <w:gridCol w:w="541"/>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BRBR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center"/>
              <w:rPr/>
            </w:pPr>
            <w:r>
              <w:rPr/>
            </w:r>
          </w:p>
        </w:tc>
      </w:tr>
    </w:tbl>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30, 2025, Elliot H. Stein, Jr. notified the Board of Directors of BellRing Brands, Inc. (the "Board") of his resignation from the Board, effective September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resignation of Mr. Stein did not result from any disagreement with BellRing Brands, Inc. on any matter relating to its operations, policies or practices.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30, 2025, the Board approved the following changes to its lead independent director and committee assignments, effective immediately: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Thomas P. Erickson was appointed to serve as lead independent director, replacing Mr. Stein;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Shawn W. Conway was appointed to serve as Chair of the Compensation and Corporate Governance Committee, replacing Mr. Stein, who no longer serves on the Compensation and Corporate Governance Committee;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Jennifer Kuperman was appointed to serve as a member of the Executive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such, effective July 30, 2025, the composition of the committees of the Board were:</w:t>
      </w:r>
    </w:p>
    <w:p>
      <w:pPr>
        <w:pStyle w:val="TextBody"/>
        <w:bidi w:val="0"/>
        <w:spacing w:before="0" w:after="0"/>
        <w:jc w:val="left"/>
        <w:rPr/>
      </w:pPr>
      <w:r>
        <w:rPr/>
      </w:r>
    </w:p>
    <w:tbl>
      <w:tblPr>
        <w:tblW w:w="8205" w:type="dxa"/>
        <w:jc w:val="left"/>
        <w:tblInd w:w="0" w:type="dxa"/>
        <w:tblLayout w:type="fixed"/>
        <w:tblCellMar>
          <w:top w:w="28" w:type="dxa"/>
          <w:left w:w="28" w:type="dxa"/>
          <w:bottom w:w="28" w:type="dxa"/>
          <w:right w:w="28" w:type="dxa"/>
        </w:tblCellMar>
      </w:tblPr>
      <w:tblGrid>
        <w:gridCol w:w="663"/>
        <w:gridCol w:w="583"/>
        <w:gridCol w:w="584"/>
        <w:gridCol w:w="1484"/>
        <w:gridCol w:w="1484"/>
        <w:gridCol w:w="1487"/>
        <w:gridCol w:w="561"/>
        <w:gridCol w:w="561"/>
        <w:gridCol w:w="798"/>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Audit Committee</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Corporate Governance and Compensation Committee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Executive Committee</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P. Erickson*</w:t>
            </w:r>
          </w:p>
        </w:tc>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Shawn W. Conway*</w:t>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V. Vitale*</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Chonda J. Nwamu</w:t>
            </w:r>
          </w:p>
        </w:tc>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Thomas P. Erickson </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P. Erickson</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Elliott H. Stein, Jr</w:t>
            </w:r>
          </w:p>
        </w:tc>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Kuperman</w:t>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Kuperman</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Elliott H. Stein, Jr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Denotes Committee Chair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These changes were made as part of the Board's regular review of committee composition, to align responsibilities with the skills and experience of its members and to ensure an orderly transition of Mr. Stein’s roles and responsibilities to other directors in connection with his resignation from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10184" w:type="dxa"/>
        <w:jc w:val="left"/>
        <w:tblInd w:w="0" w:type="dxa"/>
        <w:tblLayout w:type="fixed"/>
        <w:tblCellMar>
          <w:top w:w="28" w:type="dxa"/>
          <w:left w:w="28" w:type="dxa"/>
          <w:bottom w:w="28" w:type="dxa"/>
          <w:right w:w="28" w:type="dxa"/>
        </w:tblCellMar>
      </w:tblPr>
      <w:tblGrid>
        <w:gridCol w:w="385"/>
        <w:gridCol w:w="338"/>
        <w:gridCol w:w="341"/>
        <w:gridCol w:w="2671"/>
        <w:gridCol w:w="2671"/>
        <w:gridCol w:w="3778"/>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iXBRL tags are embedded within the Inline XBRL document)</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474" w:type="dxa"/>
        <w:jc w:val="left"/>
        <w:tblInd w:w="0" w:type="dxa"/>
        <w:tblLayout w:type="fixed"/>
        <w:tblCellMar>
          <w:top w:w="28" w:type="dxa"/>
          <w:left w:w="28" w:type="dxa"/>
          <w:bottom w:w="28" w:type="dxa"/>
          <w:right w:w="28" w:type="dxa"/>
        </w:tblCellMar>
      </w:tblPr>
      <w:tblGrid>
        <w:gridCol w:w="618"/>
        <w:gridCol w:w="544"/>
        <w:gridCol w:w="547"/>
        <w:gridCol w:w="305"/>
        <w:gridCol w:w="305"/>
        <w:gridCol w:w="305"/>
        <w:gridCol w:w="830"/>
        <w:gridCol w:w="830"/>
        <w:gridCol w:w="119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2025</w:t>
            </w:r>
          </w:p>
        </w:tc>
        <w:tc>
          <w:tcPr>
            <w:tcW w:w="37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BellRing Brands, Inc.</w:t>
            </w:r>
          </w:p>
        </w:tc>
      </w:tr>
      <w:tr>
        <w:trPr/>
        <w:tc>
          <w:tcPr>
            <w:tcW w:w="1709"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850"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1709"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L. Rosenthal</w:t>
            </w:r>
          </w:p>
        </w:tc>
      </w:tr>
      <w:tr>
        <w:trPr/>
        <w:tc>
          <w:tcPr>
            <w:tcW w:w="1709"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L. Rosenthal</w:t>
            </w:r>
          </w:p>
        </w:tc>
      </w:tr>
      <w:tr>
        <w:trPr/>
        <w:tc>
          <w:tcPr>
            <w:tcW w:w="1709"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Secretary</w:t>
            </w:r>
          </w:p>
        </w:tc>
      </w:tr>
    </w:tbl>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3539</Characters>
  <CharactersWithSpaces>4124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