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11/25/2024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120,843</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272,760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11/25/2024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61,244</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211,516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Acquisition of shares pursuant to Rule 16b-3 upon payout of earned performance share award (PRSUs) under stockholder-approved equity plan. The payout was based on the level of achievement of the performance goal of relative total shareholder return percentile rank for the performance period November 11, 2021 through November 10,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120,843 PRSUs in accordance with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2024-11-27T17:39:42Z</dcterms:created>
  <dcterms:modified xsi:type="dcterms:W3CDTF">2024-11-27T17:39:42Z</dcterms:modified>
</cp:coreProperties>
</file>