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339725</wp:posOffset>
            </wp:positionH>
            <wp:positionV relativeFrom="page">
              <wp:posOffset>597535</wp:posOffset>
            </wp:positionV>
            <wp:extent cx="61436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43625" cy="5715"/>
                    </a:xfrm>
                    <a:prstGeom prst="rect">
                      <a:avLst/>
                    </a:prstGeom>
                    <a:noFill/>
                  </pic:spPr>
                </pic:pic>
              </a:graphicData>
            </a:graphic>
          </wp:anchor>
        </w:drawing>
        <w:drawing>
          <wp:anchor simplePos="0" relativeHeight="251657728" behindDoc="1" locked="0" layoutInCell="0" allowOverlap="1">
            <wp:simplePos x="0" y="0"/>
            <wp:positionH relativeFrom="page">
              <wp:posOffset>339725</wp:posOffset>
            </wp:positionH>
            <wp:positionV relativeFrom="page">
              <wp:posOffset>614680</wp:posOffset>
            </wp:positionV>
            <wp:extent cx="614362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43625" cy="571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2"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4"/>
          <w:szCs w:val="14"/>
          <w:color w:val="auto"/>
        </w:rPr>
        <w:t>______________________</w:t>
      </w:r>
    </w:p>
    <w:p>
      <w:pPr>
        <w:spacing w:after="0" w:line="5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27"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1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Date of Report (Date of earliest event reported): May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3086735</wp:posOffset>
            </wp:positionH>
            <wp:positionV relativeFrom="paragraph">
              <wp:posOffset>79375</wp:posOffset>
            </wp:positionV>
            <wp:extent cx="1000125" cy="525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0125" cy="525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BellRing Brands, Inc.</w:t>
      </w:r>
    </w:p>
    <w:p>
      <w:pPr>
        <w:spacing w:after="0" w:line="103" w:lineRule="exact"/>
        <w:rPr>
          <w:sz w:val="24"/>
          <w:szCs w:val="24"/>
          <w:color w:val="auto"/>
        </w:rPr>
      </w:pPr>
    </w:p>
    <w:tbl>
      <w:tblPr>
        <w:tblLayout w:type="fixed"/>
        <w:tblInd w:w="1280" w:type="dxa"/>
        <w:tblCellMar>
          <w:top w:w="0" w:type="dxa"/>
          <w:left w:w="0" w:type="dxa"/>
          <w:bottom w:w="0" w:type="dxa"/>
          <w:right w:w="0" w:type="dxa"/>
        </w:tblCellMar>
      </w:tblPr>
      <w:tr>
        <w:trPr>
          <w:trHeight w:val="155"/>
        </w:trPr>
        <w:tc>
          <w:tcPr>
            <w:tcW w:w="2620" w:type="dxa"/>
            <w:vAlign w:val="bottom"/>
          </w:tcPr>
          <w:p>
            <w:pPr>
              <w:spacing w:after="0"/>
              <w:rPr>
                <w:sz w:val="13"/>
                <w:szCs w:val="13"/>
                <w:color w:val="auto"/>
              </w:rPr>
            </w:pPr>
          </w:p>
        </w:tc>
        <w:tc>
          <w:tcPr>
            <w:tcW w:w="3600" w:type="dxa"/>
            <w:vAlign w:val="bottom"/>
            <w:gridSpan w:val="2"/>
          </w:tcPr>
          <w:p>
            <w:pPr>
              <w:jc w:val="center"/>
              <w:ind w:right="54"/>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2280" w:type="dxa"/>
            <w:vAlign w:val="bottom"/>
          </w:tcPr>
          <w:p>
            <w:pPr>
              <w:spacing w:after="0"/>
              <w:rPr>
                <w:sz w:val="13"/>
                <w:szCs w:val="13"/>
                <w:color w:val="auto"/>
              </w:rPr>
            </w:pPr>
          </w:p>
        </w:tc>
      </w:tr>
      <w:tr>
        <w:trPr>
          <w:trHeight w:val="184"/>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1340" w:type="dxa"/>
            <w:vAlign w:val="bottom"/>
          </w:tcPr>
          <w:p>
            <w:pPr>
              <w:spacing w:after="0"/>
              <w:rPr>
                <w:sz w:val="16"/>
                <w:szCs w:val="16"/>
                <w:color w:val="auto"/>
              </w:rPr>
            </w:pPr>
          </w:p>
        </w:tc>
        <w:tc>
          <w:tcPr>
            <w:tcW w:w="2260" w:type="dxa"/>
            <w:vAlign w:val="bottom"/>
          </w:tcPr>
          <w:p>
            <w:pPr>
              <w:jc w:val="center"/>
              <w:ind w:right="1394"/>
              <w:spacing w:after="0"/>
              <w:rPr>
                <w:sz w:val="20"/>
                <w:szCs w:val="20"/>
                <w:color w:val="auto"/>
              </w:rPr>
            </w:pPr>
            <w:r>
              <w:rPr>
                <w:rFonts w:ascii="Times New Roman" w:cs="Times New Roman" w:eastAsia="Times New Roman" w:hAnsi="Times New Roman"/>
                <w:sz w:val="13"/>
                <w:szCs w:val="13"/>
                <w:b w:val="1"/>
                <w:bCs w:val="1"/>
                <w:color w:val="auto"/>
                <w:w w:val="99"/>
              </w:rPr>
              <w:t>001-39093</w:t>
            </w:r>
          </w:p>
        </w:tc>
        <w:tc>
          <w:tcPr>
            <w:tcW w:w="22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87-3296749</w:t>
            </w:r>
          </w:p>
        </w:tc>
      </w:tr>
      <w:tr>
        <w:trPr>
          <w:trHeight w:val="158"/>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2"/>
                <w:szCs w:val="12"/>
                <w:color w:val="auto"/>
                <w:w w:val="99"/>
              </w:rPr>
              <w:t>(State or other jurisdiction of incorporation)</w:t>
            </w:r>
          </w:p>
        </w:tc>
        <w:tc>
          <w:tcPr>
            <w:tcW w:w="3600" w:type="dxa"/>
            <w:vAlign w:val="bottom"/>
            <w:gridSpan w:val="2"/>
          </w:tcPr>
          <w:p>
            <w:pPr>
              <w:jc w:val="center"/>
              <w:ind w:right="54"/>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2280" w:type="dxa"/>
            <w:vAlign w:val="bottom"/>
          </w:tcPr>
          <w:p>
            <w:pPr>
              <w:jc w:val="center"/>
              <w:ind w:left="557"/>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391"/>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rPr>
              <w:t>2503 S. Hanley Road</w:t>
            </w:r>
          </w:p>
        </w:tc>
        <w:tc>
          <w:tcPr>
            <w:tcW w:w="134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St. Louis</w:t>
            </w:r>
          </w:p>
        </w:tc>
        <w:tc>
          <w:tcPr>
            <w:tcW w:w="2260" w:type="dxa"/>
            <w:vAlign w:val="bottom"/>
          </w:tcPr>
          <w:p>
            <w:pPr>
              <w:ind w:left="1060"/>
              <w:spacing w:after="0"/>
              <w:rPr>
                <w:sz w:val="20"/>
                <w:szCs w:val="20"/>
                <w:color w:val="auto"/>
              </w:rPr>
            </w:pPr>
            <w:r>
              <w:rPr>
                <w:rFonts w:ascii="Times New Roman" w:cs="Times New Roman" w:eastAsia="Times New Roman" w:hAnsi="Times New Roman"/>
                <w:sz w:val="13"/>
                <w:szCs w:val="13"/>
                <w:b w:val="1"/>
                <w:bCs w:val="1"/>
                <w:color w:val="auto"/>
              </w:rPr>
              <w:t>Missouri</w:t>
            </w:r>
          </w:p>
        </w:tc>
        <w:tc>
          <w:tcPr>
            <w:tcW w:w="2280" w:type="dxa"/>
            <w:vAlign w:val="bottom"/>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63144</w:t>
            </w:r>
          </w:p>
        </w:tc>
      </w:tr>
      <w:tr>
        <w:trPr>
          <w:trHeight w:val="158"/>
        </w:trPr>
        <w:tc>
          <w:tcPr>
            <w:tcW w:w="3960" w:type="dxa"/>
            <w:vAlign w:val="bottom"/>
            <w:gridSpan w:val="2"/>
          </w:tcPr>
          <w:p>
            <w:pPr>
              <w:ind w:left="172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2260" w:type="dxa"/>
            <w:vAlign w:val="bottom"/>
          </w:tcPr>
          <w:p>
            <w:pPr>
              <w:spacing w:after="0"/>
              <w:rPr>
                <w:sz w:val="13"/>
                <w:szCs w:val="13"/>
                <w:color w:val="auto"/>
              </w:rPr>
            </w:pPr>
          </w:p>
        </w:tc>
        <w:tc>
          <w:tcPr>
            <w:tcW w:w="2280" w:type="dxa"/>
            <w:vAlign w:val="bottom"/>
          </w:tcPr>
          <w:p>
            <w:pPr>
              <w:jc w:val="center"/>
              <w:ind w:left="577"/>
              <w:spacing w:after="0"/>
              <w:rPr>
                <w:sz w:val="20"/>
                <w:szCs w:val="20"/>
                <w:color w:val="auto"/>
              </w:rPr>
            </w:pPr>
            <w:r>
              <w:rPr>
                <w:rFonts w:ascii="Times New Roman" w:cs="Times New Roman" w:eastAsia="Times New Roman" w:hAnsi="Times New Roman"/>
                <w:sz w:val="12"/>
                <w:szCs w:val="12"/>
                <w:color w:val="auto"/>
                <w:w w:val="98"/>
              </w:rPr>
              <w:t>(Zip Code)</w:t>
            </w:r>
          </w:p>
        </w:tc>
      </w:tr>
    </w:tbl>
    <w:p>
      <w:pPr>
        <w:spacing w:after="0" w:line="12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3"/>
          <w:szCs w:val="13"/>
          <w:b w:val="1"/>
          <w:bCs w:val="1"/>
          <w:color w:val="auto"/>
        </w:rPr>
        <w:t>(314) 644-7600</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78" w:lineRule="exact"/>
        <w:rPr>
          <w:sz w:val="24"/>
          <w:szCs w:val="24"/>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37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144"/>
        </w:trPr>
        <w:tc>
          <w:tcPr>
            <w:tcW w:w="1420" w:type="dxa"/>
            <w:vAlign w:val="bottom"/>
          </w:tcPr>
          <w:p>
            <w:pPr>
              <w:spacing w:after="0"/>
              <w:rPr>
                <w:sz w:val="12"/>
                <w:szCs w:val="12"/>
                <w:color w:val="auto"/>
              </w:rPr>
            </w:pPr>
          </w:p>
        </w:tc>
        <w:tc>
          <w:tcPr>
            <w:tcW w:w="2280" w:type="dxa"/>
            <w:vAlign w:val="bottom"/>
            <w:gridSpan w:val="2"/>
          </w:tcPr>
          <w:p>
            <w:pPr>
              <w:jc w:val="center"/>
              <w:ind w:right="142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48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8"/>
              </w:rPr>
              <w:t>Trading Symbol(s)</w:t>
            </w:r>
          </w:p>
        </w:tc>
        <w:tc>
          <w:tcPr>
            <w:tcW w:w="2920" w:type="dxa"/>
            <w:vAlign w:val="bottom"/>
            <w:gridSpan w:val="2"/>
          </w:tcPr>
          <w:p>
            <w:pPr>
              <w:jc w:val="center"/>
              <w:ind w:left="740"/>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r>
        <w:trPr>
          <w:trHeight w:val="160"/>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$0.01 par value per share</w:t>
            </w:r>
          </w:p>
        </w:tc>
        <w:tc>
          <w:tcPr>
            <w:tcW w:w="780" w:type="dxa"/>
            <w:vAlign w:val="bottom"/>
          </w:tcPr>
          <w:p>
            <w:pPr>
              <w:spacing w:after="0"/>
              <w:rPr>
                <w:sz w:val="13"/>
                <w:szCs w:val="13"/>
                <w:color w:val="auto"/>
              </w:rPr>
            </w:pPr>
          </w:p>
        </w:tc>
        <w:tc>
          <w:tcPr>
            <w:tcW w:w="1700" w:type="dxa"/>
            <w:vAlign w:val="bottom"/>
            <w:gridSpan w:val="2"/>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rPr>
              <w:t>BRBR</w:t>
            </w:r>
          </w:p>
        </w:tc>
        <w:tc>
          <w:tcPr>
            <w:tcW w:w="80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New York Stock Exchange</w:t>
            </w:r>
          </w:p>
        </w:tc>
      </w:tr>
    </w:tbl>
    <w:p>
      <w:pPr>
        <w:spacing w:after="0" w:line="115" w:lineRule="exact"/>
        <w:rPr>
          <w:sz w:val="24"/>
          <w:szCs w:val="24"/>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If an emerging growth company, indicate by check mark if the registrant has elected not to use the extended transition period for complying with any new or revised financial accounting standards provided pursuant to Section 13(a) of</w:t>
      </w:r>
    </w:p>
    <w:p>
      <w:pPr>
        <w:spacing w:after="0" w:line="196"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the Exchange Act.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587375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-39370</wp:posOffset>
            </wp:positionV>
            <wp:extent cx="60636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63615" cy="571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-22225</wp:posOffset>
            </wp:positionV>
            <wp:extent cx="60636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63615" cy="5715"/>
                    </a:xfrm>
                    <a:prstGeom prst="rect">
                      <a:avLst/>
                    </a:prstGeom>
                    <a:noFill/>
                  </pic:spPr>
                </pic:pic>
              </a:graphicData>
            </a:graphic>
          </wp:anchor>
        </w:drawing>
      </w:r>
    </w:p>
    <w:p>
      <w:pPr>
        <w:sectPr>
          <w:pgSz w:w="11900" w:h="16838" w:orient="portrait"/>
          <w:cols w:equalWidth="0" w:num="1">
            <w:col w:w="11200"/>
          </w:cols>
          <w:pgMar w:left="300" w:top="1087" w:right="399" w:bottom="1440" w:gutter="0" w:footer="0" w:header="0"/>
        </w:sectPr>
      </w:pPr>
    </w:p>
    <w:bookmarkStart w:id="1" w:name="page2"/>
    <w:bookmarkEnd w:id="1"/>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 and Financial Condition.</w:t>
      </w:r>
    </w:p>
    <w:p>
      <w:pPr>
        <w:spacing w:after="0" w:line="172"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2"/>
          <w:szCs w:val="12"/>
          <w:color w:val="auto"/>
        </w:rPr>
        <w:t>On May 6, 2024, BellRing Brands, Inc. (the "Company") issued a press release announcing results for its second fiscal quarter ended March 31, 2024. A copy of the press release is attached hereto as Exhibit 99.1 and incorporated herein by reference.</w:t>
      </w:r>
    </w:p>
    <w:p>
      <w:pPr>
        <w:spacing w:after="0" w:line="129"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In addition, on May 6, 2024, the Company published to the "Investor Relations" section of its website, www.bellringbrands.com, a supplemental presentation related to results for its second fiscal quarter ended March 31, 2024. A copy of the presentation is attached hereto as Exhibit 99.2 and incorporated herein by reference.</w:t>
      </w:r>
    </w:p>
    <w:p>
      <w:pPr>
        <w:spacing w:after="0" w:line="12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information contained in Item 2.02, including Exhibit 99.1 and Exhibit 99.2 attached hereto, shall not be deemed to be "filed" for purposes of Section 18 of the Securities Exchange Act of 1934, as amended (the "Exchange Act"), or otherwise subject to the liabilities of that Section, nor shall they be deemed incorporated by reference into any filings under the Securities Act of 1933, as amended, or the Exchange Act, except as expressly set forth by specific reference in such filing.</w:t>
      </w:r>
    </w:p>
    <w:p>
      <w:pPr>
        <w:spacing w:after="0" w:line="13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2"/>
          <w:szCs w:val="12"/>
          <w:b w:val="1"/>
          <w:bCs w:val="1"/>
          <w:color w:val="auto"/>
        </w:rPr>
        <w:t>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5540" w:type="dxa"/>
            <w:vAlign w:val="bottom"/>
          </w:tcPr>
          <w:p>
            <w:pPr>
              <w:spacing w:after="0"/>
              <w:rPr>
                <w:sz w:val="13"/>
                <w:szCs w:val="13"/>
                <w:color w:val="auto"/>
              </w:rPr>
            </w:pPr>
          </w:p>
        </w:tc>
      </w:tr>
      <w:tr>
        <w:trPr>
          <w:trHeight w:val="306"/>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No.</w:t>
            </w: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1700" w:type="dxa"/>
            <w:vAlign w:val="bottom"/>
          </w:tcPr>
          <w:p>
            <w:pPr>
              <w:spacing w:after="0"/>
              <w:rPr>
                <w:sz w:val="20"/>
                <w:szCs w:val="20"/>
                <w:color w:val="auto"/>
              </w:rPr>
            </w:pPr>
          </w:p>
        </w:tc>
        <w:tc>
          <w:tcPr>
            <w:tcW w:w="1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8"/>
              </w:rPr>
              <w:t>Press Release dated May 6, 2024</w:t>
            </w:r>
          </w:p>
        </w:tc>
        <w:tc>
          <w:tcPr>
            <w:tcW w:w="7460" w:type="dxa"/>
            <w:vAlign w:val="bottom"/>
            <w:gridSpan w:val="2"/>
          </w:tcPr>
          <w:p>
            <w:pPr>
              <w:spacing w:after="0"/>
              <w:rPr>
                <w:sz w:val="20"/>
                <w:szCs w:val="20"/>
                <w:color w:val="auto"/>
              </w:rPr>
            </w:pP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1700" w:type="dxa"/>
            <w:vAlign w:val="bottom"/>
          </w:tcPr>
          <w:p>
            <w:pPr>
              <w:spacing w:after="0"/>
              <w:rPr>
                <w:sz w:val="11"/>
                <w:szCs w:val="11"/>
                <w:color w:val="auto"/>
              </w:rPr>
            </w:pPr>
          </w:p>
        </w:tc>
        <w:tc>
          <w:tcPr>
            <w:tcW w:w="904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FF"/>
              </w:rPr>
              <w:t>Second Fiscal Quarter Ended March 31, 2024 Supplemental Presentation</w:t>
            </w:r>
          </w:p>
        </w:tc>
      </w:tr>
      <w:tr>
        <w:trPr>
          <w:trHeight w:val="20"/>
        </w:trPr>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500" w:type="dxa"/>
            <w:vAlign w:val="bottom"/>
            <w:gridSpan w:val="3"/>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160"/>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700" w:type="dxa"/>
            <w:vAlign w:val="bottom"/>
          </w:tcPr>
          <w:p>
            <w:pPr>
              <w:spacing w:after="0"/>
              <w:rPr>
                <w:sz w:val="13"/>
                <w:szCs w:val="13"/>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(the cover page iXBRL tags are embedded within the Inline XBRL document)</w:t>
            </w:r>
          </w:p>
        </w:tc>
      </w:tr>
      <w:tr>
        <w:trPr>
          <w:trHeight w:val="2241"/>
        </w:trPr>
        <w:tc>
          <w:tcPr>
            <w:tcW w:w="5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60"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20" w:type="dxa"/>
            <w:vAlign w:val="bottom"/>
          </w:tcPr>
          <w:p>
            <w:pPr>
              <w:spacing w:after="0"/>
              <w:rPr>
                <w:sz w:val="20"/>
                <w:szCs w:val="20"/>
                <w:color w:val="auto"/>
              </w:rPr>
            </w:pPr>
            <w:r>
              <w:rPr>
                <w:rFonts w:ascii="Times New Roman" w:cs="Times New Roman" w:eastAsia="Times New Roman" w:hAnsi="Times New Roman"/>
                <w:sz w:val="12"/>
                <w:szCs w:val="12"/>
                <w:color w:val="auto"/>
              </w:rPr>
              <w:t>Date: May 6, 2024</w:t>
            </w:r>
          </w:p>
        </w:tc>
        <w:tc>
          <w:tcPr>
            <w:tcW w:w="7860" w:type="dxa"/>
            <w:vAlign w:val="bottom"/>
            <w:gridSpan w:val="2"/>
          </w:tcPr>
          <w:p>
            <w:pPr>
              <w:ind w:left="2320"/>
              <w:spacing w:after="0"/>
              <w:rPr>
                <w:sz w:val="20"/>
                <w:szCs w:val="20"/>
                <w:color w:val="auto"/>
              </w:rPr>
            </w:pPr>
            <w:r>
              <w:rPr>
                <w:rFonts w:ascii="Times New Roman" w:cs="Times New Roman" w:eastAsia="Times New Roman" w:hAnsi="Times New Roman"/>
                <w:sz w:val="12"/>
                <w:szCs w:val="12"/>
                <w:b w:val="1"/>
                <w:bCs w:val="1"/>
                <w:color w:val="auto"/>
              </w:rPr>
              <w:t>BellRing Brands, Inc.</w:t>
            </w:r>
          </w:p>
        </w:tc>
      </w:tr>
      <w:tr>
        <w:trPr>
          <w:trHeight w:val="225"/>
        </w:trPr>
        <w:tc>
          <w:tcPr>
            <w:tcW w:w="3220" w:type="dxa"/>
            <w:vAlign w:val="bottom"/>
          </w:tcPr>
          <w:p>
            <w:pPr>
              <w:spacing w:after="0"/>
              <w:rPr>
                <w:sz w:val="19"/>
                <w:szCs w:val="19"/>
                <w:color w:val="auto"/>
              </w:rPr>
            </w:pPr>
          </w:p>
        </w:tc>
        <w:tc>
          <w:tcPr>
            <w:tcW w:w="324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(Registrant)</w:t>
            </w:r>
          </w:p>
        </w:tc>
        <w:tc>
          <w:tcPr>
            <w:tcW w:w="4620" w:type="dxa"/>
            <w:vAlign w:val="bottom"/>
          </w:tcPr>
          <w:p>
            <w:pPr>
              <w:spacing w:after="0"/>
              <w:rPr>
                <w:sz w:val="19"/>
                <w:szCs w:val="19"/>
                <w:color w:val="auto"/>
              </w:rPr>
            </w:pPr>
          </w:p>
        </w:tc>
      </w:tr>
      <w:tr>
        <w:trPr>
          <w:trHeight w:val="450"/>
        </w:trPr>
        <w:tc>
          <w:tcPr>
            <w:tcW w:w="3220" w:type="dxa"/>
            <w:vAlign w:val="bottom"/>
          </w:tcPr>
          <w:p>
            <w:pPr>
              <w:spacing w:after="0"/>
              <w:rPr>
                <w:sz w:val="24"/>
                <w:szCs w:val="24"/>
                <w:color w:val="auto"/>
              </w:rPr>
            </w:pPr>
          </w:p>
        </w:tc>
        <w:tc>
          <w:tcPr>
            <w:tcW w:w="324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By:</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Paul A. Rode</w:t>
            </w:r>
          </w:p>
        </w:tc>
      </w:tr>
      <w:tr>
        <w:trPr>
          <w:trHeight w:val="203"/>
        </w:trPr>
        <w:tc>
          <w:tcPr>
            <w:tcW w:w="3220" w:type="dxa"/>
            <w:vAlign w:val="bottom"/>
          </w:tcPr>
          <w:p>
            <w:pPr>
              <w:spacing w:after="0"/>
              <w:rPr>
                <w:sz w:val="17"/>
                <w:szCs w:val="17"/>
                <w:color w:val="auto"/>
              </w:rPr>
            </w:pPr>
          </w:p>
        </w:tc>
        <w:tc>
          <w:tcPr>
            <w:tcW w:w="324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Name:</w:t>
            </w:r>
          </w:p>
        </w:tc>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Paul A. Rode</w:t>
            </w:r>
          </w:p>
        </w:tc>
      </w:tr>
      <w:tr>
        <w:trPr>
          <w:trHeight w:val="155"/>
        </w:trPr>
        <w:tc>
          <w:tcPr>
            <w:tcW w:w="3220" w:type="dxa"/>
            <w:vAlign w:val="bottom"/>
          </w:tcPr>
          <w:p>
            <w:pPr>
              <w:spacing w:after="0"/>
              <w:rPr>
                <w:sz w:val="13"/>
                <w:szCs w:val="13"/>
                <w:color w:val="auto"/>
              </w:rPr>
            </w:pPr>
          </w:p>
        </w:tc>
        <w:tc>
          <w:tcPr>
            <w:tcW w:w="324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Title:</w:t>
            </w:r>
          </w:p>
        </w:tc>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bl>
    <w:p>
      <w:pPr>
        <w:sectPr>
          <w:pgSz w:w="11900" w:h="16838" w:orient="portrait"/>
          <w:cols w:equalWidth="0" w:num="1">
            <w:col w:w="11080"/>
          </w:cols>
          <w:pgMar w:left="300" w:top="1155"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994410" cy="4743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94410" cy="47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BellRing Brands Reports Results for the Second Quarter of Fiscal Year 2024; Raises Fiscal Year 2024 Outlook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St. Louis - May 6, 2024 </w:t>
      </w:r>
      <w:r>
        <w:rPr>
          <w:rFonts w:ascii="Times New Roman" w:cs="Times New Roman" w:eastAsia="Times New Roman" w:hAnsi="Times New Roman"/>
          <w:sz w:val="12"/>
          <w:szCs w:val="12"/>
          <w:color w:val="auto"/>
        </w:rPr>
        <w:t>- BellRing Brands, Inc. (NYSE:BRBR) (“BellRing”), a holding company operating in the global convenient nutrition category, today reported results for the second fiscal quarter ended March 31,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Highlights:</w:t>
      </w:r>
    </w:p>
    <w:p>
      <w:pPr>
        <w:spacing w:after="0" w:line="78"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Second quarter net sales of $494.6 million</w:t>
      </w:r>
    </w:p>
    <w:p>
      <w:pPr>
        <w:spacing w:after="0" w:line="20"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Operating profit of $91.0 million, net earnings of $57.2 million and Adjusted EBITDA* of $103.7 million</w:t>
      </w:r>
    </w:p>
    <w:p>
      <w:pPr>
        <w:spacing w:after="0" w:line="6"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Raised fiscal year 2024 net sales outlook to $1.93-$1.99 billion and Adjusted EBITDA* outlook to $400-$420 million</w:t>
      </w:r>
    </w:p>
    <w:p>
      <w:pPr>
        <w:spacing w:after="0" w:line="98" w:lineRule="exact"/>
        <w:rPr>
          <w:sz w:val="20"/>
          <w:szCs w:val="20"/>
          <w:color w:val="auto"/>
        </w:rPr>
      </w:pPr>
    </w:p>
    <w:p>
      <w:pPr>
        <w:jc w:val="both"/>
        <w:ind w:right="160"/>
        <w:spacing w:after="0" w:line="237" w:lineRule="auto"/>
        <w:rPr>
          <w:sz w:val="20"/>
          <w:szCs w:val="20"/>
          <w:color w:val="auto"/>
        </w:rPr>
      </w:pPr>
      <w:r>
        <w:rPr>
          <w:rFonts w:ascii="Times New Roman" w:cs="Times New Roman" w:eastAsia="Times New Roman" w:hAnsi="Times New Roman"/>
          <w:sz w:val="10"/>
          <w:szCs w:val="10"/>
          <w:i w:val="1"/>
          <w:iCs w:val="1"/>
          <w:color w:val="auto"/>
        </w:rPr>
        <w:t>*Adjusted EBITDA is a non-GAAP measure. For additional information regarding non-GAAP measures, see the related explanations presented under “Use of Non-GAAP Measures” later in this release. 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the adjustments described under “Outlook” later in this release.</w:t>
      </w:r>
    </w:p>
    <w:p>
      <w:pPr>
        <w:spacing w:after="0" w:line="86"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2"/>
          <w:szCs w:val="12"/>
          <w:color w:val="auto"/>
        </w:rPr>
        <w:t xml:space="preserve">“Our momentum continued this quarter as we restarted meaningful shake promotions and experienced greater than forecasted shake demand.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shake consumption growth was strong, boosted by strong velocities, new products and significant gains in household penetration. Our powder products success in mainstream channels continued this quarter, behind brand building investments and distribution gains,” said Darcy H. Davenport, President and Chief Executive Officer of BellRing. “Our greenfield facilities continue to scale up and overall shake capacity expansion is on track. Our first half performance gives us greater confidence to deliver our second half expectations and drives our decision to raise our full year outlook.”</w:t>
      </w:r>
    </w:p>
    <w:p>
      <w:pPr>
        <w:spacing w:after="0" w:line="94"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12"/>
          <w:szCs w:val="12"/>
          <w:color w:val="auto"/>
        </w:rPr>
        <w:t xml:space="preserve">Dollar consumption of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ready-to-drink (“RTD”) shakes and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powder products increased 28.8% and 52.2%, respectively, and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powder products decreased 8.3% in the 13-week period ended March 31, 2024, as compared to the same period in 2023 (inclusive of Circana United States (“U.S.”) Multi Outlet including Convenience and management estimates of untracked channels).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Second Quarter Operating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sales were $494.6 million, an increase of 28.3%, or $109.0 million, compared to the prior year period, driven by 42.7% increase in volume and 14.4% decrease in price/mix.</w:t>
      </w:r>
    </w:p>
    <w:p>
      <w:pPr>
        <w:spacing w:after="0" w:line="112"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Premier Protein </w:t>
      </w:r>
      <w:r>
        <w:rPr>
          <w:rFonts w:ascii="Times New Roman" w:cs="Times New Roman" w:eastAsia="Times New Roman" w:hAnsi="Times New Roman"/>
          <w:sz w:val="12"/>
          <w:szCs w:val="12"/>
          <w:color w:val="auto"/>
        </w:rPr>
        <w:t>net sales increased 33.8%, driven by 44.9% increase in volume and 11.1% decrease in price/mix.</w:t>
      </w:r>
      <w:r>
        <w:rPr>
          <w:rFonts w:ascii="Times New Roman" w:cs="Times New Roman" w:eastAsia="Times New Roman" w:hAnsi="Times New Roman"/>
          <w:sz w:val="12"/>
          <w:szCs w:val="12"/>
          <w:i w:val="1"/>
          <w:iCs w:val="1"/>
          <w:color w:val="auto"/>
        </w:rPr>
        <w:t xml:space="preserve"> Premier Protein </w:t>
      </w:r>
      <w:r>
        <w:rPr>
          <w:rFonts w:ascii="Times New Roman" w:cs="Times New Roman" w:eastAsia="Times New Roman" w:hAnsi="Times New Roman"/>
          <w:sz w:val="12"/>
          <w:szCs w:val="12"/>
          <w:color w:val="auto"/>
        </w:rPr>
        <w:t>RTD shake net sales increased 33.7%, driven by 46.2% increase in volume and 12.5% decrease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price/mix. Volume growth was driven by incremental promotional activity (which resulted in a decline in price/mix), distribution gains and organic growth.</w:t>
      </w:r>
    </w:p>
    <w:p>
      <w:pPr>
        <w:spacing w:after="0" w:line="71" w:lineRule="exact"/>
        <w:rPr>
          <w:sz w:val="20"/>
          <w:szCs w:val="20"/>
          <w:color w:val="auto"/>
        </w:rPr>
      </w:pPr>
    </w:p>
    <w:p>
      <w:pPr>
        <w:ind w:right="380"/>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Dymatize </w:t>
      </w:r>
      <w:r>
        <w:rPr>
          <w:rFonts w:ascii="Times New Roman" w:cs="Times New Roman" w:eastAsia="Times New Roman" w:hAnsi="Times New Roman"/>
          <w:sz w:val="12"/>
          <w:szCs w:val="12"/>
          <w:color w:val="auto"/>
        </w:rPr>
        <w:t>net sales increased 4.6%, driven by 1.4% increase in volume and 3.2% increase in price/mix. Volume growth was driven by distribution gains and organic growth. The increase in price/mix was driven by favorable mix</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changes.</w:t>
      </w:r>
    </w:p>
    <w:p>
      <w:pPr>
        <w:spacing w:after="0" w:line="73"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Gross profit was $164.3 million, or 33.2% of net sales, an increase of 40.3%, or $47.2 million, compared to $117.1 million, or 30.4% of net sales, in the prior year period. The higher gross profit margin was driven by net input cost deflation, which was partially offset by incremental promotional activity.</w:t>
      </w:r>
    </w:p>
    <w:p>
      <w:pPr>
        <w:spacing w:after="0" w:line="75"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Selling, general and administrative (“SG&amp;A”) expenses were $69.1 million, or 14.0% of net sales, an increase of $14.8 million compared to $54.3 million, or 14.1% of net sales, in the prior year period. SG&amp;A expenses in the second quarter of 2024 included higher employee expenses and distribution and warehousing expenses on higher volumes, as well as higher marketing and consumer advertising expenses of $3.3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Operating profit was $91.0 million, an increase of 56.9%, or $33.0 million, compared to $58.0 million in the prior year period.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642" w:right="299" w:bottom="1440" w:gutter="0" w:footer="0" w:header="0"/>
        </w:sectPr>
      </w:pPr>
    </w:p>
    <w:bookmarkStart w:id="4" w:name="page5"/>
    <w:bookmarkEnd w:id="4"/>
    <w:p>
      <w:pPr>
        <w:ind w:right="120"/>
        <w:spacing w:after="0" w:line="279" w:lineRule="auto"/>
        <w:rPr>
          <w:sz w:val="20"/>
          <w:szCs w:val="20"/>
          <w:color w:val="auto"/>
        </w:rPr>
      </w:pPr>
      <w:r>
        <w:rPr>
          <w:rFonts w:ascii="Times New Roman" w:cs="Times New Roman" w:eastAsia="Times New Roman" w:hAnsi="Times New Roman"/>
          <w:sz w:val="12"/>
          <w:szCs w:val="12"/>
          <w:color w:val="auto"/>
        </w:rPr>
        <w:t>Interest expense, net was $14.5 million and $16.8 million in the second quarter of 2024 and 2023, respectively, with the decline primarily driven by lower borrowings outstanding under the revolving credit facility. Income tax expense was $19.3 million in the second quarter of 2024, an effective income tax rate of 25.2%, compared to $10.3 million in the second quarter of 2023, an effective income tax rate of 25.0%.</w:t>
      </w:r>
    </w:p>
    <w:p>
      <w:pPr>
        <w:spacing w:after="0" w:line="7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Net earnings were $57.2 million, an increase of 85.1%, or $26.3 million, compared to $30.9 million in the prior year period. Net earnings per diluted common share were $0.43, an increase of 87.0%, compared to $0.23 in the prior year period. Adjusted net earnings* were $59.2 million, an increase of 85.6%, compared to $31.9 million in the prior year period. Adjusted net earnings per common share* were $0.45, an increase of 87.5%, compared to $0.24 in the prior year period.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EBITDA* was $103.7 million, an increase of 52.5%, or $35.7 million, compared to $68.0 million in the prior year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*Adjusted net earnings, Adjusted diluted earnings per common share and Adjusted EBITDA are non-GAAP measures. For additional information regarding non-GAAP measures, see the related explanations presented under “Use of Non-GAAP Measures” later in this release.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Six Month Operating Results</w:t>
      </w:r>
    </w:p>
    <w:p>
      <w:pPr>
        <w:spacing w:after="0" w:line="116"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2"/>
          <w:szCs w:val="12"/>
          <w:color w:val="auto"/>
        </w:rPr>
        <w:t xml:space="preserve">Net sales were $925.0 million, an increase of 23.6%, or $176.7 million, compared to the prior year period, driven by 31.0% increase in volume and 7.4% decrease in price/mix.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net sales increased 26.5%, driven by 32.3% increase in volume and 5.8% decrease in price/mix.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net sales increased 11.6%, driven by 14.4% increase in volume and 2.8% decrease in price/mix.</w:t>
      </w:r>
    </w:p>
    <w:p>
      <w:pPr>
        <w:spacing w:after="0" w:line="73"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Gross profit was $312.3 million, or 33.8% of net sales, an increase of 30.7%, or $73.4 million, compared to $238.9 million, or 31.9% of net sales, in the prior year period. The higher gross profit margin was driven by net input cost deflation, which was partially offset by incremental promotional activity.</w:t>
      </w:r>
    </w:p>
    <w:p>
      <w:pPr>
        <w:spacing w:after="0" w:line="75"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SG&amp;A expenses were $121.9 million, or 13.2% of net sales, an increase of $25.9 million compared to $96.0 million, or 12.8% of net sales, in the prior year period. SG&amp;A expenses in the six months ended March 31, 2024 included higher employee expenses and distribution and warehousing expenses on higher volumes, as well as increased marketing and consumer advertising expenses of $4.3 million.</w:t>
      </w:r>
    </w:p>
    <w:p>
      <w:pPr>
        <w:spacing w:after="0" w:line="7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 xml:space="preserve">Operating profit was $164.0 million, an increase of 23.1%, or $30.8 million, compared to $133.2 million in the prior year period, and was negatively impacted by $17.4 million of accelerated amortization incurred in connection with the discontinuance of the North American </w:t>
      </w:r>
      <w:r>
        <w:rPr>
          <w:rFonts w:ascii="Times New Roman" w:cs="Times New Roman" w:eastAsia="Times New Roman" w:hAnsi="Times New Roman"/>
          <w:sz w:val="12"/>
          <w:szCs w:val="12"/>
          <w:i w:val="1"/>
          <w:iCs w:val="1"/>
          <w:color w:val="auto"/>
        </w:rPr>
        <w:t>PowerBar</w:t>
      </w:r>
      <w:r>
        <w:rPr>
          <w:rFonts w:ascii="Times New Roman" w:cs="Times New Roman" w:eastAsia="Times New Roman" w:hAnsi="Times New Roman"/>
          <w:sz w:val="12"/>
          <w:szCs w:val="12"/>
          <w:color w:val="auto"/>
        </w:rPr>
        <w:t xml:space="preserve"> business, which was treated as an adjustment for non-GAAP measures.</w:t>
      </w:r>
    </w:p>
    <w:p>
      <w:pPr>
        <w:spacing w:after="0" w:line="75"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Interest expense, net was $29.4 million and $33.5 million in the six months ended March 31, 2024 and 2023, respectively, with the decline primarily driven by lower borrowings outstanding under the revolving credit facility. Income tax expense was $33.5 million in the six months ended March 31, 2024, an effective income tax rate of 24.9%, compared to $24.6 million in the six months ended March 31, 2023, an effective income tax rate of 24.7%.</w:t>
      </w:r>
    </w:p>
    <w:p>
      <w:pPr>
        <w:spacing w:after="0" w:line="7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Net earnings were $101.1 million, an increase of 34.6%, or $26.0 million, compared to $75.1 million in the prior year period. Net earnings per diluted common share were $0.76, an increase of 35.7%, compared to $0.56 in the prior year period. Adjusted net earnings* were $116.5 million, an increase of 51.7%, compared to $76.8 million in the prior year period. Adjusted diluted earnings per common share* were $0.88, an increase of 54.4%, compared to $0.57 in the prior year period.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EBITDA* was $204.2 million, an increase of 33.6%, or $51.3 million, compared to $152.9 million in the prior year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*Adjusted net earnings, Adjusted diluted earnings per common share and Adjusted EBITDA are non-GAAP measures. For additional information regarding non-GAAP measures, see the related explanations presented under “Use of Non-GAAP Measures” later in this release.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Share Repurchases</w:t>
      </w:r>
    </w:p>
    <w:p>
      <w:pPr>
        <w:spacing w:after="0" w:line="109"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2"/>
          <w:szCs w:val="12"/>
          <w:color w:val="auto"/>
        </w:rPr>
        <w:t>During the second quarter of 2024, BellRing repurchased 0.4 million shares for $22.9 million at an average price of $56.46 per share. During the six months ended March 31, 2024, BellRing repurchased 0.6 million shares for $32.3 million at an average price of $52.28 per share. As of March 31, 2024, BellRing had $289.4 million remaining under its share repurchase authorization.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Outlook</w:t>
      </w:r>
    </w:p>
    <w:p>
      <w:pPr>
        <w:spacing w:after="0" w:line="118"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For fiscal year 2024, BellRing management has raised its guidance range for net sales to $1.93-$1.99 billion (from $1.87-$1.95 billion) and Adjusted EBITDA to $400-$420 million (from $375-$400 million) (resulting in net sales and Adjusted EBITDA</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642"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color w:val="auto"/>
        </w:rPr>
        <w:t>growth of 16%-19% and 18%-24%, respectively, over fiscal year 2023). BellRing management expects fiscal year 2024 capital expenditures of approximately $4 million.</w:t>
      </w:r>
    </w:p>
    <w:p>
      <w:pPr>
        <w:spacing w:after="0" w:line="114"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2"/>
          <w:szCs w:val="12"/>
          <w:color w:val="auto"/>
        </w:rPr>
        <w:t>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adjustments that could be made for mark-to-market adjustments on commodity hedges and other charges reflected in BellRing’s reconciliation of historical numbers, the amounts of which, based on historical experience, could be significant. For additional information regarding BellRing’s non-GAAP measures, see the related explanations presented under “Use of Non-GAAP Measures.”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Use of Non-GAAP Measures</w:t>
      </w:r>
    </w:p>
    <w:p>
      <w:pPr>
        <w:spacing w:after="0" w:line="11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BellRing uses certain non-GAAP measures in this release to supplement the financial measures prepared in accordance with U.S. generally accepted accounting principles (“GAAP”). These non-GAAP measures include Adjusted net earnings, Adjusted diluted earnings per common share, Adjusted EBITDA and Adjusted EBITDA as a percentage of net sales. The reconciliation of each of these non-GAAP measures to the most directly comparable GAAP measure is provided later in this release under “Explanation and Reconciliation of Non-GAAP Measures.”</w:t>
      </w:r>
    </w:p>
    <w:p>
      <w:pPr>
        <w:spacing w:after="0" w:line="8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Management uses certain of these non-GAAP measures, including Adjusted EBITDA and Adjusted EBITDA as a percentage of net sales, as key metrics in the evaluation of underlying company performance, in making financial, operating and planning decisions and, in part, in the determination of bonuses for its executive officers and employees. Additionally, BellRing is required to comply with certain covenants and limitations that are based on variations of EBITDA in its financing documents. Management believes the use of these non-GAAP measures provides increased transparency and assists investors in understanding the underlying operating performance of BellRing and in the analysis of ongoing operating trends. Non-GAAP measures are not prepared in accordance with GAAP, as they exclude certain items as described later in this release. These non-GAAP measures may not be comparable to similarly titled measures of other companies. For additional information regarding BellRing’s non-GAAP measures, see the related explanations provided under “Explanation and Reconciliation of Non-GAAP Measures” later in this release.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 to Discuss Earnings Results and Outlook</w:t>
      </w:r>
    </w:p>
    <w:p>
      <w:pPr>
        <w:spacing w:after="0" w:line="118"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2"/>
          <w:szCs w:val="12"/>
          <w:color w:val="auto"/>
        </w:rPr>
        <w:t>BellRing will host a conference call on Tuesday, May 7, 2024 at 9:00 a.m. EDT to discuss financial results for the second quarter of fiscal year 2024 and fiscal year 2024 outlook and to respond to questions. Darcy H. Davenport, President and Chief Executive Officer, and Paul A. Rode, Chief Financial Officer, will participate in the call.</w:t>
      </w:r>
    </w:p>
    <w:p>
      <w:pPr>
        <w:spacing w:after="0" w:line="7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 xml:space="preserve">Interested parties may join the conference call by registering in advance at the following link: </w:t>
      </w:r>
      <w:r>
        <w:rPr>
          <w:rFonts w:ascii="Times New Roman" w:cs="Times New Roman" w:eastAsia="Times New Roman" w:hAnsi="Times New Roman"/>
          <w:sz w:val="12"/>
          <w:szCs w:val="12"/>
          <w:u w:val="single" w:color="auto"/>
          <w:color w:val="3051F2"/>
        </w:rPr>
        <w:t>BellRing Q2 2024 Earnings Conference Call</w:t>
      </w:r>
      <w:r>
        <w:rPr>
          <w:rFonts w:ascii="Times New Roman" w:cs="Times New Roman" w:eastAsia="Times New Roman" w:hAnsi="Times New Roman"/>
          <w:sz w:val="12"/>
          <w:szCs w:val="12"/>
          <w:color w:val="auto"/>
        </w:rPr>
        <w:t>. Upon registration, participants will receive a dial-in number and a unique passcode to access the conference call. Interested parties are invited to listen to the webcast of the conference call, which can be accessed by visiting the Investor Relations section of BellRing’s website at www.bellring.com. A slide presentation containing supplemental material will also be available at the same location on BellRing’s website. A webcast replay also will be available for a limited period on BellRing’s website in the Investor Relations section.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Prospective Financial Information</w:t>
      </w:r>
    </w:p>
    <w:p>
      <w:pPr>
        <w:spacing w:after="0" w:line="118"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2"/>
          <w:szCs w:val="12"/>
          <w:color w:val="auto"/>
        </w:rPr>
        <w:t>Prospective financial information is necessarily speculative in nature, and it can be expected that some or all of the assumptions underlying the prospective financial information described above will not materialize or will vary significantly from actual results. For further discussion of some of the factors that may cause actual results to vary materially from the information provided above, see “Forward-Looking Statements” below. Accordingly, the prospective financial information provided above is only an estimate of what BellRing’s management believes is realizable as of the date of this release. It also should be recognized that the reliability of any forecasted financial data diminishes the farther in the future that the data is forecasted. In light of the foregoing, the information should be viewed in context and undue reliance should not be placed upon it.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1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Certain matters discussed in this release and on BellRing’s conference call are forward-looking statements, including BellRing’s net sales, Adjusted EBITDA and capital expenditures outlook for fiscal year 2024.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and include all statements regarding future performance, earnings projections, events or developments. There are a number of risks and uncertainties that could</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260"/>
          </w:cols>
          <w:pgMar w:left="300" w:top="64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color w:val="auto"/>
        </w:rPr>
        <w:t>cause actual results to differ materially from the forward-looking statements made herein. These risks and uncertainties include, but are not limited to, the following:</w:t>
      </w:r>
    </w:p>
    <w:p>
      <w:pPr>
        <w:spacing w:after="0" w:line="17"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dependence on sales from its RTD protein shakes;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continue to compete in its product categories and its ability to retain its market position and favorable perceptions of its brands;</w:t>
      </w:r>
    </w:p>
    <w:p>
      <w:pPr>
        <w:spacing w:after="0" w:line="6" w:lineRule="exact"/>
        <w:rPr>
          <w:rFonts w:ascii="Times New Roman" w:cs="Times New Roman" w:eastAsia="Times New Roman" w:hAnsi="Times New Roman"/>
          <w:sz w:val="12"/>
          <w:szCs w:val="12"/>
          <w:color w:val="auto"/>
        </w:rPr>
      </w:pPr>
    </w:p>
    <w:p>
      <w:pPr>
        <w:ind w:left="420" w:right="220" w:hanging="212"/>
        <w:spacing w:after="0" w:line="250"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disruptions or inefficiencies in BellRing’s supply chain, including as a result of BellRing’s reliance on third-party suppliers or manufacturers for the manufacturing of many of its products, pandemics and other outbreaks of contagious diseases, labor shortages, fires and evacuations related thereto, changes in weather conditions, natural disasters, agricultural diseases and pests and other events beyond BellRing’s control;</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dependence on a limited number of third-party contract manufacturers for the manufacturing of most of its products, including one manufacturer for the majority of its RTD protein shakes;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BellRing’s third-party contract manufacturers to produce an amount of BellRing’s products that enables BellRing to meet customer and consumer demand for the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reliance on a limited number of third-party suppliers to provide certain ingredients and packaging;</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volatility in the cost or availability of inputs to BellRing’s business (including freight, raw materials, packaging, energy, labor and other supplies);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anticipate and respond to changes in consumer and customer preferences and behaviors and introduce new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consolidation in BellRing’s distribution channels;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expand existing market penetration and enter into new markets;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loss of, a significant reduction of purchases by or the bankruptcy of a major customer;</w:t>
      </w:r>
    </w:p>
    <w:p>
      <w:pPr>
        <w:spacing w:after="0" w:line="6" w:lineRule="exact"/>
        <w:rPr>
          <w:rFonts w:ascii="Times New Roman" w:cs="Times New Roman" w:eastAsia="Times New Roman" w:hAnsi="Times New Roman"/>
          <w:sz w:val="12"/>
          <w:szCs w:val="12"/>
          <w:color w:val="auto"/>
        </w:rPr>
      </w:pPr>
    </w:p>
    <w:p>
      <w:pPr>
        <w:ind w:left="420" w:right="160" w:hanging="212"/>
        <w:spacing w:after="0" w:line="250"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legal and regulatory factors, such as compliance with existing laws and regulations, as well as new laws and regulations and changes to existing laws and regulations and interpretations thereof, affecting BellRing’s business, including current and future laws and regulations regarding food safety, advertising, labeling, tax matters and environmental matters;</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BellRing’s business due to changes in its promotional activities and seasonality;</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maintain the net selling prices of its products and manage promotional activities with respect to its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obtain additional financing (including both secured and unsecured debt) and its ability to service its outstanding debt (including covenants that restrict the operation of its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accuracy of BellRing’s market data and attributes and related information;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critical accounting estimates;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uncertain or unfavorable economic conditions that limit customer and consumer demand for BellRing’s products or increase its costs;</w:t>
      </w:r>
    </w:p>
    <w:p>
      <w:pPr>
        <w:spacing w:after="0" w:line="6" w:lineRule="exact"/>
        <w:rPr>
          <w:rFonts w:ascii="Times New Roman" w:cs="Times New Roman" w:eastAsia="Times New Roman" w:hAnsi="Times New Roman"/>
          <w:sz w:val="12"/>
          <w:szCs w:val="12"/>
          <w:color w:val="auto"/>
        </w:rPr>
      </w:pPr>
    </w:p>
    <w:p>
      <w:pPr>
        <w:ind w:left="420" w:hanging="212"/>
        <w:spacing w:after="0" w:line="250"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BellRing’s ongoing relationship with Post Holdings, Inc. (“Post”) following BellRing’s separation from Post and Post’s distribution of BellRing stock to Post’s shareholders (the “Spin-off”), including BellRing’s obligations under various agreements with Post;</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conflicting interests or the appearance of conflicting interests resulting from certain of BellRing’s directors also serving as officers or directors of Post;</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the previously completed Spin-off;</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ultimate impact litigation or other regulatory matters may have on BellRing;</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BellRing’s international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protect its intellectual property and other assets and to continue to use third-party intellectual property subject to intellectual property licenses;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business disruptions and reputational damage associated with technology failures, cybersecurity incidents and corruption of BellRing’s data privacy protections;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impairment in the carrying value of goodwill or other intangible assets;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identify, complete and integrate or otherwise effectively execute acquisitions or other strategic transactions and effectively manage its growth;</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hire and retain talented personnel, employee absenteeism, labor strikes, work stoppages or unionization efforts;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satisfy the requirements of Section 404 of the Sarbanes-Oxley Act of 2002;</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differences in BellRing’s actual operating results from any guidance BellRing may give regarding its performance;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risks and uncertainties described in BellRing’s filings with the Securities and Exchange Commission.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forward-looking statements represent BellRing’s judgment as of the date of this release. BellRing disclaims, however, any intent or obligation to update these forward-looking statements.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280"/>
          </w:cols>
          <w:pgMar w:left="300" w:top="642"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color w:val="auto"/>
        </w:rPr>
        <w:t>About BellRing Brands, Inc.</w:t>
      </w:r>
    </w:p>
    <w:p>
      <w:pPr>
        <w:spacing w:after="0" w:line="11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2"/>
          <w:szCs w:val="12"/>
          <w:color w:val="auto"/>
        </w:rPr>
        <w:t xml:space="preserve">BellRing Brands, Inc. is a rapidly growing leader in the global convenient nutrition category offering ready-to-drink shake and powder protein products. Its primary brands,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appeal to a broad range of consumers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Jennifer Meyer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jennifer.meyer@bellringbrands.com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(415) 814-9388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160"/>
          </w:cols>
          <w:pgMar w:left="300" w:top="638" w:right="4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 xml:space="preserve">CONDENSED CONSOLIDATED STATEMENTS OF OPERATIONS </w:t>
      </w:r>
      <w:r>
        <w:rPr>
          <w:rFonts w:ascii="Times New Roman" w:cs="Times New Roman" w:eastAsia="Times New Roman" w:hAnsi="Times New Roman"/>
          <w:sz w:val="10"/>
          <w:szCs w:val="10"/>
          <w:b w:val="1"/>
          <w:bCs w:val="1"/>
          <w:color w:val="auto"/>
        </w:rPr>
        <w:t>(Unaudited)</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 except for per share data)</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40" w:type="dxa"/>
            <w:vAlign w:val="bottom"/>
          </w:tcPr>
          <w:p>
            <w:pPr>
              <w:spacing w:after="0"/>
              <w:rPr>
                <w:sz w:val="12"/>
                <w:szCs w:val="12"/>
                <w:color w:val="auto"/>
              </w:rPr>
            </w:pPr>
          </w:p>
        </w:tc>
        <w:tc>
          <w:tcPr>
            <w:tcW w:w="1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3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Six Months Ended March 31,</w:t>
            </w:r>
          </w:p>
        </w:tc>
      </w:tr>
      <w:tr>
        <w:trPr>
          <w:trHeight w:val="134"/>
        </w:trPr>
        <w:tc>
          <w:tcPr>
            <w:tcW w:w="624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1"/>
                <w:szCs w:val="11"/>
                <w:b w:val="1"/>
                <w:bCs w:val="1"/>
                <w:color w:val="auto"/>
              </w:rPr>
              <w:t>2023</w:t>
            </w:r>
          </w:p>
        </w:tc>
        <w:tc>
          <w:tcPr>
            <w:tcW w:w="340" w:type="dxa"/>
            <w:vAlign w:val="bottom"/>
            <w:tcBorders>
              <w:bottom w:val="single" w:sz="8" w:color="auto"/>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Sales</w:t>
            </w:r>
          </w:p>
        </w:tc>
        <w:tc>
          <w:tcPr>
            <w:tcW w:w="62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494.6</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385.6</w:t>
            </w: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925.0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748.3</w:t>
            </w:r>
          </w:p>
        </w:tc>
      </w:tr>
      <w:tr>
        <w:trPr>
          <w:trHeight w:val="153"/>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Cost of goods sold</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330.3</w:t>
            </w:r>
          </w:p>
        </w:tc>
        <w:tc>
          <w:tcPr>
            <w:tcW w:w="2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6"/>
              </w:rPr>
              <w:t>268.5</w:t>
            </w:r>
          </w:p>
        </w:tc>
        <w:tc>
          <w:tcPr>
            <w:tcW w:w="3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612.7</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509.4</w:t>
            </w:r>
          </w:p>
        </w:tc>
      </w:tr>
      <w:tr>
        <w:trPr>
          <w:trHeight w:val="142"/>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164.3</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117.1</w:t>
            </w: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312.3</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238.9</w:t>
            </w:r>
          </w:p>
        </w:tc>
      </w:tr>
      <w:tr>
        <w:trPr>
          <w:trHeight w:val="153"/>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69.1</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54.3</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121.9</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96.0</w:t>
            </w:r>
          </w:p>
        </w:tc>
      </w:tr>
      <w:tr>
        <w:trPr>
          <w:trHeight w:val="1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6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22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3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26.4</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w:t>
            </w:r>
          </w:p>
        </w:tc>
      </w:tr>
      <w:tr>
        <w:trPr>
          <w:trHeight w:val="142"/>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Profit</w:t>
            </w: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91.0</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58.0</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164.0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133.2</w:t>
            </w:r>
          </w:p>
        </w:tc>
      </w:tr>
      <w:tr>
        <w:trPr>
          <w:trHeight w:val="1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expense, net</w:t>
            </w:r>
          </w:p>
        </w:tc>
        <w:tc>
          <w:tcPr>
            <w:tcW w:w="6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22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3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29.4</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33.5</w:t>
            </w:r>
          </w:p>
        </w:tc>
      </w:tr>
      <w:tr>
        <w:trPr>
          <w:trHeight w:val="142"/>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Earnings before Income Taxes</w:t>
            </w: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76.5</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134.6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99.7</w:t>
            </w:r>
          </w:p>
        </w:tc>
      </w:tr>
      <w:tr>
        <w:trPr>
          <w:trHeight w:val="1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 tax expense</w:t>
            </w:r>
          </w:p>
        </w:tc>
        <w:tc>
          <w:tcPr>
            <w:tcW w:w="6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w:t>
            </w:r>
          </w:p>
        </w:tc>
        <w:tc>
          <w:tcPr>
            <w:tcW w:w="22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3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33.5</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w:t>
            </w:r>
          </w:p>
        </w:tc>
      </w:tr>
      <w:tr>
        <w:trPr>
          <w:trHeight w:val="158"/>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Net Earnings</w:t>
            </w:r>
          </w:p>
        </w:tc>
        <w:tc>
          <w:tcPr>
            <w:tcW w:w="62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57.2</w:t>
            </w:r>
          </w:p>
        </w:tc>
        <w:tc>
          <w:tcPr>
            <w:tcW w:w="2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30.9</w:t>
            </w:r>
          </w:p>
        </w:tc>
        <w:tc>
          <w:tcPr>
            <w:tcW w:w="3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101.1</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75.1</w:t>
            </w:r>
          </w:p>
        </w:tc>
      </w:tr>
      <w:tr>
        <w:trPr>
          <w:trHeight w:val="153"/>
        </w:trPr>
        <w:tc>
          <w:tcPr>
            <w:tcW w:w="6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53"/>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Earnings per Common Share:</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Basic</w:t>
            </w:r>
          </w:p>
        </w:tc>
        <w:tc>
          <w:tcPr>
            <w:tcW w:w="62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0.44</w:t>
            </w: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0.23</w:t>
            </w: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0.77</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0.56</w:t>
            </w:r>
          </w:p>
        </w:tc>
      </w:tr>
      <w:tr>
        <w:trPr>
          <w:trHeight w:val="153"/>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Diluted</w:t>
            </w:r>
          </w:p>
        </w:tc>
        <w:tc>
          <w:tcPr>
            <w:tcW w:w="6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0.43</w:t>
            </w:r>
          </w:p>
        </w:tc>
        <w:tc>
          <w:tcPr>
            <w:tcW w:w="220" w:type="dxa"/>
            <w:vAlign w:val="bottom"/>
          </w:tcPr>
          <w:p>
            <w:pPr>
              <w:spacing w:after="0"/>
              <w:rPr>
                <w:sz w:val="13"/>
                <w:szCs w:val="13"/>
                <w:color w:val="auto"/>
              </w:rPr>
            </w:pPr>
          </w:p>
        </w:tc>
        <w:tc>
          <w:tcPr>
            <w:tcW w:w="660" w:type="dxa"/>
            <w:vAlign w:val="bottom"/>
          </w:tcPr>
          <w:p>
            <w:pPr>
              <w:jc w:val="right"/>
              <w:ind w:right="521"/>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0.23</w:t>
            </w:r>
          </w:p>
        </w:tc>
        <w:tc>
          <w:tcPr>
            <w:tcW w:w="32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0.76</w:t>
            </w:r>
          </w:p>
        </w:tc>
        <w:tc>
          <w:tcPr>
            <w:tcW w:w="22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0.56</w:t>
            </w:r>
          </w:p>
        </w:tc>
      </w:tr>
      <w:tr>
        <w:trPr>
          <w:trHeight w:val="171"/>
        </w:trPr>
        <w:tc>
          <w:tcPr>
            <w:tcW w:w="6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53"/>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Weighted-Average Common Shares Outstanding:</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Basic</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131.0</w:t>
            </w: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133.4</w:t>
            </w: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131.1</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134.1</w:t>
            </w:r>
          </w:p>
        </w:tc>
      </w:tr>
      <w:tr>
        <w:trPr>
          <w:trHeight w:val="155"/>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Diluted</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133.0</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134.5</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133.0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0980"/>
          </w:cols>
          <w:pgMar w:left="460" w:top="638" w:right="45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 (Unaudited)</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200" w:type="dxa"/>
            <w:vAlign w:val="bottom"/>
            <w:tcBorders>
              <w:bottom w:val="single" w:sz="8" w:color="CCEEFF"/>
            </w:tcBorders>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54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460" w:type="dxa"/>
            <w:vAlign w:val="bottom"/>
            <w:tcBorders>
              <w:bottom w:val="single" w:sz="8" w:color="auto"/>
            </w:tcBorders>
          </w:tcPr>
          <w:p>
            <w:pPr>
              <w:spacing w:after="0"/>
              <w:rPr>
                <w:sz w:val="12"/>
                <w:szCs w:val="12"/>
                <w:color w:val="auto"/>
              </w:rPr>
            </w:pPr>
          </w:p>
        </w:tc>
      </w:tr>
      <w:tr>
        <w:trPr>
          <w:trHeight w:val="162"/>
        </w:trPr>
        <w:tc>
          <w:tcPr>
            <w:tcW w:w="3200" w:type="dxa"/>
            <w:vAlign w:val="bottom"/>
            <w:shd w:val="clear" w:color="auto" w:fill="CCEEFF"/>
          </w:tcPr>
          <w:p>
            <w:pPr>
              <w:spacing w:after="0"/>
              <w:rPr>
                <w:sz w:val="14"/>
                <w:szCs w:val="14"/>
                <w:color w:val="auto"/>
              </w:rPr>
            </w:pPr>
          </w:p>
        </w:tc>
        <w:tc>
          <w:tcPr>
            <w:tcW w:w="5260" w:type="dxa"/>
            <w:vAlign w:val="bottom"/>
            <w:gridSpan w:val="2"/>
            <w:shd w:val="clear" w:color="auto" w:fill="CCEEFF"/>
          </w:tcPr>
          <w:p>
            <w:pPr>
              <w:jc w:val="center"/>
              <w:ind w:right="402"/>
              <w:spacing w:after="0"/>
              <w:rPr>
                <w:sz w:val="20"/>
                <w:szCs w:val="20"/>
                <w:color w:val="auto"/>
              </w:rPr>
            </w:pPr>
            <w:r>
              <w:rPr>
                <w:rFonts w:ascii="Times New Roman" w:cs="Times New Roman" w:eastAsia="Times New Roman" w:hAnsi="Times New Roman"/>
                <w:sz w:val="11"/>
                <w:szCs w:val="11"/>
                <w:b w:val="1"/>
                <w:bCs w:val="1"/>
                <w:color w:val="auto"/>
                <w:w w:val="97"/>
              </w:rPr>
              <w:t>ASSETS</w:t>
            </w:r>
          </w:p>
        </w:tc>
        <w:tc>
          <w:tcPr>
            <w:tcW w:w="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39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5260" w:type="dxa"/>
            <w:vAlign w:val="bottom"/>
            <w:gridSpan w:val="2"/>
            <w:shd w:val="clear" w:color="auto" w:fill="CCEEFF"/>
          </w:tcPr>
          <w:p>
            <w:pPr>
              <w:jc w:val="right"/>
              <w:ind w:right="1182"/>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79.3</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48.4</w:t>
            </w: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Receivables, net</w:t>
            </w:r>
          </w:p>
        </w:tc>
        <w:tc>
          <w:tcPr>
            <w:tcW w:w="39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229.4</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168.2</w:t>
            </w: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Inventories</w:t>
            </w:r>
          </w:p>
        </w:tc>
        <w:tc>
          <w:tcPr>
            <w:tcW w:w="39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194.1</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194.3</w:t>
            </w:r>
          </w:p>
        </w:tc>
      </w:tr>
      <w:tr>
        <w:trPr>
          <w:trHeight w:val="153"/>
        </w:trPr>
        <w:tc>
          <w:tcPr>
            <w:tcW w:w="3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394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w:t>
            </w:r>
          </w:p>
        </w:tc>
      </w:tr>
      <w:tr>
        <w:trPr>
          <w:trHeight w:val="142"/>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39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513.2</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424.2</w:t>
            </w: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net</w:t>
            </w:r>
          </w:p>
        </w:tc>
        <w:tc>
          <w:tcPr>
            <w:tcW w:w="39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39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w:t>
            </w: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39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150.4</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176.8</w:t>
            </w: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39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394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3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w:t>
            </w:r>
          </w:p>
        </w:tc>
      </w:tr>
      <w:tr>
        <w:trPr>
          <w:trHeight w:val="158"/>
        </w:trPr>
        <w:tc>
          <w:tcPr>
            <w:tcW w:w="3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394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ind w:right="1182"/>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765.0</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691.6</w:t>
            </w:r>
          </w:p>
        </w:tc>
      </w:tr>
      <w:tr>
        <w:trPr>
          <w:trHeight w:val="153"/>
        </w:trPr>
        <w:tc>
          <w:tcPr>
            <w:tcW w:w="3200" w:type="dxa"/>
            <w:vAlign w:val="bottom"/>
            <w:shd w:val="clear" w:color="auto" w:fill="CCEEFF"/>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78"/>
        </w:trPr>
        <w:tc>
          <w:tcPr>
            <w:tcW w:w="3200" w:type="dxa"/>
            <w:vAlign w:val="bottom"/>
          </w:tcPr>
          <w:p>
            <w:pPr>
              <w:spacing w:after="0"/>
              <w:rPr>
                <w:sz w:val="15"/>
                <w:szCs w:val="15"/>
                <w:color w:val="auto"/>
              </w:rPr>
            </w:pPr>
          </w:p>
        </w:tc>
        <w:tc>
          <w:tcPr>
            <w:tcW w:w="5260" w:type="dxa"/>
            <w:vAlign w:val="bottom"/>
            <w:gridSpan w:val="2"/>
          </w:tcPr>
          <w:p>
            <w:pPr>
              <w:jc w:val="center"/>
              <w:ind w:right="402"/>
              <w:spacing w:after="0"/>
              <w:rPr>
                <w:sz w:val="20"/>
                <w:szCs w:val="20"/>
                <w:color w:val="auto"/>
              </w:rPr>
            </w:pPr>
            <w:r>
              <w:rPr>
                <w:rFonts w:ascii="Times New Roman" w:cs="Times New Roman" w:eastAsia="Times New Roman" w:hAnsi="Times New Roman"/>
                <w:sz w:val="11"/>
                <w:szCs w:val="11"/>
                <w:b w:val="1"/>
                <w:bCs w:val="1"/>
                <w:color w:val="auto"/>
                <w:w w:val="97"/>
              </w:rPr>
              <w:t>LIABILITIES AND STOCKHOLDERS’ DEFICIT</w:t>
            </w: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55"/>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39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5260" w:type="dxa"/>
            <w:vAlign w:val="bottom"/>
            <w:gridSpan w:val="2"/>
          </w:tcPr>
          <w:p>
            <w:pPr>
              <w:jc w:val="right"/>
              <w:ind w:right="1182"/>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101.9</w:t>
            </w:r>
          </w:p>
        </w:tc>
        <w:tc>
          <w:tcPr>
            <w:tcW w:w="340" w:type="dxa"/>
            <w:vAlign w:val="bottom"/>
          </w:tcPr>
          <w:p>
            <w:pPr>
              <w:spacing w:after="0"/>
              <w:rPr>
                <w:sz w:val="13"/>
                <w:szCs w:val="13"/>
                <w:color w:val="auto"/>
              </w:rPr>
            </w:pPr>
          </w:p>
        </w:tc>
        <w:tc>
          <w:tcPr>
            <w:tcW w:w="1420" w:type="dxa"/>
            <w:vAlign w:val="bottom"/>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89.0</w:t>
            </w: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394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71.1</w:t>
            </w:r>
          </w:p>
        </w:tc>
        <w:tc>
          <w:tcPr>
            <w:tcW w:w="3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w:t>
            </w:r>
          </w:p>
        </w:tc>
      </w:tr>
      <w:tr>
        <w:trPr>
          <w:trHeight w:val="142"/>
        </w:trPr>
        <w:tc>
          <w:tcPr>
            <w:tcW w:w="320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3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173.0</w:t>
            </w: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150.2</w:t>
            </w:r>
          </w:p>
        </w:tc>
      </w:tr>
      <w:tr>
        <w:trPr>
          <w:trHeight w:val="144"/>
        </w:trPr>
        <w:tc>
          <w:tcPr>
            <w:tcW w:w="320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w:t>
            </w:r>
          </w:p>
        </w:tc>
        <w:tc>
          <w:tcPr>
            <w:tcW w:w="39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832.4</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856.8</w:t>
            </w: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39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r>
      <w:tr>
        <w:trPr>
          <w:trHeight w:val="153"/>
        </w:trPr>
        <w:tc>
          <w:tcPr>
            <w:tcW w:w="3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394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w:t>
            </w:r>
          </w:p>
        </w:tc>
      </w:tr>
      <w:tr>
        <w:trPr>
          <w:trHeight w:val="142"/>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39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1,012.7</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1,015.1</w:t>
            </w: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Stockholders’ Deficit</w:t>
            </w:r>
          </w:p>
        </w:tc>
        <w:tc>
          <w:tcPr>
            <w:tcW w:w="39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Common stock</w:t>
            </w:r>
          </w:p>
        </w:tc>
        <w:tc>
          <w:tcPr>
            <w:tcW w:w="39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39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w:t>
            </w: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Accumulated deficit</w:t>
            </w:r>
          </w:p>
        </w:tc>
        <w:tc>
          <w:tcPr>
            <w:tcW w:w="39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(89.0)</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(190.1)</w:t>
            </w: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39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53"/>
        </w:trPr>
        <w:tc>
          <w:tcPr>
            <w:tcW w:w="3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Treasury stock, at cost</w:t>
            </w:r>
          </w:p>
        </w:tc>
        <w:tc>
          <w:tcPr>
            <w:tcW w:w="394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(183.5)</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(151.0)</w:t>
            </w:r>
          </w:p>
        </w:tc>
      </w:tr>
      <w:tr>
        <w:trPr>
          <w:trHeight w:val="142"/>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3940" w:type="dxa"/>
            <w:vAlign w:val="bottom"/>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(247.7)</w:t>
            </w:r>
          </w:p>
        </w:tc>
        <w:tc>
          <w:tcPr>
            <w:tcW w:w="340" w:type="dxa"/>
            <w:vAlign w:val="bottom"/>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(323.5)</w:t>
            </w:r>
          </w:p>
        </w:tc>
      </w:tr>
      <w:tr>
        <w:trPr>
          <w:trHeight w:val="142"/>
        </w:trPr>
        <w:tc>
          <w:tcPr>
            <w:tcW w:w="320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Total Liabilities and Stockholders’ Deficit</w:t>
            </w:r>
          </w:p>
        </w:tc>
        <w:tc>
          <w:tcPr>
            <w:tcW w:w="3940" w:type="dxa"/>
            <w:vAlign w:val="bottom"/>
          </w:tcPr>
          <w:p>
            <w:pPr>
              <w:spacing w:after="0"/>
              <w:rPr>
                <w:sz w:val="12"/>
                <w:szCs w:val="12"/>
                <w:color w:val="auto"/>
              </w:rPr>
            </w:pPr>
          </w:p>
        </w:tc>
        <w:tc>
          <w:tcPr>
            <w:tcW w:w="1320" w:type="dxa"/>
            <w:vAlign w:val="bottom"/>
            <w:tcBorders>
              <w:bottom w:val="single" w:sz="8" w:color="auto"/>
            </w:tcBorders>
          </w:tcPr>
          <w:p>
            <w:pPr>
              <w:jc w:val="right"/>
              <w:ind w:right="1182"/>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765.0</w:t>
            </w:r>
          </w:p>
        </w:tc>
        <w:tc>
          <w:tcPr>
            <w:tcW w:w="340" w:type="dxa"/>
            <w:vAlign w:val="bottom"/>
          </w:tcPr>
          <w:p>
            <w:pPr>
              <w:spacing w:after="0"/>
              <w:rPr>
                <w:sz w:val="12"/>
                <w:szCs w:val="12"/>
                <w:color w:val="auto"/>
              </w:rPr>
            </w:pPr>
          </w:p>
        </w:tc>
        <w:tc>
          <w:tcPr>
            <w:tcW w:w="1420" w:type="dxa"/>
            <w:vAlign w:val="bottom"/>
            <w:tcBorders>
              <w:bottom w:val="single" w:sz="8" w:color="auto"/>
            </w:tcBorders>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691.6</w:t>
            </w:r>
          </w:p>
        </w:tc>
      </w:tr>
      <w:tr>
        <w:trPr>
          <w:trHeight w:val="20"/>
        </w:trPr>
        <w:tc>
          <w:tcPr>
            <w:tcW w:w="32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478"/>
        </w:trPr>
        <w:tc>
          <w:tcPr>
            <w:tcW w:w="3200" w:type="dxa"/>
            <w:vAlign w:val="bottom"/>
          </w:tcPr>
          <w:p>
            <w:pPr>
              <w:spacing w:after="0"/>
              <w:rPr>
                <w:sz w:val="24"/>
                <w:szCs w:val="24"/>
                <w:color w:val="auto"/>
              </w:rPr>
            </w:pPr>
          </w:p>
        </w:tc>
        <w:tc>
          <w:tcPr>
            <w:tcW w:w="5260" w:type="dxa"/>
            <w:vAlign w:val="bottom"/>
            <w:gridSpan w:val="2"/>
          </w:tcPr>
          <w:p>
            <w:pPr>
              <w:jc w:val="center"/>
              <w:ind w:right="402"/>
              <w:spacing w:after="0"/>
              <w:rPr>
                <w:sz w:val="20"/>
                <w:szCs w:val="20"/>
                <w:color w:val="auto"/>
              </w:rPr>
            </w:pPr>
            <w:r>
              <w:rPr>
                <w:rFonts w:ascii="Times New Roman" w:cs="Times New Roman" w:eastAsia="Times New Roman" w:hAnsi="Times New Roman"/>
                <w:sz w:val="11"/>
                <w:szCs w:val="11"/>
                <w:b w:val="1"/>
                <w:bCs w:val="1"/>
                <w:color w:val="auto"/>
                <w:w w:val="97"/>
              </w:rPr>
              <w:t>SELECTED CONDENSED CONSOLIDATED CASH FLOWS INFORMATION (Unaudited)</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42"/>
        </w:trPr>
        <w:tc>
          <w:tcPr>
            <w:tcW w:w="3200" w:type="dxa"/>
            <w:vAlign w:val="bottom"/>
          </w:tcPr>
          <w:p>
            <w:pPr>
              <w:spacing w:after="0"/>
              <w:rPr>
                <w:sz w:val="12"/>
                <w:szCs w:val="12"/>
                <w:color w:val="auto"/>
              </w:rPr>
            </w:pPr>
          </w:p>
        </w:tc>
        <w:tc>
          <w:tcPr>
            <w:tcW w:w="5260" w:type="dxa"/>
            <w:vAlign w:val="bottom"/>
            <w:gridSpan w:val="2"/>
          </w:tcPr>
          <w:p>
            <w:pPr>
              <w:jc w:val="center"/>
              <w:ind w:right="402"/>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5"/>
        </w:trPr>
        <w:tc>
          <w:tcPr>
            <w:tcW w:w="32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3"/>
          </w:tcPr>
          <w:p>
            <w:pPr>
              <w:jc w:val="right"/>
              <w:ind w:right="842"/>
              <w:spacing w:after="0"/>
              <w:rPr>
                <w:sz w:val="20"/>
                <w:szCs w:val="20"/>
                <w:color w:val="auto"/>
              </w:rPr>
            </w:pPr>
            <w:r>
              <w:rPr>
                <w:rFonts w:ascii="Times New Roman" w:cs="Times New Roman" w:eastAsia="Times New Roman" w:hAnsi="Times New Roman"/>
                <w:sz w:val="11"/>
                <w:szCs w:val="11"/>
                <w:b w:val="1"/>
                <w:bCs w:val="1"/>
                <w:color w:val="auto"/>
              </w:rPr>
              <w:t>Six Months Ended March 31,</w:t>
            </w:r>
          </w:p>
        </w:tc>
        <w:tc>
          <w:tcPr>
            <w:tcW w:w="460" w:type="dxa"/>
            <w:vAlign w:val="bottom"/>
            <w:tcBorders>
              <w:bottom w:val="single" w:sz="8" w:color="auto"/>
            </w:tcBorders>
          </w:tcPr>
          <w:p>
            <w:pPr>
              <w:spacing w:after="0"/>
              <w:rPr>
                <w:sz w:val="13"/>
                <w:szCs w:val="13"/>
                <w:color w:val="auto"/>
              </w:rPr>
            </w:pPr>
          </w:p>
        </w:tc>
      </w:tr>
      <w:tr>
        <w:trPr>
          <w:trHeight w:val="134"/>
        </w:trPr>
        <w:tc>
          <w:tcPr>
            <w:tcW w:w="3200" w:type="dxa"/>
            <w:vAlign w:val="bottom"/>
            <w:tcBorders>
              <w:bottom w:val="single" w:sz="8" w:color="CCEEFF"/>
            </w:tcBorders>
          </w:tcPr>
          <w:p>
            <w:pPr>
              <w:spacing w:after="0"/>
              <w:rPr>
                <w:sz w:val="11"/>
                <w:szCs w:val="11"/>
                <w:color w:val="auto"/>
              </w:rPr>
            </w:pPr>
          </w:p>
        </w:tc>
        <w:tc>
          <w:tcPr>
            <w:tcW w:w="394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14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1"/>
                <w:szCs w:val="11"/>
                <w:b w:val="1"/>
                <w:bCs w:val="1"/>
                <w:color w:val="auto"/>
              </w:rPr>
              <w:t>2023</w:t>
            </w:r>
          </w:p>
        </w:tc>
        <w:tc>
          <w:tcPr>
            <w:tcW w:w="460" w:type="dxa"/>
            <w:vAlign w:val="bottom"/>
            <w:tcBorders>
              <w:bottom w:val="single" w:sz="8" w:color="auto"/>
            </w:tcBorders>
          </w:tcPr>
          <w:p>
            <w:pPr>
              <w:spacing w:after="0"/>
              <w:rPr>
                <w:sz w:val="11"/>
                <w:szCs w:val="11"/>
                <w:color w:val="auto"/>
              </w:rPr>
            </w:pPr>
          </w:p>
        </w:tc>
      </w:tr>
      <w:tr>
        <w:trPr>
          <w:trHeight w:val="134"/>
        </w:trPr>
        <w:tc>
          <w:tcPr>
            <w:tcW w:w="320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Cash provided by (used in):</w:t>
            </w:r>
          </w:p>
        </w:tc>
        <w:tc>
          <w:tcPr>
            <w:tcW w:w="39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r>
      <w:tr>
        <w:trPr>
          <w:trHeight w:val="153"/>
        </w:trPr>
        <w:tc>
          <w:tcPr>
            <w:tcW w:w="3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Operating activities</w:t>
            </w:r>
          </w:p>
        </w:tc>
        <w:tc>
          <w:tcPr>
            <w:tcW w:w="5260" w:type="dxa"/>
            <w:vAlign w:val="bottom"/>
            <w:gridSpan w:val="2"/>
          </w:tcPr>
          <w:p>
            <w:pPr>
              <w:jc w:val="right"/>
              <w:ind w:right="1182"/>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90.5</w:t>
            </w:r>
          </w:p>
        </w:tc>
        <w:tc>
          <w:tcPr>
            <w:tcW w:w="340" w:type="dxa"/>
            <w:vAlign w:val="bottom"/>
          </w:tcPr>
          <w:p>
            <w:pPr>
              <w:spacing w:after="0"/>
              <w:rPr>
                <w:sz w:val="13"/>
                <w:szCs w:val="13"/>
                <w:color w:val="auto"/>
              </w:rPr>
            </w:pPr>
          </w:p>
        </w:tc>
        <w:tc>
          <w:tcPr>
            <w:tcW w:w="1420" w:type="dxa"/>
            <w:vAlign w:val="bottom"/>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w:t>
            </w:r>
          </w:p>
        </w:tc>
      </w:tr>
      <w:tr>
        <w:trPr>
          <w:trHeight w:val="153"/>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Investing activities</w:t>
            </w:r>
          </w:p>
        </w:tc>
        <w:tc>
          <w:tcPr>
            <w:tcW w:w="39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r>
      <w:tr>
        <w:trPr>
          <w:trHeight w:val="153"/>
        </w:trPr>
        <w:tc>
          <w:tcPr>
            <w:tcW w:w="3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Financing activities</w:t>
            </w:r>
          </w:p>
        </w:tc>
        <w:tc>
          <w:tcPr>
            <w:tcW w:w="39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(59.2)</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w:t>
            </w: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 of exchange rate changes on cash and cash equivalents</w:t>
            </w:r>
          </w:p>
        </w:tc>
        <w:tc>
          <w:tcPr>
            <w:tcW w:w="394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3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r>
      <w:tr>
        <w:trPr>
          <w:trHeight w:val="142"/>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increase (decrease) in cash and cash equivalents</w:t>
            </w:r>
          </w:p>
        </w:tc>
        <w:tc>
          <w:tcPr>
            <w:tcW w:w="3940" w:type="dxa"/>
            <w:vAlign w:val="bottom"/>
          </w:tcPr>
          <w:p>
            <w:pPr>
              <w:spacing w:after="0"/>
              <w:rPr>
                <w:sz w:val="12"/>
                <w:szCs w:val="12"/>
                <w:color w:val="auto"/>
              </w:rPr>
            </w:pPr>
          </w:p>
        </w:tc>
        <w:tc>
          <w:tcPr>
            <w:tcW w:w="1320" w:type="dxa"/>
            <w:vAlign w:val="bottom"/>
            <w:tcBorders>
              <w:bottom w:val="single" w:sz="8" w:color="auto"/>
            </w:tcBorders>
          </w:tcPr>
          <w:p>
            <w:pPr>
              <w:jc w:val="right"/>
              <w:ind w:right="1182"/>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30.9</w:t>
            </w:r>
          </w:p>
        </w:tc>
        <w:tc>
          <w:tcPr>
            <w:tcW w:w="340" w:type="dxa"/>
            <w:vAlign w:val="bottom"/>
          </w:tcPr>
          <w:p>
            <w:pPr>
              <w:spacing w:after="0"/>
              <w:rPr>
                <w:sz w:val="12"/>
                <w:szCs w:val="12"/>
                <w:color w:val="auto"/>
              </w:rPr>
            </w:pPr>
          </w:p>
        </w:tc>
        <w:tc>
          <w:tcPr>
            <w:tcW w:w="1420" w:type="dxa"/>
            <w:vAlign w:val="bottom"/>
            <w:tcBorders>
              <w:bottom w:val="single" w:sz="8" w:color="auto"/>
            </w:tcBorders>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w:t>
            </w:r>
          </w:p>
        </w:tc>
      </w:tr>
      <w:tr>
        <w:trPr>
          <w:trHeight w:val="20"/>
        </w:trPr>
        <w:tc>
          <w:tcPr>
            <w:tcW w:w="32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220"/>
          </w:cols>
          <w:pgMar w:left="340" w:top="638"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EXPLANATION AND RECONCILIATION OF NON-GAAP MEASURES</w:t>
      </w:r>
    </w:p>
    <w:p>
      <w:pPr>
        <w:spacing w:after="0" w:line="10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BellRing uses certain non-GAAP measures in this release to supplement the financial measures prepared in accordance with U.S. generally accepted accounting principles (“GAAP”). These non-GAAP measures include Adjusted net earnings, Adjusted diluted earnings per common share, Adjusted EBITDA and Adjusted EBITDA as a percentage of net sales. The reconciliation of each of these non-GAAP measures to the most directly comparable GAAP measure is provided in the tables following this section. Non-GAAP measures are not prepared in accordance with GAAP, as they exclude certain items as described below. These non-GAAP measures may not be comparable to similarly titled measures of other companies.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net earnings and Adjusted diluted earnings per common share</w:t>
      </w:r>
    </w:p>
    <w:p>
      <w:pPr>
        <w:spacing w:after="0" w:line="1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2"/>
          <w:szCs w:val="12"/>
          <w:color w:val="auto"/>
        </w:rPr>
        <w:t>BellRing believes Adjusted net earnings and Adjusted diluted earnings per common share are useful to investors in evaluating BellRing’s operating performance because they exclude items that affect the comparability of BellRing’s financial results and could potentially distort an understanding of the trends in business performance.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net earnings and Adjusted diluted earnings per common share are adjusted for the following items:</w:t>
      </w:r>
    </w:p>
    <w:p>
      <w:pPr>
        <w:spacing w:after="0" w:line="17" w:lineRule="exact"/>
        <w:rPr>
          <w:sz w:val="20"/>
          <w:szCs w:val="20"/>
          <w:color w:val="auto"/>
        </w:rPr>
      </w:pPr>
    </w:p>
    <w:p>
      <w:pPr>
        <w:ind w:left="420" w:hanging="212"/>
        <w:spacing w:after="0" w:line="250" w:lineRule="auto"/>
        <w:tabs>
          <w:tab w:leader="none" w:pos="413"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Accelerated amortization</w:t>
      </w:r>
      <w:r>
        <w:rPr>
          <w:rFonts w:ascii="Times New Roman" w:cs="Times New Roman" w:eastAsia="Times New Roman" w:hAnsi="Times New Roman"/>
          <w:sz w:val="12"/>
          <w:szCs w:val="12"/>
          <w:color w:val="auto"/>
        </w:rPr>
        <w:t>: BellRing has excluded non-cash accelerated amortization charges recorded in connection with the discontinuation of certain brands or the discontinuation of the use of certain brands in certain regions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 the amount and frequency of such charges are not consistent. Additionally, BellRing believes that these charges do not reflect expected ongoing future operating expenses and do not contribute to a meaningful evaluation of BellRing’s current operating performance or comparisons of BellRing’s operating performance to other periods.</w:t>
      </w:r>
    </w:p>
    <w:p>
      <w:pPr>
        <w:ind w:left="420" w:right="60" w:hanging="212"/>
        <w:spacing w:after="0" w:line="250"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Mark-to-market adjustments on commodity hedges</w:t>
      </w:r>
      <w:r>
        <w:rPr>
          <w:rFonts w:ascii="Times New Roman" w:cs="Times New Roman" w:eastAsia="Times New Roman" w:hAnsi="Times New Roman"/>
          <w:sz w:val="12"/>
          <w:szCs w:val="12"/>
          <w:color w:val="auto"/>
        </w:rPr>
        <w:t>: BellRing has excluded the impact of mark-to-market adjustments on commodity hedges due to the inherent uncertainty and volatility associated with such amounts based 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changes in assumptions with respect to fair value estimates. Additionally, these adjustments are primarily non-cash items and the amount and frequency of such adjustments are not consistent.</w:t>
      </w:r>
    </w:p>
    <w:p>
      <w:pPr>
        <w:ind w:left="420" w:right="500" w:hanging="212"/>
        <w:spacing w:after="0" w:line="250" w:lineRule="auto"/>
        <w:tabs>
          <w:tab w:leader="none" w:pos="413"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Foreign currency gain/loss on intercompany loans</w:t>
      </w:r>
      <w:r>
        <w:rPr>
          <w:rFonts w:ascii="Times New Roman" w:cs="Times New Roman" w:eastAsia="Times New Roman" w:hAnsi="Times New Roman"/>
          <w:sz w:val="12"/>
          <w:szCs w:val="12"/>
          <w:color w:val="auto"/>
        </w:rPr>
        <w:t>: BellRing has excluded the impact of foreign currency fluctuations related to intercompany loans denominated in currencies other than the functional currency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respective legal entity in evaluating BellRing’s performance to allow for more meaningful comparisons of performance to other periods.</w:t>
      </w:r>
    </w:p>
    <w:p>
      <w:pPr>
        <w:ind w:left="420" w:right="180" w:hanging="212"/>
        <w:spacing w:after="0" w:line="250"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Separation costs</w:t>
      </w:r>
      <w:r>
        <w:rPr>
          <w:rFonts w:ascii="Times New Roman" w:cs="Times New Roman" w:eastAsia="Times New Roman" w:hAnsi="Times New Roman"/>
          <w:sz w:val="12"/>
          <w:szCs w:val="12"/>
          <w:color w:val="auto"/>
        </w:rPr>
        <w:t>: BellRing has excluded certain expenses incurred in connection with secondary offerings of shares of BellRing common stock previously held by Post, as the amount and frequency of such expenses are not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consistent. 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ind w:left="420" w:right="200" w:hanging="212"/>
        <w:spacing w:after="0" w:line="260" w:lineRule="auto"/>
        <w:tabs>
          <w:tab w:leader="none" w:pos="413"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Income tax effect on adjustments</w:t>
      </w:r>
      <w:r>
        <w:rPr>
          <w:rFonts w:ascii="Times New Roman" w:cs="Times New Roman" w:eastAsia="Times New Roman" w:hAnsi="Times New Roman"/>
          <w:sz w:val="12"/>
          <w:szCs w:val="12"/>
          <w:color w:val="auto"/>
        </w:rPr>
        <w:t>: BellRing has included the income tax impact of the non-GAAP adjustments using a rate described in the applicable footnote of the reconciliation tables, as BellRing believes that its GAAP</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effective income tax rate as reported is not representative of the income tax expense impact of the adjustments.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 and Adjusted EBITDA as a percentage of net sales</w:t>
      </w:r>
    </w:p>
    <w:p>
      <w:pPr>
        <w:spacing w:after="0" w:line="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2"/>
          <w:szCs w:val="12"/>
          <w:color w:val="auto"/>
        </w:rPr>
        <w:t>BellRing believes that Adjusted EBITDA is useful to investors in evaluating BellRing’s operating performance and liquidity because (i) BellRing believes it is widely used to measure a company’s operating performance without regard to items such as depreciation and amortization, which can vary depending upon accounting methods and the book value of assets, (ii) it presents a measure of corporate performance exclusive of BellRing’s capital structure and the method by which the assets were acquired and (iii) it is a financial indicator of a company’s ability to service its debt, as BellRing is required to comply with certain covenants and limitations that are based on variations of EBITDA in its financing documents. Management uses Adjusted EBITDA to provide forward-looking guidance and to forecast future results. BellRing believes that Adjusted EBITDA as a percentage of net sales is useful to investors in evaluating BellRing’s operating performance because it allows for more meaningful comparison of operating performance across periods.</w:t>
      </w:r>
    </w:p>
    <w:p>
      <w:pPr>
        <w:spacing w:after="0" w:line="9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2"/>
          <w:szCs w:val="12"/>
          <w:color w:val="auto"/>
        </w:rPr>
        <w:t>Adjusted EBITDA reflects adjustments for income tax expense, interest expense, net and depreciation and amortization including accelerated amortization, and the following adjustments discussed above: mark-to-market adjustments on commodity hedges, foreign currency gain/loss on intercompany loans and separation costs. Additionally, Adjusted EBITDA reflects an adjustment for the following item:</w:t>
      </w:r>
    </w:p>
    <w:p>
      <w:pPr>
        <w:spacing w:after="0" w:line="1" w:lineRule="exact"/>
        <w:rPr>
          <w:sz w:val="20"/>
          <w:szCs w:val="20"/>
          <w:color w:val="auto"/>
        </w:rPr>
      </w:pPr>
    </w:p>
    <w:p>
      <w:pPr>
        <w:ind w:left="420" w:right="160" w:hanging="212"/>
        <w:spacing w:after="0" w:line="253" w:lineRule="auto"/>
        <w:tabs>
          <w:tab w:leader="none" w:pos="41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Stock-based compensation</w:t>
      </w:r>
      <w:r>
        <w:rPr>
          <w:rFonts w:ascii="Times New Roman" w:cs="Times New Roman" w:eastAsia="Times New Roman" w:hAnsi="Times New Roman"/>
          <w:sz w:val="12"/>
          <w:szCs w:val="12"/>
          <w:color w:val="auto"/>
        </w:rPr>
        <w:t>: BellRing’s compensation strategy includes the use of BellRing stock-based compensation to attract and retain executives and employees by aligning their long-term compensation interests with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BellRing’s stockholders’ investment interests. BellRing’s director compensation strategy includes an election by any director who earns retainers in which the director may elect to defer compensation granted as a director to BellRing common stock, earning a match on the deferral, both of which are stock-settled upon the director’s retirement from the BellRing board of directors. BellRing has excluded stock-based compensation as stock-based compensation can vary significantly based on reasons such as the timing, size and nature of the awards granted and subjective assumptions which are</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280"/>
          </w:cols>
          <w:pgMar w:left="300" w:top="641" w:right="319" w:bottom="1440" w:gutter="0" w:footer="0" w:header="0"/>
        </w:sectPr>
      </w:pPr>
    </w:p>
    <w:bookmarkStart w:id="11" w:name="page12"/>
    <w:bookmarkEnd w:id="11"/>
    <w:p>
      <w:pPr>
        <w:ind w:left="260"/>
        <w:spacing w:after="0"/>
        <w:rPr>
          <w:sz w:val="20"/>
          <w:szCs w:val="20"/>
          <w:color w:val="auto"/>
        </w:rPr>
      </w:pPr>
      <w:r>
        <w:rPr>
          <w:rFonts w:ascii="Times New Roman" w:cs="Times New Roman" w:eastAsia="Times New Roman" w:hAnsi="Times New Roman"/>
          <w:sz w:val="12"/>
          <w:szCs w:val="12"/>
          <w:color w:val="auto"/>
        </w:rPr>
        <w:t>unrelated to operational decisions and performance in any particular period and does not contribute to meaningful comparisons of BellRing’s operating performance to other periods.</w:t>
      </w: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RECONCILIATION OF NET EARNINGS TO ADJUSTED NET EARNINGS (Unaudited)</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40" w:type="dxa"/>
            <w:vAlign w:val="bottom"/>
          </w:tcPr>
          <w:p>
            <w:pPr>
              <w:spacing w:after="0"/>
              <w:rPr>
                <w:sz w:val="12"/>
                <w:szCs w:val="12"/>
                <w:color w:val="auto"/>
              </w:rPr>
            </w:pPr>
          </w:p>
        </w:tc>
        <w:tc>
          <w:tcPr>
            <w:tcW w:w="1880" w:type="dxa"/>
            <w:vAlign w:val="bottom"/>
            <w:tcBorders>
              <w:bottom w:val="single" w:sz="8" w:color="auto"/>
            </w:tcBorders>
            <w:gridSpan w:val="4"/>
          </w:tcPr>
          <w:p>
            <w:pPr>
              <w:jc w:val="right"/>
              <w:ind w:right="2"/>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3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4"/>
          </w:tcPr>
          <w:p>
            <w:pPr>
              <w:jc w:val="right"/>
              <w:ind w:right="381"/>
              <w:spacing w:after="0"/>
              <w:rPr>
                <w:sz w:val="20"/>
                <w:szCs w:val="20"/>
                <w:color w:val="auto"/>
              </w:rPr>
            </w:pPr>
            <w:r>
              <w:rPr>
                <w:rFonts w:ascii="Times New Roman" w:cs="Times New Roman" w:eastAsia="Times New Roman" w:hAnsi="Times New Roman"/>
                <w:sz w:val="11"/>
                <w:szCs w:val="11"/>
                <w:b w:val="1"/>
                <w:bCs w:val="1"/>
                <w:color w:val="auto"/>
              </w:rPr>
              <w:t>Six Months Ended March 31,</w:t>
            </w:r>
          </w:p>
        </w:tc>
      </w:tr>
      <w:tr>
        <w:trPr>
          <w:trHeight w:val="134"/>
        </w:trPr>
        <w:tc>
          <w:tcPr>
            <w:tcW w:w="624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2024</w:t>
            </w:r>
          </w:p>
        </w:tc>
        <w:tc>
          <w:tcPr>
            <w:tcW w:w="32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1"/>
                <w:szCs w:val="11"/>
                <w:b w:val="1"/>
                <w:bCs w:val="1"/>
                <w:color w:val="auto"/>
              </w:rPr>
              <w:t>2023</w:t>
            </w:r>
          </w:p>
        </w:tc>
        <w:tc>
          <w:tcPr>
            <w:tcW w:w="320" w:type="dxa"/>
            <w:vAlign w:val="bottom"/>
            <w:tcBorders>
              <w:bottom w:val="single" w:sz="8" w:color="auto"/>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Earnings</w:t>
            </w:r>
          </w:p>
        </w:tc>
        <w:tc>
          <w:tcPr>
            <w:tcW w:w="660" w:type="dxa"/>
            <w:vAlign w:val="bottom"/>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57.2</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42"/>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w:t>
            </w: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101.1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75.1</w:t>
            </w:r>
          </w:p>
        </w:tc>
      </w:tr>
      <w:tr>
        <w:trPr>
          <w:trHeight w:val="171"/>
        </w:trPr>
        <w:tc>
          <w:tcPr>
            <w:tcW w:w="6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53"/>
        </w:trPr>
        <w:tc>
          <w:tcPr>
            <w:tcW w:w="62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Accelerated amortization</w:t>
            </w:r>
          </w:p>
        </w:tc>
        <w:tc>
          <w:tcPr>
            <w:tcW w:w="660" w:type="dxa"/>
            <w:vAlign w:val="bottom"/>
          </w:tcPr>
          <w:p>
            <w:pPr>
              <w:spacing w:after="0"/>
              <w:rPr>
                <w:sz w:val="13"/>
                <w:szCs w:val="13"/>
                <w:color w:val="auto"/>
              </w:rPr>
            </w:pP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spacing w:after="0"/>
              <w:rPr>
                <w:sz w:val="13"/>
                <w:szCs w:val="13"/>
                <w:color w:val="auto"/>
              </w:rPr>
            </w:pP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17.4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2.7</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2.0</w:t>
            </w:r>
          </w:p>
        </w:tc>
      </w:tr>
      <w:tr>
        <w:trPr>
          <w:trHeight w:val="153"/>
        </w:trPr>
        <w:tc>
          <w:tcPr>
            <w:tcW w:w="62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Foreign currency loss (gain) on intercompany loans</w:t>
            </w:r>
          </w:p>
        </w:tc>
        <w:tc>
          <w:tcPr>
            <w:tcW w:w="6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r>
      <w:tr>
        <w:trPr>
          <w:trHeight w:val="153"/>
        </w:trPr>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Separation costs</w:t>
            </w:r>
          </w:p>
        </w:tc>
        <w:tc>
          <w:tcPr>
            <w:tcW w:w="6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0.7</w:t>
            </w:r>
          </w:p>
        </w:tc>
      </w:tr>
      <w:tr>
        <w:trPr>
          <w:trHeight w:val="142"/>
        </w:trPr>
        <w:tc>
          <w:tcPr>
            <w:tcW w:w="624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Total Net Adjustments</w:t>
            </w: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20.2</w:t>
            </w: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2.1</w:t>
            </w:r>
          </w:p>
        </w:tc>
      </w:tr>
      <w:tr>
        <w:trPr>
          <w:trHeight w:val="153"/>
        </w:trPr>
        <w:tc>
          <w:tcPr>
            <w:tcW w:w="624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2"/>
                <w:szCs w:val="12"/>
                <w:color w:val="auto"/>
              </w:rPr>
              <w:t xml:space="preserve">Income tax effect on adjustments </w:t>
            </w:r>
            <w:r>
              <w:rPr>
                <w:rFonts w:ascii="Times New Roman" w:cs="Times New Roman" w:eastAsia="Times New Roman" w:hAnsi="Times New Roman"/>
                <w:sz w:val="15"/>
                <w:szCs w:val="15"/>
                <w:color w:val="auto"/>
                <w:vertAlign w:val="superscript"/>
              </w:rPr>
              <w:t>(1)</w:t>
            </w:r>
          </w:p>
        </w:tc>
        <w:tc>
          <w:tcPr>
            <w:tcW w:w="66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22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3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r>
      <w:tr>
        <w:trPr>
          <w:trHeight w:val="142"/>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Adjusted Net Earnings</w:t>
            </w:r>
          </w:p>
        </w:tc>
        <w:tc>
          <w:tcPr>
            <w:tcW w:w="66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59.2</w:t>
            </w: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31.9</w:t>
            </w:r>
          </w:p>
        </w:tc>
        <w:tc>
          <w:tcPr>
            <w:tcW w:w="320" w:type="dxa"/>
            <w:vAlign w:val="bottom"/>
          </w:tcPr>
          <w:p>
            <w:pPr>
              <w:spacing w:after="0"/>
              <w:rPr>
                <w:sz w:val="12"/>
                <w:szCs w:val="12"/>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116.5</w:t>
            </w:r>
          </w:p>
        </w:tc>
        <w:tc>
          <w:tcPr>
            <w:tcW w:w="22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76.8</w:t>
            </w:r>
          </w:p>
        </w:tc>
      </w:tr>
      <w:tr>
        <w:trPr>
          <w:trHeight w:val="20"/>
        </w:trPr>
        <w:tc>
          <w:tcPr>
            <w:tcW w:w="6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20" w:right="100" w:hanging="10"/>
        <w:spacing w:after="0" w:line="216" w:lineRule="auto"/>
        <w:tabs>
          <w:tab w:leader="none" w:pos="141"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Income tax effect on adjustments was calculated on all items, except for separation costs, using a rate of 24.0%. For the three and six months ended March 31, 2023, income tax effect for separation costs was calculated using a rate of 8.0%.</w:t>
      </w:r>
    </w:p>
    <w:p>
      <w:pPr>
        <w:spacing w:after="0" w:line="385" w:lineRule="exact"/>
        <w:rPr>
          <w:sz w:val="20"/>
          <w:szCs w:val="20"/>
          <w:color w:val="auto"/>
        </w:rPr>
      </w:pPr>
    </w:p>
    <w:tbl>
      <w:tblPr>
        <w:tblLayout w:type="fixed"/>
        <w:tblInd w:w="160" w:type="dxa"/>
        <w:tblCellMar>
          <w:top w:w="0" w:type="dxa"/>
          <w:left w:w="0" w:type="dxa"/>
          <w:bottom w:w="0" w:type="dxa"/>
          <w:right w:w="0" w:type="dxa"/>
        </w:tblCellMar>
      </w:tblPr>
      <w:tr>
        <w:trPr>
          <w:trHeight w:val="135"/>
        </w:trPr>
        <w:tc>
          <w:tcPr>
            <w:tcW w:w="3180" w:type="dxa"/>
            <w:vAlign w:val="bottom"/>
          </w:tcPr>
          <w:p>
            <w:pPr>
              <w:spacing w:after="0"/>
              <w:rPr>
                <w:sz w:val="11"/>
                <w:szCs w:val="11"/>
                <w:color w:val="auto"/>
              </w:rPr>
            </w:pPr>
          </w:p>
        </w:tc>
        <w:tc>
          <w:tcPr>
            <w:tcW w:w="3960" w:type="dxa"/>
            <w:vAlign w:val="bottom"/>
            <w:gridSpan w:val="4"/>
          </w:tcPr>
          <w:p>
            <w:pPr>
              <w:ind w:left="420"/>
              <w:spacing w:after="0"/>
              <w:rPr>
                <w:sz w:val="20"/>
                <w:szCs w:val="20"/>
                <w:color w:val="auto"/>
              </w:rPr>
            </w:pPr>
            <w:r>
              <w:rPr>
                <w:rFonts w:ascii="Times New Roman" w:cs="Times New Roman" w:eastAsia="Times New Roman" w:hAnsi="Times New Roman"/>
                <w:sz w:val="11"/>
                <w:szCs w:val="11"/>
                <w:b w:val="1"/>
                <w:bCs w:val="1"/>
                <w:color w:val="auto"/>
                <w:w w:val="99"/>
              </w:rPr>
              <w:t>RECONCILIATION OF DILUTED EARNINGS PER COMMON SHARE</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2"/>
        </w:trPr>
        <w:tc>
          <w:tcPr>
            <w:tcW w:w="3180" w:type="dxa"/>
            <w:vAlign w:val="bottom"/>
          </w:tcPr>
          <w:p>
            <w:pPr>
              <w:spacing w:after="0"/>
              <w:rPr>
                <w:sz w:val="12"/>
                <w:szCs w:val="12"/>
                <w:color w:val="auto"/>
              </w:rPr>
            </w:pPr>
          </w:p>
        </w:tc>
        <w:tc>
          <w:tcPr>
            <w:tcW w:w="4180" w:type="dxa"/>
            <w:vAlign w:val="bottom"/>
            <w:gridSpan w:val="5"/>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TO ADJUSTED DILUTED EARNINGS PER COMMON SHARE (Unaudited)</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55"/>
        </w:trPr>
        <w:tc>
          <w:tcPr>
            <w:tcW w:w="31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gridSpan w:val="5"/>
          </w:tcPr>
          <w:p>
            <w:pPr>
              <w:ind w:left="14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240" w:type="dxa"/>
            <w:vAlign w:val="bottom"/>
          </w:tcPr>
          <w:p>
            <w:pPr>
              <w:spacing w:after="0"/>
              <w:rPr>
                <w:sz w:val="13"/>
                <w:szCs w:val="13"/>
                <w:color w:val="auto"/>
              </w:rPr>
            </w:pPr>
          </w:p>
        </w:tc>
        <w:tc>
          <w:tcPr>
            <w:tcW w:w="1980" w:type="dxa"/>
            <w:vAlign w:val="bottom"/>
            <w:gridSpan w:val="4"/>
          </w:tcPr>
          <w:p>
            <w:pPr>
              <w:jc w:val="right"/>
              <w:ind w:right="381"/>
              <w:spacing w:after="0"/>
              <w:rPr>
                <w:sz w:val="20"/>
                <w:szCs w:val="20"/>
                <w:color w:val="auto"/>
              </w:rPr>
            </w:pPr>
            <w:r>
              <w:rPr>
                <w:rFonts w:ascii="Times New Roman" w:cs="Times New Roman" w:eastAsia="Times New Roman" w:hAnsi="Times New Roman"/>
                <w:sz w:val="11"/>
                <w:szCs w:val="11"/>
                <w:b w:val="1"/>
                <w:bCs w:val="1"/>
                <w:color w:val="auto"/>
              </w:rPr>
              <w:t>Six Months Ended March 31,</w:t>
            </w:r>
          </w:p>
        </w:tc>
      </w:tr>
      <w:tr>
        <w:trPr>
          <w:trHeight w:val="134"/>
        </w:trPr>
        <w:tc>
          <w:tcPr>
            <w:tcW w:w="3180" w:type="dxa"/>
            <w:vAlign w:val="bottom"/>
            <w:tcBorders>
              <w:bottom w:val="single" w:sz="8" w:color="CCEEFF"/>
            </w:tcBorders>
          </w:tcPr>
          <w:p>
            <w:pPr>
              <w:spacing w:after="0"/>
              <w:rPr>
                <w:sz w:val="11"/>
                <w:szCs w:val="11"/>
                <w:color w:val="auto"/>
              </w:rPr>
            </w:pPr>
          </w:p>
        </w:tc>
        <w:tc>
          <w:tcPr>
            <w:tcW w:w="27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1"/>
                <w:szCs w:val="11"/>
                <w:b w:val="1"/>
                <w:bCs w:val="1"/>
                <w:color w:val="auto"/>
              </w:rPr>
              <w:t>2023</w:t>
            </w:r>
          </w:p>
        </w:tc>
        <w:tc>
          <w:tcPr>
            <w:tcW w:w="32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Diluted Earnings per share of Common Stock</w:t>
            </w:r>
          </w:p>
        </w:tc>
        <w:tc>
          <w:tcPr>
            <w:tcW w:w="274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0.43</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0.23</w:t>
            </w: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center"/>
              <w:ind w:left="382"/>
              <w:spacing w:after="0"/>
              <w:rPr>
                <w:sz w:val="20"/>
                <w:szCs w:val="20"/>
                <w:color w:val="auto"/>
              </w:rPr>
            </w:pPr>
            <w:r>
              <w:rPr>
                <w:rFonts w:ascii="Times New Roman" w:cs="Times New Roman" w:eastAsia="Times New Roman" w:hAnsi="Times New Roman"/>
                <w:sz w:val="12"/>
                <w:szCs w:val="12"/>
                <w:color w:val="auto"/>
                <w:w w:val="95"/>
              </w:rPr>
              <w:t>0.76</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0.56</w:t>
            </w:r>
          </w:p>
        </w:tc>
      </w:tr>
      <w:tr>
        <w:trPr>
          <w:trHeight w:val="180"/>
        </w:trPr>
        <w:tc>
          <w:tcPr>
            <w:tcW w:w="31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5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2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53"/>
        </w:trPr>
        <w:tc>
          <w:tcPr>
            <w:tcW w:w="31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Accelerated amortization</w:t>
            </w:r>
          </w:p>
        </w:tc>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60" w:type="dxa"/>
            <w:vAlign w:val="bottom"/>
          </w:tcPr>
          <w:p>
            <w:pPr>
              <w:jc w:val="center"/>
              <w:ind w:left="382"/>
              <w:spacing w:after="0"/>
              <w:rPr>
                <w:sz w:val="20"/>
                <w:szCs w:val="20"/>
                <w:color w:val="auto"/>
              </w:rPr>
            </w:pPr>
            <w:r>
              <w:rPr>
                <w:rFonts w:ascii="Times New Roman" w:cs="Times New Roman" w:eastAsia="Times New Roman" w:hAnsi="Times New Roman"/>
                <w:sz w:val="12"/>
                <w:szCs w:val="12"/>
                <w:color w:val="auto"/>
                <w:w w:val="95"/>
              </w:rPr>
              <w:t>0.13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27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2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3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center"/>
              <w:ind w:left="382"/>
              <w:spacing w:after="0"/>
              <w:rPr>
                <w:sz w:val="20"/>
                <w:szCs w:val="20"/>
                <w:color w:val="auto"/>
              </w:rPr>
            </w:pPr>
            <w:r>
              <w:rPr>
                <w:rFonts w:ascii="Times New Roman" w:cs="Times New Roman" w:eastAsia="Times New Roman" w:hAnsi="Times New Roman"/>
                <w:sz w:val="12"/>
                <w:szCs w:val="12"/>
                <w:color w:val="auto"/>
                <w:w w:val="95"/>
              </w:rPr>
              <w:t>0.02</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0.01</w:t>
            </w:r>
          </w:p>
        </w:tc>
      </w:tr>
      <w:tr>
        <w:trPr>
          <w:trHeight w:val="142"/>
        </w:trPr>
        <w:tc>
          <w:tcPr>
            <w:tcW w:w="318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Total Net Adjustments</w:t>
            </w:r>
          </w:p>
        </w:tc>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center"/>
              <w:ind w:left="382"/>
              <w:spacing w:after="0"/>
              <w:rPr>
                <w:sz w:val="20"/>
                <w:szCs w:val="20"/>
                <w:color w:val="auto"/>
              </w:rPr>
            </w:pPr>
            <w:r>
              <w:rPr>
                <w:rFonts w:ascii="Times New Roman" w:cs="Times New Roman" w:eastAsia="Times New Roman" w:hAnsi="Times New Roman"/>
                <w:sz w:val="12"/>
                <w:szCs w:val="12"/>
                <w:color w:val="auto"/>
                <w:w w:val="95"/>
              </w:rPr>
              <w:t>0.15</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0.01</w:t>
            </w:r>
          </w:p>
        </w:tc>
      </w:tr>
      <w:tr>
        <w:trPr>
          <w:trHeight w:val="153"/>
        </w:trPr>
        <w:tc>
          <w:tcPr>
            <w:tcW w:w="31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 xml:space="preserve">Income tax effect on adjustments </w:t>
            </w:r>
            <w:r>
              <w:rPr>
                <w:rFonts w:ascii="Times New Roman" w:cs="Times New Roman" w:eastAsia="Times New Roman" w:hAnsi="Times New Roman"/>
                <w:sz w:val="15"/>
                <w:szCs w:val="15"/>
                <w:color w:val="auto"/>
                <w:vertAlign w:val="superscript"/>
              </w:rPr>
              <w:t>(1)</w:t>
            </w:r>
          </w:p>
        </w:tc>
        <w:tc>
          <w:tcPr>
            <w:tcW w:w="2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center"/>
              <w:ind w:left="362"/>
              <w:spacing w:after="0"/>
              <w:rPr>
                <w:sz w:val="20"/>
                <w:szCs w:val="20"/>
                <w:color w:val="auto"/>
              </w:rPr>
            </w:pPr>
            <w:r>
              <w:rPr>
                <w:rFonts w:ascii="Times New Roman" w:cs="Times New Roman" w:eastAsia="Times New Roman" w:hAnsi="Times New Roman"/>
                <w:sz w:val="12"/>
                <w:szCs w:val="12"/>
                <w:color w:val="auto"/>
              </w:rPr>
              <w:t>(0.03)</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24"/>
        </w:trPr>
        <w:tc>
          <w:tcPr>
            <w:tcW w:w="3180" w:type="dxa"/>
            <w:vAlign w:val="bottom"/>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Adjusted Diluted Earnings per share of Common Stock</w:t>
            </w:r>
          </w:p>
        </w:tc>
        <w:tc>
          <w:tcPr>
            <w:tcW w:w="2740" w:type="dxa"/>
            <w:vAlign w:val="bottom"/>
          </w:tcPr>
          <w:p>
            <w:pPr>
              <w:spacing w:after="0"/>
              <w:rPr>
                <w:sz w:val="10"/>
                <w:szCs w:val="10"/>
                <w:color w:val="auto"/>
              </w:rPr>
            </w:pPr>
          </w:p>
        </w:tc>
        <w:tc>
          <w:tcPr>
            <w:tcW w:w="220" w:type="dxa"/>
            <w:vAlign w:val="bottom"/>
            <w:tcBorders>
              <w:top w:val="single" w:sz="8" w:color="auto"/>
              <w:bottom w:val="single" w:sz="8" w:color="auto"/>
            </w:tcBorders>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0.45</w:t>
            </w:r>
          </w:p>
        </w:tc>
        <w:tc>
          <w:tcPr>
            <w:tcW w:w="240" w:type="dxa"/>
            <w:vAlign w:val="bottom"/>
          </w:tcPr>
          <w:p>
            <w:pPr>
              <w:spacing w:after="0"/>
              <w:rPr>
                <w:sz w:val="10"/>
                <w:szCs w:val="10"/>
                <w:color w:val="auto"/>
              </w:rPr>
            </w:pPr>
          </w:p>
        </w:tc>
        <w:tc>
          <w:tcPr>
            <w:tcW w:w="220" w:type="dxa"/>
            <w:vAlign w:val="bottom"/>
            <w:tcBorders>
              <w:top w:val="single" w:sz="8" w:color="auto"/>
              <w:bottom w:val="single" w:sz="8" w:color="auto"/>
            </w:tcBorders>
          </w:tcPr>
          <w:p>
            <w:pPr>
              <w:jc w:val="right"/>
              <w:ind w:right="10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0.24</w:t>
            </w:r>
          </w:p>
        </w:tc>
        <w:tc>
          <w:tcPr>
            <w:tcW w:w="320" w:type="dxa"/>
            <w:vAlign w:val="bottom"/>
          </w:tcPr>
          <w:p>
            <w:pPr>
              <w:spacing w:after="0"/>
              <w:rPr>
                <w:sz w:val="10"/>
                <w:szCs w:val="10"/>
                <w:color w:val="auto"/>
              </w:rPr>
            </w:pPr>
          </w:p>
        </w:tc>
        <w:tc>
          <w:tcPr>
            <w:tcW w:w="240" w:type="dxa"/>
            <w:vAlign w:val="bottom"/>
            <w:tcBorders>
              <w:top w:val="single" w:sz="8" w:color="auto"/>
              <w:bottom w:val="single" w:sz="8" w:color="auto"/>
            </w:tcBorders>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center"/>
              <w:ind w:left="382"/>
              <w:spacing w:after="0" w:line="124" w:lineRule="exact"/>
              <w:rPr>
                <w:sz w:val="20"/>
                <w:szCs w:val="20"/>
                <w:color w:val="auto"/>
              </w:rPr>
            </w:pPr>
            <w:r>
              <w:rPr>
                <w:rFonts w:ascii="Times New Roman" w:cs="Times New Roman" w:eastAsia="Times New Roman" w:hAnsi="Times New Roman"/>
                <w:sz w:val="12"/>
                <w:szCs w:val="12"/>
                <w:color w:val="auto"/>
                <w:w w:val="95"/>
              </w:rPr>
              <w:t>0.88</w:t>
            </w:r>
          </w:p>
        </w:tc>
        <w:tc>
          <w:tcPr>
            <w:tcW w:w="220" w:type="dxa"/>
            <w:vAlign w:val="bottom"/>
          </w:tcPr>
          <w:p>
            <w:pPr>
              <w:spacing w:after="0"/>
              <w:rPr>
                <w:sz w:val="10"/>
                <w:szCs w:val="10"/>
                <w:color w:val="auto"/>
              </w:rPr>
            </w:pPr>
          </w:p>
        </w:tc>
        <w:tc>
          <w:tcPr>
            <w:tcW w:w="240" w:type="dxa"/>
            <w:vAlign w:val="bottom"/>
            <w:tcBorders>
              <w:top w:val="single" w:sz="8" w:color="auto"/>
              <w:bottom w:val="single" w:sz="8" w:color="auto"/>
            </w:tcBorders>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0.57</w:t>
            </w:r>
          </w:p>
        </w:tc>
      </w:tr>
      <w:tr>
        <w:trPr>
          <w:trHeight w:val="20"/>
        </w:trPr>
        <w:tc>
          <w:tcPr>
            <w:tcW w:w="3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280" w:hanging="112"/>
        <w:spacing w:after="0"/>
        <w:tabs>
          <w:tab w:leader="none" w:pos="280" w:val="left"/>
        </w:tabs>
        <w:numPr>
          <w:ilvl w:val="0"/>
          <w:numId w:val="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Income tax effect on adjustments was calculated on all items using a rate of 24.0%.</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0980"/>
          </w:cols>
          <w:pgMar w:left="460" w:top="642" w:right="45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RECONCILIATION OF NET EARNINGS TO ADJUSTED EBITDA (Unaudited)</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180" w:type="dxa"/>
            <w:vAlign w:val="bottom"/>
          </w:tcPr>
          <w:p>
            <w:pPr>
              <w:spacing w:after="0"/>
              <w:rPr>
                <w:sz w:val="12"/>
                <w:szCs w:val="12"/>
                <w:color w:val="auto"/>
              </w:rPr>
            </w:pPr>
          </w:p>
        </w:tc>
        <w:tc>
          <w:tcPr>
            <w:tcW w:w="1960" w:type="dxa"/>
            <w:vAlign w:val="bottom"/>
            <w:tcBorders>
              <w:bottom w:val="single" w:sz="8" w:color="auto"/>
            </w:tcBorders>
            <w:gridSpan w:val="4"/>
          </w:tcPr>
          <w:p>
            <w:pPr>
              <w:jc w:val="right"/>
              <w:ind w:right="2"/>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3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4"/>
          </w:tcPr>
          <w:p>
            <w:pPr>
              <w:jc w:val="right"/>
              <w:ind w:right="461"/>
              <w:spacing w:after="0"/>
              <w:rPr>
                <w:sz w:val="20"/>
                <w:szCs w:val="20"/>
                <w:color w:val="auto"/>
              </w:rPr>
            </w:pPr>
            <w:r>
              <w:rPr>
                <w:rFonts w:ascii="Times New Roman" w:cs="Times New Roman" w:eastAsia="Times New Roman" w:hAnsi="Times New Roman"/>
                <w:sz w:val="11"/>
                <w:szCs w:val="11"/>
                <w:b w:val="1"/>
                <w:bCs w:val="1"/>
                <w:color w:val="auto"/>
              </w:rPr>
              <w:t>Six Months Ended March 31,</w:t>
            </w:r>
          </w:p>
        </w:tc>
      </w:tr>
      <w:tr>
        <w:trPr>
          <w:trHeight w:val="134"/>
        </w:trPr>
        <w:tc>
          <w:tcPr>
            <w:tcW w:w="61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38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Earnings</w:t>
            </w:r>
          </w:p>
        </w:tc>
        <w:tc>
          <w:tcPr>
            <w:tcW w:w="640" w:type="dxa"/>
            <w:vAlign w:val="bottom"/>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57.2</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42"/>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30.9</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101.1</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75.1</w:t>
            </w:r>
          </w:p>
        </w:tc>
      </w:tr>
      <w:tr>
        <w:trPr>
          <w:trHeight w:val="153"/>
        </w:trPr>
        <w:tc>
          <w:tcPr>
            <w:tcW w:w="618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640" w:type="dxa"/>
            <w:vAlign w:val="bottom"/>
          </w:tcPr>
          <w:p>
            <w:pPr>
              <w:spacing w:after="0"/>
              <w:rPr>
                <w:sz w:val="13"/>
                <w:szCs w:val="13"/>
                <w:color w:val="auto"/>
              </w:rPr>
            </w:pPr>
          </w:p>
        </w:tc>
        <w:tc>
          <w:tcPr>
            <w:tcW w:w="4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19.3</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10.3</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33.5</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24.6</w:t>
            </w:r>
          </w:p>
        </w:tc>
      </w:tr>
      <w:tr>
        <w:trPr>
          <w:trHeight w:val="15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14.5</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16.8</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29.4</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33.5</w:t>
            </w:r>
          </w:p>
        </w:tc>
      </w:tr>
      <w:tr>
        <w:trPr>
          <w:trHeight w:val="153"/>
        </w:trPr>
        <w:tc>
          <w:tcPr>
            <w:tcW w:w="618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 including accelerated amortization</w:t>
            </w:r>
          </w:p>
        </w:tc>
        <w:tc>
          <w:tcPr>
            <w:tcW w:w="640" w:type="dxa"/>
            <w:vAlign w:val="bottom"/>
          </w:tcPr>
          <w:p>
            <w:pPr>
              <w:spacing w:after="0"/>
              <w:rPr>
                <w:sz w:val="13"/>
                <w:szCs w:val="13"/>
                <w:color w:val="auto"/>
              </w:rPr>
            </w:pPr>
          </w:p>
        </w:tc>
        <w:tc>
          <w:tcPr>
            <w:tcW w:w="4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4.6</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5.2</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27.2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10.5</w:t>
            </w:r>
          </w:p>
        </w:tc>
      </w:tr>
      <w:tr>
        <w:trPr>
          <w:trHeight w:val="15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5.5</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3.6</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10.2</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7.1</w:t>
            </w:r>
          </w:p>
        </w:tc>
      </w:tr>
      <w:tr>
        <w:trPr>
          <w:trHeight w:val="153"/>
        </w:trPr>
        <w:tc>
          <w:tcPr>
            <w:tcW w:w="6180" w:type="dxa"/>
            <w:vAlign w:val="bottom"/>
          </w:tcPr>
          <w:p>
            <w:pPr>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640" w:type="dxa"/>
            <w:vAlign w:val="bottom"/>
          </w:tcPr>
          <w:p>
            <w:pPr>
              <w:spacing w:after="0"/>
              <w:rPr>
                <w:sz w:val="13"/>
                <w:szCs w:val="13"/>
                <w:color w:val="auto"/>
              </w:rPr>
            </w:pPr>
          </w:p>
        </w:tc>
        <w:tc>
          <w:tcPr>
            <w:tcW w:w="4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2.5</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0.8</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2.7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2.0</w:t>
            </w:r>
          </w:p>
        </w:tc>
      </w:tr>
      <w:tr>
        <w:trPr>
          <w:trHeight w:val="15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currency loss (gain) on intercompany loans</w:t>
            </w: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0.1</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0.1</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(0.6)</w:t>
            </w:r>
          </w:p>
        </w:tc>
      </w:tr>
      <w:tr>
        <w:trPr>
          <w:trHeight w:val="153"/>
        </w:trPr>
        <w:tc>
          <w:tcPr>
            <w:tcW w:w="6180" w:type="dxa"/>
            <w:vAlign w:val="bottom"/>
          </w:tcPr>
          <w:p>
            <w:pPr>
              <w:spacing w:after="0"/>
              <w:rPr>
                <w:sz w:val="20"/>
                <w:szCs w:val="20"/>
                <w:color w:val="auto"/>
              </w:rPr>
            </w:pPr>
            <w:r>
              <w:rPr>
                <w:rFonts w:ascii="Times New Roman" w:cs="Times New Roman" w:eastAsia="Times New Roman" w:hAnsi="Times New Roman"/>
                <w:sz w:val="12"/>
                <w:szCs w:val="12"/>
                <w:color w:val="auto"/>
              </w:rPr>
              <w:t>Separation costs</w:t>
            </w:r>
          </w:p>
        </w:tc>
        <w:tc>
          <w:tcPr>
            <w:tcW w:w="640" w:type="dxa"/>
            <w:vAlign w:val="bottom"/>
          </w:tcPr>
          <w:p>
            <w:pPr>
              <w:spacing w:after="0"/>
              <w:rPr>
                <w:sz w:val="13"/>
                <w:szCs w:val="13"/>
                <w:color w:val="auto"/>
              </w:rPr>
            </w:pP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spacing w:after="0"/>
              <w:rPr>
                <w:sz w:val="13"/>
                <w:szCs w:val="13"/>
                <w:color w:val="auto"/>
              </w:rPr>
            </w:pPr>
          </w:p>
        </w:tc>
        <w:tc>
          <w:tcPr>
            <w:tcW w:w="3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0.4</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84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0.7</w:t>
            </w:r>
          </w:p>
        </w:tc>
      </w:tr>
      <w:tr>
        <w:trPr>
          <w:trHeight w:val="158"/>
        </w:trPr>
        <w:tc>
          <w:tcPr>
            <w:tcW w:w="6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640" w:type="dxa"/>
            <w:vAlign w:val="bottom"/>
            <w:tcBorders>
              <w:top w:val="single" w:sz="8" w:color="auto"/>
              <w:bottom w:val="single" w:sz="8" w:color="auto"/>
            </w:tcBorders>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88"/>
              </w:rPr>
              <w:t>103.7</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ind w:right="542"/>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68.0</w:t>
            </w: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204.2</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152.9</w:t>
            </w:r>
          </w:p>
        </w:tc>
      </w:tr>
      <w:tr>
        <w:trPr>
          <w:trHeight w:val="169"/>
        </w:trPr>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Earnings as a percentage of Net Sales</w:t>
            </w: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11.6 %</w:t>
            </w: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8.0 %</w:t>
            </w:r>
          </w:p>
        </w:tc>
        <w:tc>
          <w:tcPr>
            <w:tcW w:w="3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10.9 %</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10.0 %</w:t>
            </w:r>
          </w:p>
        </w:tc>
      </w:tr>
      <w:tr>
        <w:trPr>
          <w:trHeight w:val="15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EBITDA as a percentage of Net Sales</w:t>
            </w: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21.0 %</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17.6 %</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22.1 %</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220"/>
          </w:cols>
          <w:pgMar w:left="340" w:top="749" w:right="339" w:bottom="1440"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6"/>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2024-05-06T16:09:29Z</dcterms:created>
  <dcterms:modified xsi:type="dcterms:W3CDTF">2024-05-06T16:09:29Z</dcterms:modified>
</cp:coreProperties>
</file>