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4"/>
            <w:vMerge w:val="restart"/>
          </w:tcPr>
          <w:p>
            <w:pPr>
              <w:ind w:left="20"/>
              <w:spacing w:after="0"/>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Nwamu Chonda J</w:t>
              </w:r>
            </w:hyperlink>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BELLRING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BRBR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BELLRING BRANDS, INC.</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07/01/2022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2503 S. HANLEY ROAD</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 LOUIS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MO</w:t>
            </w: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63144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jc w:val="right"/>
              <w:ind w:right="36"/>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380" w:type="dxa"/>
            <w:vAlign w:val="bottom"/>
            <w:gridSpan w:val="14"/>
          </w:tcPr>
          <w:p>
            <w:pPr>
              <w:jc w:val="right"/>
              <w:ind w:right="3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w w:val="96"/>
              </w:rPr>
              <w:t>7. Title and Amount</w:t>
            </w: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2"/>
              </w:rPr>
              <w:t>Code (Instr.</w:t>
            </w:r>
          </w:p>
        </w:tc>
        <w:tc>
          <w:tcPr>
            <w:tcW w:w="9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BellRing</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Brands,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Inc.</w:t>
            </w:r>
          </w:p>
        </w:tc>
        <w:tc>
          <w:tcPr>
            <w:tcW w:w="6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7"/>
                <w:szCs w:val="17"/>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07/01/2022</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451.99</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451.99</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24.89</w:t>
            </w:r>
          </w:p>
        </w:tc>
        <w:tc>
          <w:tcPr>
            <w:tcW w:w="860" w:type="dxa"/>
            <w:vAlign w:val="bottom"/>
            <w:gridSpan w:val="2"/>
          </w:tcPr>
          <w:p>
            <w:pPr>
              <w:ind w:left="120"/>
              <w:spacing w:after="0" w:line="206" w:lineRule="exact"/>
              <w:rPr>
                <w:sz w:val="20"/>
                <w:szCs w:val="20"/>
                <w:color w:val="auto"/>
              </w:rPr>
            </w:pPr>
            <w:r>
              <w:rPr>
                <w:rFonts w:ascii="Times New Roman" w:cs="Times New Roman" w:eastAsia="Times New Roman" w:hAnsi="Times New Roman"/>
                <w:sz w:val="13"/>
                <w:szCs w:val="13"/>
                <w:color w:val="0000FF"/>
              </w:rPr>
              <w:t>1,187.49</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Common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6" w:lineRule="auto"/>
        <w:rPr>
          <w:sz w:val="20"/>
          <w:szCs w:val="20"/>
          <w:color w:val="auto"/>
        </w:rPr>
      </w:pPr>
      <w:r>
        <w:rPr>
          <w:rFonts w:ascii="Times New Roman" w:cs="Times New Roman" w:eastAsia="Times New Roman" w:hAnsi="Times New Roman"/>
          <w:sz w:val="13"/>
          <w:szCs w:val="13"/>
          <w:color w:val="0000FF"/>
        </w:rPr>
        <w:t>Stock</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Equivalents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equivalents have no fixed exercisable or expiration dates.</w:t>
      </w:r>
    </w:p>
    <w:p>
      <w:pPr>
        <w:spacing w:after="0" w:line="43" w:lineRule="exact"/>
        <w:rPr>
          <w:rFonts w:ascii="Times New Roman" w:cs="Times New Roman" w:eastAsia="Times New Roman" w:hAnsi="Times New Roman"/>
          <w:sz w:val="13"/>
          <w:szCs w:val="13"/>
          <w:color w:val="008000"/>
        </w:rPr>
      </w:pPr>
    </w:p>
    <w:p>
      <w:pPr>
        <w:ind w:left="40" w:right="26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Deferred Compensation Plan for Directors were adjusted to account for the Cash Consideration paid to holders of Old Bell Ring common stock in the Transactions. The amount of securities beneficially owned following the reported transaction includes 91 additional Common Stock equivalents received in connection with such adjustment, which Common Stock equivalents are subject to the same terms and conditions as the underlying awards.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07/06/2022</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439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2022-07-06T16:19:24Z</dcterms:created>
  <dcterms:modified xsi:type="dcterms:W3CDTF">2022-07-06T16:19:24Z</dcterms:modified>
</cp:coreProperties>
</file>