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Nwamu Chonda J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BellRing Brands, Inc. Class A common stock granted under the BellRing Brands, Inc. 2019 Long-Term Incentive Plan. The restricted stock units vest in equal annual increments over three years subject to the terms of the award agreement.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Craig L. Rosenthal,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6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439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2021-11-15T17:50:14Z</dcterms:created>
  <dcterms:modified xsi:type="dcterms:W3CDTF">2021-11-15T17:50:14Z</dcterms:modified>
</cp:coreProperties>
</file>