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STEIN ELLIOT JR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BELLRING BRANDS,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BRBR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BELLRING BRANDS, INC.</w:t>
            </w: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02/01/2023</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2503 S. HANLEY ROAD</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ST. LOUIS</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MO</w:t>
            </w:r>
          </w:p>
        </w:tc>
        <w:tc>
          <w:tcPr>
            <w:tcW w:w="1340" w:type="dxa"/>
            <w:vAlign w:val="bottom"/>
          </w:tcPr>
          <w:p>
            <w:pPr>
              <w:ind w:left="140"/>
              <w:spacing w:after="0"/>
              <w:rPr>
                <w:sz w:val="20"/>
                <w:szCs w:val="20"/>
                <w:color w:val="auto"/>
              </w:rPr>
            </w:pPr>
            <w:r>
              <w:rPr>
                <w:rFonts w:ascii="Arial" w:cs="Arial" w:eastAsia="Arial" w:hAnsi="Arial"/>
                <w:sz w:val="17"/>
                <w:szCs w:val="17"/>
                <w:color w:val="0000FF"/>
              </w:rPr>
              <w:t>63144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12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520" w:type="dxa"/>
            <w:vAlign w:val="bottom"/>
            <w:tcBorders>
              <w:top w:val="single" w:sz="8" w:color="2C2C2C"/>
            </w:tcBorders>
            <w:gridSpan w:val="19"/>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02/01/2023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9"/>
              </w:rPr>
              <w:t>3,800</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40"/>
              <w:spacing w:after="0"/>
              <w:rPr>
                <w:sz w:val="20"/>
                <w:szCs w:val="20"/>
                <w:color w:val="auto"/>
              </w:rPr>
            </w:pPr>
            <w:r>
              <w:rPr>
                <w:rFonts w:ascii="Arial" w:cs="Arial" w:eastAsia="Arial" w:hAnsi="Arial"/>
                <w:sz w:val="17"/>
                <w:szCs w:val="17"/>
                <w:color w:val="0000FF"/>
              </w:rPr>
              <w:t>23,385</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7"/>
                <w:szCs w:val="17"/>
                <w:color w:val="0000FF"/>
              </w:rPr>
              <w:t>2,535</w:t>
            </w:r>
          </w:p>
        </w:tc>
        <w:tc>
          <w:tcPr>
            <w:tcW w:w="94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1440" w:type="dxa"/>
            <w:vAlign w:val="bottom"/>
            <w:tcBorders>
              <w:bottom w:val="single" w:sz="8" w:color="2C2C2C"/>
            </w:tcBorders>
            <w:gridSpan w:val="5"/>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BellRing Brands, Inc. common stock granted under the BellRing Brands, Inc. 2019 Long-Term Incentive Plan. The restricted stock units vest in full on the first anniversary of the date of grant subject to the terms of the award agreement.</w:t>
      </w:r>
    </w:p>
    <w:p>
      <w:pPr>
        <w:spacing w:after="0" w:line="15" w:lineRule="exact"/>
        <w:rPr>
          <w:rFonts w:ascii="Arial" w:cs="Arial" w:eastAsia="Arial" w:hAnsi="Arial"/>
          <w:sz w:val="13"/>
          <w:szCs w:val="13"/>
          <w:color w:val="008000"/>
        </w:rPr>
      </w:pPr>
    </w:p>
    <w:p>
      <w:pPr>
        <w:ind w:left="40" w:right="260" w:firstLine="7"/>
        <w:spacing w:after="0" w:line="241"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connection with the transactions under the transaction agreement and plan of merger entered into on October 26, 2021, as amended on February 28, 2022, whereby BellRing Intermediate Holdings, Inc. (formerly known as BellRing Brands, Inc.) ("Old BellRing") merged with a subsidiary of Issuer and each outstanding share of Old BellRing Class A common stock was converted into one share of Issuer common stock and $2.97 in cash (the "Cash Consideration" and such transactions the "Transactions"), awards under the Old BellRing 2019 Long-Term Incentive Plan were adjusted to account for the Cash Consideration paid to holders of Old Bell Ring common stock in the Transactions. The amount of securities beneficially owned following the reported transaction includes 34 additional RSUs received in connection with such adjustment that we inadvertently omitted from Reporting Person's May 16, 2022 Form 4 filing, which RSUs are subject to the same vesting terms as the underlying awards.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Craig L. Rosenthal,</w:t>
            </w:r>
          </w:p>
        </w:tc>
        <w:tc>
          <w:tcPr>
            <w:tcW w:w="5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02/03/2023</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85613"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2023-02-03T16:22:48Z</dcterms:created>
  <dcterms:modified xsi:type="dcterms:W3CDTF">2023-02-03T16:22:48Z</dcterms:modified>
</cp:coreProperties>
</file>