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2503 S. Hanley Road</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63144</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644-7600</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Newly Elected Directors.</w:t>
      </w:r>
    </w:p>
    <w:p>
      <w:pPr>
        <w:spacing w:after="0" w:line="25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On November 12, 2025, the Board of Directors (the “Board”) of the Company approved an increase in the size of the Board from seven (7) to eight (8) members, effective January 1, 2026. In connection with this expansion, the Board appointed David I. Finkelstein to fill the newly created seat, also effective January 1, 2026. Mr. Finkelstein’s initial term will expire at the Company’s Annual Meeting of Shareholders in 2026.</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has determined that Mr. Finkelstein satisfies the requirements for independence and financial literacy under the listing standards of the New York Stock Exchange and the Company’s Corporate Governance Guidelines. On November 12, 2025, the Board also appointed Mr. Finkelstein to serve on the Audit Committee of the Board, effective January 1, 2026.</w:t>
      </w:r>
    </w:p>
    <w:p>
      <w:pPr>
        <w:spacing w:after="0" w:line="189"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Mr. Finkelstein was appointed to the Board after a thorough review of his qualifications by the Corporate Governance and Compensation Committee of the Board. Mr. Finkelstein will receive compensation as a non-employee director in accordance with the Company’s non-employee director compensation program described in the Company’s Annual Proxy Statement filed with the Securities and Exchange Commission on December 17, 2024. There is no arrangement or understanding between Mr. Finkelstein and any other persons pursuant to which he was appointed as a director, and there are no transactions in which he has an interest requiring disclosure under Item 404(a) of Regulation S-K. The Company expects to enter into its standard form of indemnification agreement with Mr. Finkelstein, the form of which was previously filed as Exhibit 10.10 to the Company’s Form 10-K filed on November 19,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issued a press release on November 14, 2025 announcing the announcing the expansion of the Board and the appointment of Mr. Finkelstein to the Board, a copy of which is attached hereto as Exhibit 99.1 and incorporated herein by reference.</w:t>
      </w:r>
    </w:p>
    <w:p>
      <w:pPr>
        <w:spacing w:after="0" w:line="175"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The information contained in this Item 7.01 and in the accompanying Exhibit 99.1 shall not be deemed “filed” for purposes of Section 18 of the Exchange Act, or otherwise subject to the liabilities of that Section, nor shall such information or exhibit be deemed incorporated by reference in any filing under the Exchange Act or the Securities Act of 1933, as amended, except as shall be expressly set forth by specific reference in such filing.</w:t>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1052830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Description</w:t>
            </w:r>
          </w:p>
        </w:tc>
      </w:tr>
      <w:tr>
        <w:trPr>
          <w:trHeight w:val="183"/>
        </w:trPr>
        <w:tc>
          <w:tcPr>
            <w:tcW w:w="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60" w:type="dxa"/>
            <w:vAlign w:val="bottom"/>
          </w:tcPr>
          <w:p>
            <w:pPr>
              <w:spacing w:after="0"/>
              <w:rPr>
                <w:sz w:val="15"/>
                <w:szCs w:val="15"/>
                <w:color w:val="auto"/>
              </w:rPr>
            </w:pPr>
          </w:p>
        </w:tc>
        <w:tc>
          <w:tcPr>
            <w:tcW w:w="6080" w:type="dxa"/>
            <w:vAlign w:val="bottom"/>
          </w:tcPr>
          <w:p>
            <w:pPr>
              <w:spacing w:after="0"/>
              <w:rPr>
                <w:sz w:val="15"/>
                <w:szCs w:val="15"/>
                <w:color w:val="auto"/>
              </w:rPr>
            </w:pPr>
          </w:p>
        </w:tc>
      </w:tr>
      <w:tr>
        <w:trPr>
          <w:trHeight w:val="189"/>
        </w:trPr>
        <w:tc>
          <w:tcPr>
            <w:tcW w:w="8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99.1</w:t>
            </w:r>
          </w:p>
        </w:tc>
        <w:tc>
          <w:tcPr>
            <w:tcW w:w="700" w:type="dxa"/>
            <w:vAlign w:val="bottom"/>
            <w:shd w:val="clear" w:color="auto" w:fill="CCEEFF"/>
          </w:tcPr>
          <w:p>
            <w:pPr>
              <w:spacing w:after="0"/>
              <w:rPr>
                <w:sz w:val="16"/>
                <w:szCs w:val="16"/>
                <w:color w:val="auto"/>
              </w:rPr>
            </w:pPr>
          </w:p>
        </w:tc>
        <w:tc>
          <w:tcPr>
            <w:tcW w:w="9680" w:type="dxa"/>
            <w:vAlign w:val="bottom"/>
            <w:gridSpan w:val="4"/>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FF"/>
              </w:rPr>
              <w:t>Press Release dated November 14, 2025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060" w:type="dxa"/>
            <w:vAlign w:val="bottom"/>
            <w:tcBorders>
              <w:top w:val="single" w:sz="8" w:color="0000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0"/>
                <w:szCs w:val="20"/>
                <w:color w:val="auto"/>
              </w:rPr>
            </w:pPr>
          </w:p>
        </w:tc>
        <w:tc>
          <w:tcPr>
            <w:tcW w:w="968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Cover Page Interactive Data File (the cover page iXBRL tags are embedded within the Inline XBRL document)</w:t>
            </w:r>
          </w:p>
        </w:tc>
      </w:tr>
      <w:tr>
        <w:trPr>
          <w:trHeight w:val="3364"/>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14, 2025</w:t>
            </w:r>
          </w:p>
        </w:tc>
        <w:tc>
          <w:tcPr>
            <w:tcW w:w="73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680" w:type="dxa"/>
            <w:vAlign w:val="bottom"/>
          </w:tcPr>
          <w:p>
            <w:pPr>
              <w:spacing w:after="0"/>
              <w:rPr>
                <w:sz w:val="24"/>
                <w:szCs w:val="24"/>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680" w:type="dxa"/>
            <w:vAlign w:val="bottom"/>
          </w:tcPr>
          <w:p>
            <w:pPr>
              <w:spacing w:after="0"/>
              <w:rPr>
                <w:sz w:val="20"/>
                <w:szCs w:val="20"/>
                <w:color w:val="auto"/>
              </w:rPr>
            </w:pPr>
          </w:p>
        </w:tc>
        <w:tc>
          <w:tcPr>
            <w:tcW w:w="272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440"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54455" cy="651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44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BellRing Brands Appoints David Finkelstein to Board of Directors</w:t>
      </w:r>
    </w:p>
    <w:p>
      <w:pPr>
        <w:spacing w:after="0" w:line="300" w:lineRule="exact"/>
        <w:rPr>
          <w:sz w:val="20"/>
          <w:szCs w:val="20"/>
          <w:color w:val="auto"/>
        </w:rPr>
      </w:pPr>
    </w:p>
    <w:p>
      <w:pPr>
        <w:ind w:right="40"/>
        <w:spacing w:after="0" w:line="307" w:lineRule="auto"/>
        <w:rPr>
          <w:sz w:val="20"/>
          <w:szCs w:val="20"/>
          <w:color w:val="auto"/>
        </w:rPr>
      </w:pPr>
      <w:r>
        <w:rPr>
          <w:rFonts w:ascii="Times New Roman" w:cs="Times New Roman" w:eastAsia="Times New Roman" w:hAnsi="Times New Roman"/>
          <w:sz w:val="18"/>
          <w:szCs w:val="18"/>
          <w:b w:val="1"/>
          <w:bCs w:val="1"/>
          <w:color w:val="auto"/>
        </w:rPr>
        <w:t xml:space="preserve">St. Louis - November 14, 2025 </w:t>
      </w:r>
      <w:r>
        <w:rPr>
          <w:rFonts w:ascii="Times New Roman" w:cs="Times New Roman" w:eastAsia="Times New Roman" w:hAnsi="Times New Roman"/>
          <w:sz w:val="18"/>
          <w:szCs w:val="18"/>
          <w:color w:val="auto"/>
        </w:rPr>
        <w:t>- BellRing Brands, Inc. (NYSE:BRBR) (“BellRing”), a holding company operating in the global convenient nutrition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category, today announced that David Finkelstein has been appointed to its Board of Directors (the “Board”) and the Audit Committee, effective January 1, 2026. With the addition of Mr. Finkelstein, the Board will consist of eight members.</w:t>
      </w:r>
    </w:p>
    <w:p>
      <w:pPr>
        <w:spacing w:after="0" w:line="168" w:lineRule="exact"/>
        <w:rPr>
          <w:sz w:val="20"/>
          <w:szCs w:val="20"/>
          <w:color w:val="auto"/>
        </w:rPr>
      </w:pPr>
    </w:p>
    <w:p>
      <w:pPr>
        <w:ind w:right="100"/>
        <w:spacing w:after="0" w:line="305" w:lineRule="auto"/>
        <w:rPr>
          <w:sz w:val="20"/>
          <w:szCs w:val="20"/>
          <w:color w:val="auto"/>
        </w:rPr>
      </w:pPr>
      <w:r>
        <w:rPr>
          <w:rFonts w:ascii="Times New Roman" w:cs="Times New Roman" w:eastAsia="Times New Roman" w:hAnsi="Times New Roman"/>
          <w:sz w:val="18"/>
          <w:szCs w:val="18"/>
          <w:color w:val="auto"/>
        </w:rPr>
        <w:t>Mr. Finkelstein is a seasoned executive who brings a wealth of experience to the Board, with twenty years of experience in leadership roles across the financial industry. His expertise includes extensive experience in finance and financial reporting processes along with mergers and acquisitions and capital markets transactions, in the consumer-packaged goods, retail and consumer product manufacturing industries.</w:t>
      </w:r>
    </w:p>
    <w:p>
      <w:pPr>
        <w:spacing w:after="0" w:line="183" w:lineRule="exact"/>
        <w:rPr>
          <w:sz w:val="20"/>
          <w:szCs w:val="20"/>
          <w:color w:val="auto"/>
        </w:rPr>
      </w:pPr>
    </w:p>
    <w:p>
      <w:pPr>
        <w:ind w:right="60"/>
        <w:spacing w:after="0" w:line="302" w:lineRule="auto"/>
        <w:rPr>
          <w:sz w:val="20"/>
          <w:szCs w:val="20"/>
          <w:color w:val="auto"/>
        </w:rPr>
      </w:pPr>
      <w:r>
        <w:rPr>
          <w:rFonts w:ascii="Times New Roman" w:cs="Times New Roman" w:eastAsia="Times New Roman" w:hAnsi="Times New Roman"/>
          <w:sz w:val="18"/>
          <w:szCs w:val="18"/>
          <w:color w:val="auto"/>
        </w:rPr>
        <w:t>Mr. Finkelstein previously served as the head of Consumer and Retail M&amp;A and head of Sports Advisory at Citigroup, Inc. from 2018 to 2025. Prior to joining Citigroup, he served in various positions in the Mergers and Acquisitions Group at Bank of America from 2005 to 2018, and as Managing Director since 2009. Mr. Finkelstein also served in the Mergers and Acquisitions Group at Citigroup, Inc. from 2000 to 2005. He earned his Bachelor of Arts degree in Economics from the University of Chicago.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BellRing Brands, Inc.</w:t>
      </w:r>
    </w:p>
    <w:p>
      <w:pPr>
        <w:spacing w:after="0" w:line="270"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BellRing Brands, Inc. (NYSE: BRBR) is a dynamic and fast-growing consumer brands business with the purpose of Changing Lives with Good Energy. Focused on growing the convenient nutrition category, the company’s brands include Premier Protein, the #1 ready-to-drink protein and convenient nutrition brand, and Dymatize, the brand behind the #1 hydrolyzed protein powder. A culture-driven, pure-play company, BellRing Brands believes nutrition is at the core of a healthy world and produces products with best-in-class nutritional profiles and exceptional flavors. Its products are distributed in over 90 countries across club, mass, food, eCommerce, specialty, drug and convenience. To learn more visit www.bellring.com.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Meyer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jennifer.meyer@bellringbrands.com</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 814-9388</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2025-11-14T07:11:43Z</dcterms:created>
  <dcterms:modified xsi:type="dcterms:W3CDTF">2025-11-14T07:11:43Z</dcterms:modified>
</cp:coreProperties>
</file>