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302260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2440" w:type="dxa"/>
            <w:vAlign w:val="bottom"/>
          </w:tcPr>
          <w:p>
            <w:pPr>
              <w:jc w:val="center"/>
              <w:ind w:right="741"/>
              <w:spacing w:after="0"/>
              <w:rPr>
                <w:sz w:val="20"/>
                <w:szCs w:val="20"/>
                <w:color w:val="auto"/>
              </w:rPr>
            </w:pPr>
            <w:r>
              <w:rPr>
                <w:rFonts w:ascii="Arial" w:cs="Arial" w:eastAsia="Arial" w:hAnsi="Arial"/>
                <w:sz w:val="18"/>
                <w:szCs w:val="18"/>
                <w:b w:val="1"/>
                <w:bCs w:val="1"/>
                <w:color w:val="auto"/>
                <w:w w:val="93"/>
              </w:rPr>
              <w:t>Delaware</w:t>
            </w:r>
          </w:p>
        </w:tc>
        <w:tc>
          <w:tcPr>
            <w:tcW w:w="18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001-39093</w:t>
            </w:r>
          </w:p>
        </w:tc>
        <w:tc>
          <w:tcPr>
            <w:tcW w:w="2080" w:type="dxa"/>
            <w:vAlign w:val="bottom"/>
          </w:tcPr>
          <w:p>
            <w:pPr>
              <w:jc w:val="right"/>
              <w:ind w:right="41"/>
              <w:spacing w:after="0"/>
              <w:rPr>
                <w:sz w:val="20"/>
                <w:szCs w:val="20"/>
                <w:color w:val="auto"/>
              </w:rPr>
            </w:pPr>
            <w:r>
              <w:rPr>
                <w:rFonts w:ascii="Arial" w:cs="Arial" w:eastAsia="Arial" w:hAnsi="Arial"/>
                <w:sz w:val="18"/>
                <w:szCs w:val="18"/>
                <w:b w:val="1"/>
                <w:bCs w:val="1"/>
                <w:color w:val="auto"/>
              </w:rPr>
              <w:t>83-4096323</w:t>
            </w:r>
          </w:p>
        </w:tc>
      </w:tr>
      <w:tr>
        <w:trPr>
          <w:trHeight w:val="148"/>
        </w:trPr>
        <w:tc>
          <w:tcPr>
            <w:tcW w:w="2440" w:type="dxa"/>
            <w:vAlign w:val="bottom"/>
          </w:tcPr>
          <w:p>
            <w:pPr>
              <w:jc w:val="center"/>
              <w:ind w:right="7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840" w:type="dxa"/>
            <w:vAlign w:val="bottom"/>
          </w:tcPr>
          <w:p>
            <w:pPr>
              <w:spacing w:after="0"/>
              <w:rPr>
                <w:sz w:val="12"/>
                <w:szCs w:val="12"/>
                <w:color w:val="auto"/>
              </w:rPr>
            </w:pPr>
          </w:p>
        </w:tc>
        <w:tc>
          <w:tcPr>
            <w:tcW w:w="34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(Commission</w:t>
            </w:r>
          </w:p>
        </w:tc>
        <w:tc>
          <w:tcPr>
            <w:tcW w:w="2080" w:type="dxa"/>
            <w:vAlign w:val="bottom"/>
          </w:tcPr>
          <w:p>
            <w:pPr>
              <w:jc w:val="center"/>
              <w:ind w:left="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40" w:type="dxa"/>
            <w:vAlign w:val="bottom"/>
          </w:tcPr>
          <w:p>
            <w:pPr>
              <w:jc w:val="center"/>
              <w:ind w:right="741"/>
              <w:spacing w:after="0"/>
              <w:rPr>
                <w:sz w:val="20"/>
                <w:szCs w:val="20"/>
                <w:color w:val="auto"/>
              </w:rPr>
            </w:pPr>
            <w:r>
              <w:rPr>
                <w:rFonts w:ascii="Arial" w:cs="Arial" w:eastAsia="Arial" w:hAnsi="Arial"/>
                <w:sz w:val="14"/>
                <w:szCs w:val="14"/>
                <w:b w:val="1"/>
                <w:bCs w:val="1"/>
                <w:color w:val="auto"/>
                <w:w w:val="94"/>
              </w:rPr>
              <w:t>of incorporation)</w:t>
            </w:r>
          </w:p>
        </w:tc>
        <w:tc>
          <w:tcPr>
            <w:tcW w:w="184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4"/>
                <w:szCs w:val="14"/>
                <w:b w:val="1"/>
                <w:bCs w:val="1"/>
                <w:color w:val="auto"/>
              </w:rPr>
              <w:t>File Number)</w:t>
            </w:r>
          </w:p>
        </w:tc>
        <w:tc>
          <w:tcPr>
            <w:tcW w:w="2080" w:type="dxa"/>
            <w:vAlign w:val="bottom"/>
          </w:tcPr>
          <w:p>
            <w:pPr>
              <w:jc w:val="center"/>
              <w:ind w:left="881"/>
              <w:spacing w:after="0"/>
              <w:rPr>
                <w:sz w:val="20"/>
                <w:szCs w:val="20"/>
                <w:color w:val="auto"/>
              </w:rPr>
            </w:pPr>
            <w:r>
              <w:rPr>
                <w:rFonts w:ascii="Arial" w:cs="Arial" w:eastAsia="Arial" w:hAnsi="Arial"/>
                <w:sz w:val="14"/>
                <w:szCs w:val="14"/>
                <w:b w:val="1"/>
                <w:bCs w:val="1"/>
                <w:color w:val="auto"/>
                <w:w w:val="94"/>
              </w:rPr>
              <w:t>Identification No.)</w:t>
            </w:r>
          </w:p>
        </w:tc>
      </w:tr>
      <w:tr>
        <w:trPr>
          <w:trHeight w:val="340"/>
        </w:trPr>
        <w:tc>
          <w:tcPr>
            <w:tcW w:w="2440" w:type="dxa"/>
            <w:vAlign w:val="bottom"/>
          </w:tcPr>
          <w:p>
            <w:pPr>
              <w:jc w:val="center"/>
              <w:ind w:right="721"/>
              <w:spacing w:after="0"/>
              <w:rPr>
                <w:sz w:val="20"/>
                <w:szCs w:val="20"/>
                <w:color w:val="auto"/>
              </w:rPr>
            </w:pPr>
            <w:r>
              <w:rPr>
                <w:rFonts w:ascii="Arial" w:cs="Arial" w:eastAsia="Arial" w:hAnsi="Arial"/>
                <w:sz w:val="18"/>
                <w:szCs w:val="18"/>
                <w:b w:val="1"/>
                <w:bCs w:val="1"/>
                <w:color w:val="auto"/>
                <w:w w:val="90"/>
              </w:rPr>
              <w:t>2503 S. Hanley Road</w:t>
            </w:r>
          </w:p>
        </w:tc>
        <w:tc>
          <w:tcPr>
            <w:tcW w:w="1840" w:type="dxa"/>
            <w:vAlign w:val="bottom"/>
          </w:tcPr>
          <w:p>
            <w:pPr>
              <w:ind w:left="820"/>
              <w:spacing w:after="0"/>
              <w:rPr>
                <w:sz w:val="20"/>
                <w:szCs w:val="20"/>
                <w:color w:val="auto"/>
              </w:rPr>
            </w:pPr>
            <w:r>
              <w:rPr>
                <w:rFonts w:ascii="Arial" w:cs="Arial" w:eastAsia="Arial" w:hAnsi="Arial"/>
                <w:sz w:val="18"/>
                <w:szCs w:val="18"/>
                <w:b w:val="1"/>
                <w:bCs w:val="1"/>
                <w:color w:val="auto"/>
              </w:rPr>
              <w:t>St. Louis</w:t>
            </w:r>
          </w:p>
        </w:tc>
        <w:tc>
          <w:tcPr>
            <w:tcW w:w="3400" w:type="dxa"/>
            <w:vAlign w:val="bottom"/>
          </w:tcPr>
          <w:p>
            <w:pPr>
              <w:ind w:left="1780"/>
              <w:spacing w:after="0"/>
              <w:rPr>
                <w:sz w:val="20"/>
                <w:szCs w:val="20"/>
                <w:color w:val="auto"/>
              </w:rPr>
            </w:pPr>
            <w:r>
              <w:rPr>
                <w:rFonts w:ascii="Arial" w:cs="Arial" w:eastAsia="Arial" w:hAnsi="Arial"/>
                <w:sz w:val="18"/>
                <w:szCs w:val="18"/>
                <w:b w:val="1"/>
                <w:bCs w:val="1"/>
                <w:color w:val="auto"/>
              </w:rPr>
              <w:t>Missouri</w:t>
            </w:r>
          </w:p>
        </w:tc>
        <w:tc>
          <w:tcPr>
            <w:tcW w:w="2080" w:type="dxa"/>
            <w:vAlign w:val="bottom"/>
          </w:tcPr>
          <w:p>
            <w:pPr>
              <w:jc w:val="right"/>
              <w:ind w:right="261"/>
              <w:spacing w:after="0"/>
              <w:rPr>
                <w:sz w:val="20"/>
                <w:szCs w:val="20"/>
                <w:color w:val="auto"/>
              </w:rPr>
            </w:pPr>
            <w:r>
              <w:rPr>
                <w:rFonts w:ascii="Arial" w:cs="Arial" w:eastAsia="Arial" w:hAnsi="Arial"/>
                <w:sz w:val="18"/>
                <w:szCs w:val="18"/>
                <w:b w:val="1"/>
                <w:bCs w:val="1"/>
                <w:color w:val="auto"/>
              </w:rPr>
              <w:t>63144</w:t>
            </w:r>
          </w:p>
        </w:tc>
      </w:tr>
      <w:tr>
        <w:trPr>
          <w:trHeight w:val="186"/>
        </w:trPr>
        <w:tc>
          <w:tcPr>
            <w:tcW w:w="4280" w:type="dxa"/>
            <w:vAlign w:val="bottom"/>
            <w:gridSpan w:val="2"/>
          </w:tcPr>
          <w:p>
            <w:pPr>
              <w:ind w:left="980"/>
              <w:spacing w:after="0"/>
              <w:rPr>
                <w:sz w:val="20"/>
                <w:szCs w:val="20"/>
                <w:color w:val="auto"/>
              </w:rPr>
            </w:pPr>
            <w:r>
              <w:rPr>
                <w:rFonts w:ascii="Arial" w:cs="Arial" w:eastAsia="Arial" w:hAnsi="Arial"/>
                <w:sz w:val="14"/>
                <w:szCs w:val="14"/>
                <w:b w:val="1"/>
                <w:bCs w:val="1"/>
                <w:color w:val="auto"/>
              </w:rPr>
              <w:t>(Address of Principal Executive Offices)</w:t>
            </w:r>
          </w:p>
        </w:tc>
        <w:tc>
          <w:tcPr>
            <w:tcW w:w="3400" w:type="dxa"/>
            <w:vAlign w:val="bottom"/>
          </w:tcPr>
          <w:p>
            <w:pPr>
              <w:spacing w:after="0"/>
              <w:rPr>
                <w:sz w:val="16"/>
                <w:szCs w:val="16"/>
                <w:color w:val="auto"/>
              </w:rPr>
            </w:pPr>
          </w:p>
        </w:tc>
        <w:tc>
          <w:tcPr>
            <w:tcW w:w="208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180340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16, 2021, the Board of Directors of BellRing Brands, Inc. (the “Company”) approved the amendment and restatement of the Company’s Amended and Restated Bylaws (the “third Amended and Restated Bylaws”), effective December 16, 2021. The third Amended and Restated Bylaws add a forum selection bylaw that provides that the Court of Chancery of the State of Delaware is the sole and exclusive forum for any derivative action or proceeding brought on behalf of the Company, any action asserting a claim for breach of a fiduciary duty owed by any director, officer, employee, or stockholder of the Company to the Company or the Company’s stockholders, any action asserting a claim arising pursuant to any provision of the General Corporation Law of the State of Delaware, the Company’s Certificate of Incorporation, the third Amended and Restated Bylaws or as to which the General Corporation Law of the State of Delaware confers jurisdiction on the Court of Chancery of the State of Delaware or any action asserting a claim governed by the internal affairs doctrine, unless the Company consents in writing to the selection of an alternative forum. The Amended and Restated Bylaws also add a bylaw requiring that any complaint asserting a cause of action or proceeding arising under the Securities Act of 1933, as amended, must be brought in the federal district courts of the United States, unless the Company consents in writing to the selection of an alternative forum.</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description of the third Amended and Restated Bylaws is only a summary of the principal features of the revisions made to the third Amended and Restated Bylaws, does not purport to be complete and is qualified in its entirety by reference to the third Amended and Restated Bylaws, a copy of which is filed as Exhibit 3.1 hereto and a marked copy of which showing the amendments is filed as Exhibit 3.2 hereto, each of which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Exhibit</w:t>
            </w:r>
          </w:p>
        </w:tc>
        <w:tc>
          <w:tcPr>
            <w:tcW w:w="6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7"/>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4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7720" w:type="dxa"/>
            <w:vAlign w:val="bottom"/>
            <w:gridSpan w:val="2"/>
          </w:tcPr>
          <w:p>
            <w:pPr>
              <w:spacing w:after="0"/>
              <w:rPr>
                <w:sz w:val="14"/>
                <w:szCs w:val="14"/>
                <w:color w:val="auto"/>
              </w:rPr>
            </w:pPr>
          </w:p>
        </w:tc>
      </w:tr>
      <w:tr>
        <w:trPr>
          <w:trHeight w:val="277"/>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84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Amended and Restated Bylaws of BellRing Brands, Inc., effective December 16, 2021</w:t>
              </w:r>
            </w:hyperlink>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4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84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Amended and Restated Bylaws of BellRing Brands, Inc., marked to show amendments effective December 16, 2021</w:t>
              </w:r>
            </w:hyperlink>
          </w:p>
        </w:tc>
      </w:tr>
      <w:tr>
        <w:trPr>
          <w:trHeight w:val="345"/>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5"/>
              </w:rPr>
              <w:t>Cover Page Interactive Data File (the cover page iXBRL tags are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color w:val="auto"/>
              </w:rPr>
              <w:t>Date: December 17, 2021</w:t>
            </w: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December 16,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 ANNUAL MEETING: The annual meeting of stockholders shall be held at the principal executive office of BellRing Brands, Inc. (the “</w:t>
      </w:r>
      <w:r>
        <w:rPr>
          <w:rFonts w:ascii="Arial" w:cs="Arial" w:eastAsia="Arial" w:hAnsi="Arial"/>
          <w:sz w:val="17"/>
          <w:szCs w:val="17"/>
          <w:u w:val="single" w:color="auto"/>
          <w:color w:val="auto"/>
        </w:rPr>
        <w:t>Company</w:t>
      </w:r>
      <w:r>
        <w:rPr>
          <w:rFonts w:ascii="Arial" w:cs="Arial" w:eastAsia="Arial" w:hAnsi="Arial"/>
          <w:sz w:val="17"/>
          <w:szCs w:val="17"/>
          <w:color w:val="auto"/>
        </w:rPr>
        <w:t>”), or at such other place, if any, either within or without the State of Delaware, or by means of remote communication either solely or in conjunction with a meeting at a physical location, as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 (a) the affirmative vote of a majority of the Board, (b) the Chairperson of the Board, (c) by the Secretary of the Company, on the request of Post Holdings, Inc. and its successors (“</w:t>
      </w:r>
      <w:r>
        <w:rPr>
          <w:rFonts w:ascii="Arial" w:cs="Arial" w:eastAsia="Arial" w:hAnsi="Arial"/>
          <w:sz w:val="16"/>
          <w:szCs w:val="16"/>
          <w:u w:val="single" w:color="auto"/>
          <w:color w:val="auto"/>
        </w:rPr>
        <w:t>Post</w:t>
      </w:r>
      <w:r>
        <w:rPr>
          <w:rFonts w:ascii="Arial" w:cs="Arial" w:eastAsia="Arial" w:hAnsi="Arial"/>
          <w:sz w:val="16"/>
          <w:szCs w:val="16"/>
          <w:color w:val="auto"/>
        </w:rPr>
        <w:t>”), for such a meeting in writing so long as Post and its subsidiaries (other than the Company and its subsidiaries) own of record, in the aggregate, more than 50% of the Nonvoting Common Units of BellRing Brands, LLC, a Delaware limited liability company (as defined in the Amended and Restated Limited Liability Company Agreement of BellRing Brands, LLC, dated as of October 21, 2019, as the same may be amended, restated, supplemented and/or otherwise modified, from time to time) or (d) the President of the Company.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A special meeting of stockholders shall be held at the principal executive office of the Company, or at such other place, if any, either within or without the State of Delaware, or by means of remote communication either solely or in conjunction with a meeting at a physical location, as the Board may from time to time determine. Only such business shall be conducted, and only such proposals shall be acted upon, as is specified in the call of any special meeting of stockholders.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 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ectPr>
          <w:pgSz w:w="11900" w:h="16838" w:orient="portrait"/>
          <w:cols w:equalWidth="0" w:num="1">
            <w:col w:w="11020"/>
          </w:cols>
          <w:pgMar w:left="440" w:top="121" w:right="439" w:bottom="1440" w:gutter="0" w:footer="0" w:header="0"/>
        </w:sectPr>
      </w:pPr>
    </w:p>
    <w:bookmarkStart w:id="4" w:name="page5"/>
    <w:bookmarkEnd w:id="4"/>
    <w:p>
      <w:pPr>
        <w:jc w:val="both"/>
        <w:ind w:left="4" w:right="100" w:hanging="4"/>
        <w:spacing w:after="0" w:line="311"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manner by which notice may otherwise be given effectively to stockholders, any notice to a stockholder given by the Company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40" w:lineRule="exact"/>
        <w:rPr>
          <w:rFonts w:ascii="Arial" w:cs="Arial" w:eastAsia="Arial" w:hAnsi="Arial"/>
          <w:sz w:val="16"/>
          <w:szCs w:val="16"/>
          <w:color w:val="auto"/>
        </w:rPr>
      </w:pPr>
    </w:p>
    <w:p>
      <w:pPr>
        <w:ind w:left="4" w:hanging="4"/>
        <w:spacing w:after="0" w:line="293"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Company’s records.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4"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8"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 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w:t>
      </w:r>
    </w:p>
    <w:p>
      <w:pPr>
        <w:spacing w:after="0" w:line="168"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PROXIES: The following shall constitute valid means by which a stockholder may authorize a person to act for the stockholder as a proxy:</w:t>
      </w:r>
    </w:p>
    <w:p>
      <w:pPr>
        <w:spacing w:after="0" w:line="140" w:lineRule="exact"/>
        <w:rPr>
          <w:sz w:val="20"/>
          <w:szCs w:val="20"/>
          <w:color w:val="auto"/>
        </w:rPr>
      </w:pPr>
    </w:p>
    <w:p>
      <w:pPr>
        <w:ind w:left="4" w:right="300" w:hanging="4"/>
        <w:spacing w:after="0" w:line="286" w:lineRule="auto"/>
        <w:tabs>
          <w:tab w:leader="none" w:pos="249"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57" w:lineRule="exact"/>
        <w:rPr>
          <w:rFonts w:ascii="Arial" w:cs="Arial" w:eastAsia="Arial" w:hAnsi="Arial"/>
          <w:sz w:val="17"/>
          <w:szCs w:val="17"/>
          <w:color w:val="auto"/>
        </w:rPr>
      </w:pPr>
    </w:p>
    <w:p>
      <w:pPr>
        <w:ind w:left="4" w:hanging="4"/>
        <w:spacing w:after="0" w:line="272"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69" w:lineRule="exact"/>
        <w:rPr>
          <w:rFonts w:ascii="Arial" w:cs="Arial" w:eastAsia="Arial" w:hAnsi="Arial"/>
          <w:sz w:val="17"/>
          <w:szCs w:val="17"/>
          <w:color w:val="auto"/>
        </w:rPr>
      </w:pPr>
    </w:p>
    <w:p>
      <w:pPr>
        <w:ind w:left="4" w:hanging="4"/>
        <w:spacing w:after="0" w:line="277"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 shall be entitled to vote at such meeting and, in the case of any stockholder other than Post, who shall have complied with the notice procedures set forth in this Section 8 of Article I of these Bylaws; clause (iii) shall be the exclusive means for a stockholder, other than Post, to submit such business to be brought before the meeting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to be included in the Company’s notice of meeting before or at an annual meeting of stockholders.</w:t>
      </w:r>
    </w:p>
    <w:p>
      <w:pPr>
        <w:spacing w:after="0" w:line="73" w:lineRule="exact"/>
        <w:rPr>
          <w:sz w:val="20"/>
          <w:szCs w:val="20"/>
          <w:color w:val="auto"/>
        </w:rPr>
      </w:pPr>
    </w:p>
    <w:p>
      <w:pPr>
        <w:ind w:left="4" w:right="80" w:hanging="4"/>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62" w:lineRule="exact"/>
        <w:rPr>
          <w:rFonts w:ascii="Arial" w:cs="Arial" w:eastAsia="Arial" w:hAnsi="Arial"/>
          <w:sz w:val="18"/>
          <w:szCs w:val="18"/>
          <w:color w:val="auto"/>
        </w:rPr>
      </w:pPr>
    </w:p>
    <w:p>
      <w:pPr>
        <w:ind w:left="4" w:right="120" w:hanging="4"/>
        <w:spacing w:after="0" w:line="286"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other than Post,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(and for purposes of calculating this date with respect to the first annual meeting after the date shares of capital stock of the Company are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xml:space="preserve">”), the Company shall be deemed to have held an annual meeting on January 24,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65" w:lineRule="exact"/>
        <w:rPr>
          <w:rFonts w:ascii="Arial" w:cs="Arial" w:eastAsia="Arial" w:hAnsi="Arial"/>
          <w:sz w:val="16"/>
          <w:szCs w:val="16"/>
          <w:color w:val="auto"/>
        </w:rPr>
      </w:pPr>
    </w:p>
    <w:p>
      <w:pPr>
        <w:jc w:val="both"/>
        <w:ind w:left="4" w:right="120" w:hanging="4"/>
        <w:spacing w:after="0" w:line="259"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8"/>
          <w:szCs w:val="18"/>
          <w:u w:val="single" w:color="auto"/>
          <w:color w:val="auto"/>
        </w:rPr>
        <w:t>chairperson</w:t>
      </w:r>
      <w:r>
        <w:rPr>
          <w:rFonts w:ascii="Arial" w:cs="Arial" w:eastAsia="Arial" w:hAnsi="Arial"/>
          <w:sz w:val="18"/>
          <w:szCs w:val="18"/>
          <w:color w:val="auto"/>
        </w:rPr>
        <w:t>”) may, if the facts warrant, determine that the proposed business was not properly brought before the meeting in accordance with</w:t>
      </w:r>
    </w:p>
    <w:p>
      <w:pPr>
        <w:sectPr>
          <w:pgSz w:w="11900" w:h="16838" w:orient="portrait"/>
          <w:cols w:equalWidth="0" w:num="1">
            <w:col w:w="11004"/>
          </w:cols>
          <w:pgMar w:left="436" w:top="274" w:right="459" w:bottom="1440" w:gutter="0" w:footer="0" w:header="0"/>
        </w:sectPr>
      </w:pPr>
    </w:p>
    <w:bookmarkStart w:id="6" w:name="page7"/>
    <w:bookmarkEnd w:id="6"/>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w:t>
      </w:r>
    </w:p>
    <w:p>
      <w:pPr>
        <w:spacing w:after="0" w:line="1" w:lineRule="exact"/>
        <w:rPr>
          <w:sz w:val="20"/>
          <w:szCs w:val="20"/>
          <w:color w:val="auto"/>
        </w:rPr>
      </w:pPr>
    </w:p>
    <w:p>
      <w:pPr>
        <w:ind w:left="4" w:right="40" w:hanging="4"/>
        <w:spacing w:after="0" w:line="277" w:lineRule="auto"/>
        <w:tabs>
          <w:tab w:leader="none" w:pos="319" w:val="left"/>
        </w:tabs>
        <w:numPr>
          <w:ilvl w:val="0"/>
          <w:numId w:val="5"/>
        </w:numPr>
        <w:rPr>
          <w:rFonts w:ascii="Arial" w:cs="Arial" w:eastAsia="Arial" w:hAnsi="Arial"/>
          <w:sz w:val="17"/>
          <w:szCs w:val="17"/>
          <w:color w:val="auto"/>
        </w:rPr>
      </w:pPr>
      <w:r>
        <w:rPr>
          <w:rFonts w:ascii="Arial" w:cs="Arial" w:eastAsia="Arial" w:hAnsi="Arial"/>
          <w:sz w:val="17"/>
          <w:szCs w:val="17"/>
          <w:color w:val="auto"/>
        </w:rPr>
        <w:t>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65" w:lineRule="exact"/>
        <w:rPr>
          <w:sz w:val="20"/>
          <w:szCs w:val="20"/>
          <w:color w:val="auto"/>
        </w:rPr>
      </w:pPr>
    </w:p>
    <w:p>
      <w:pPr>
        <w:ind w:left="4" w:right="200" w:hanging="4"/>
        <w:spacing w:after="0" w:line="277"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such business to be properly brought before a meeting, such stockholder’s notice to the Secretary of the Company shall set forth as to each matter he or she proposes to bring before the meeting:</w:t>
      </w:r>
    </w:p>
    <w:p>
      <w:pPr>
        <w:spacing w:after="0" w:line="62" w:lineRule="exact"/>
        <w:rPr>
          <w:sz w:val="20"/>
          <w:szCs w:val="20"/>
          <w:color w:val="auto"/>
        </w:rPr>
      </w:pPr>
    </w:p>
    <w:p>
      <w:pPr>
        <w:jc w:val="both"/>
        <w:ind w:left="4" w:right="160" w:hanging="4"/>
        <w:spacing w:after="0" w:line="279" w:lineRule="auto"/>
        <w:tabs>
          <w:tab w:leader="none" w:pos="21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63" w:lineRule="exact"/>
        <w:rPr>
          <w:rFonts w:ascii="Arial" w:cs="Arial" w:eastAsia="Arial" w:hAnsi="Arial"/>
          <w:sz w:val="17"/>
          <w:szCs w:val="17"/>
          <w:color w:val="auto"/>
        </w:rPr>
      </w:pPr>
    </w:p>
    <w:p>
      <w:pPr>
        <w:ind w:left="4" w:right="320" w:hanging="4"/>
        <w:spacing w:after="0" w:line="277"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62" w:lineRule="exact"/>
        <w:rPr>
          <w:rFonts w:ascii="Arial" w:cs="Arial" w:eastAsia="Arial" w:hAnsi="Arial"/>
          <w:sz w:val="18"/>
          <w:szCs w:val="18"/>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name and address of such stockholder and beneficial owner as they appear in the Company’s stockholder records;</w:t>
      </w:r>
    </w:p>
    <w:p>
      <w:pPr>
        <w:spacing w:after="0" w:line="117" w:lineRule="exact"/>
        <w:rPr>
          <w:sz w:val="20"/>
          <w:szCs w:val="20"/>
          <w:color w:val="auto"/>
        </w:rPr>
      </w:pPr>
    </w:p>
    <w:p>
      <w:pPr>
        <w:ind w:left="4" w:right="60"/>
        <w:spacing w:after="0" w:line="283" w:lineRule="auto"/>
        <w:rPr>
          <w:sz w:val="20"/>
          <w:szCs w:val="20"/>
          <w:color w:val="auto"/>
        </w:rPr>
      </w:pPr>
      <w:r>
        <w:rPr>
          <w:rFonts w:ascii="Arial" w:cs="Arial" w:eastAsia="Arial" w:hAnsi="Arial"/>
          <w:sz w:val="16"/>
          <w:szCs w:val="16"/>
          <w:color w:val="auto"/>
        </w:rPr>
        <w:t>b. (1)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 (6)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w:t>
      </w:r>
    </w:p>
    <w:p>
      <w:pPr>
        <w:spacing w:after="0" w:line="1" w:lineRule="exact"/>
        <w:rPr>
          <w:sz w:val="20"/>
          <w:szCs w:val="20"/>
          <w:color w:val="auto"/>
        </w:rPr>
      </w:pPr>
    </w:p>
    <w:p>
      <w:pPr>
        <w:jc w:val="both"/>
        <w:ind w:left="4" w:hanging="4"/>
        <w:spacing w:after="0" w:line="253"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ectPr>
          <w:pgSz w:w="11900" w:h="16838" w:orient="portrait"/>
          <w:cols w:equalWidth="0" w:num="1">
            <w:col w:w="11024"/>
          </w:cols>
          <w:pgMar w:left="436" w:top="274" w:right="439" w:bottom="1440" w:gutter="0" w:footer="0" w:header="0"/>
        </w:sectPr>
      </w:pPr>
    </w:p>
    <w:bookmarkStart w:id="7" w:name="page8"/>
    <w:bookmarkEnd w:id="7"/>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8"/>
          <w:szCs w:val="18"/>
          <w:u w:val="single" w:color="auto"/>
          <w:color w:val="auto"/>
        </w:rPr>
        <w:t>Proposing Stockholder Information</w:t>
      </w:r>
      <w:r>
        <w:rPr>
          <w:rFonts w:ascii="Arial" w:cs="Arial" w:eastAsia="Arial" w:hAnsi="Arial"/>
          <w:sz w:val="18"/>
          <w:szCs w:val="18"/>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8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6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8"/>
          <w:szCs w:val="18"/>
          <w:u w:val="single" w:color="auto"/>
          <w:color w:val="auto"/>
        </w:rPr>
        <w:t>group</w:t>
      </w:r>
      <w:r>
        <w:rPr>
          <w:rFonts w:ascii="Arial" w:cs="Arial" w:eastAsia="Arial" w:hAnsi="Arial"/>
          <w:sz w:val="18"/>
          <w:szCs w:val="18"/>
          <w:color w:val="auto"/>
        </w:rPr>
        <w:t>” shall be within the meaning ascribed to such term under Section 13(d)(3) of the Exchange Act.</w:t>
      </w:r>
    </w:p>
    <w:p>
      <w:pPr>
        <w:spacing w:after="0" w:line="187"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6"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84" w:lineRule="exact"/>
        <w:rPr>
          <w:sz w:val="20"/>
          <w:szCs w:val="20"/>
          <w:color w:val="auto"/>
        </w:rPr>
      </w:pPr>
    </w:p>
    <w:p>
      <w:pPr>
        <w:ind w:left="4" w:right="20" w:hanging="4"/>
        <w:spacing w:after="0" w:line="286"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 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59" w:lineRule="exact"/>
        <w:rPr>
          <w:rFonts w:ascii="Arial" w:cs="Arial" w:eastAsia="Arial" w:hAnsi="Arial"/>
          <w:sz w:val="16"/>
          <w:szCs w:val="16"/>
          <w:color w:val="auto"/>
        </w:rPr>
      </w:pPr>
    </w:p>
    <w:p>
      <w:pPr>
        <w:jc w:val="both"/>
        <w:ind w:left="4" w:right="240" w:hanging="4"/>
        <w:spacing w:after="0" w:line="259"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w:t>
      </w:r>
    </w:p>
    <w:p>
      <w:pPr>
        <w:sectPr>
          <w:pgSz w:w="11900" w:h="16838" w:orient="portrait"/>
          <w:cols w:equalWidth="0" w:num="1">
            <w:col w:w="11024"/>
          </w:cols>
          <w:pgMar w:left="436" w:top="274" w:right="439" w:bottom="1440" w:gutter="0" w:footer="0" w:header="0"/>
        </w:sectPr>
      </w:pPr>
    </w:p>
    <w:bookmarkStart w:id="8" w:name="page9"/>
    <w:bookmarkEnd w:id="8"/>
    <w:p>
      <w:pPr>
        <w:ind w:left="4"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disregarded, as the case may be, even though proxies in respect of such vote may have been received by the Company.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57" w:lineRule="exact"/>
        <w:rPr>
          <w:sz w:val="20"/>
          <w:szCs w:val="20"/>
          <w:color w:val="auto"/>
        </w:rPr>
      </w:pPr>
    </w:p>
    <w:p>
      <w:pPr>
        <w:ind w:left="4" w:right="60" w:hanging="4"/>
        <w:spacing w:after="0" w:line="272" w:lineRule="auto"/>
        <w:tabs>
          <w:tab w:leader="none" w:pos="25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 foregoing and the rights of Post under the Investor Rights Agreement dated as of October 21, 2019 between Post and the Company (as the same may be amended, restated, supplemented and/or otherwise modified from time to time,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69" w:lineRule="exact"/>
        <w:rPr>
          <w:rFonts w:ascii="Arial" w:cs="Arial" w:eastAsia="Arial" w:hAnsi="Arial"/>
          <w:sz w:val="17"/>
          <w:szCs w:val="17"/>
          <w:color w:val="auto"/>
        </w:rPr>
      </w:pPr>
    </w:p>
    <w:p>
      <w:pPr>
        <w:ind w:left="4" w:hanging="4"/>
        <w:spacing w:after="0" w:line="254"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shall hold office until a successor is duly elected and qualified or until the director’s earlier death, resignation, disqualification or removal. With respect to the members of the Board in office on October 21, 2019, the first class of directors shall hold office until the first annual meeting of stockholders following the IPO Date, the second class of directors shall hold office until the second annual meeting of stockholders following the IPO Date, and the third class of directors shall hold office until the third annual meeting of stockholders following the IPO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86" w:lineRule="exact"/>
        <w:rPr>
          <w:rFonts w:ascii="Arial" w:cs="Arial" w:eastAsia="Arial" w:hAnsi="Arial"/>
          <w:sz w:val="18"/>
          <w:szCs w:val="18"/>
          <w:color w:val="auto"/>
        </w:rPr>
      </w:pPr>
    </w:p>
    <w:p>
      <w:pPr>
        <w:ind w:left="4" w:right="20" w:hanging="4"/>
        <w:spacing w:after="0" w:line="268" w:lineRule="auto"/>
        <w:tabs>
          <w:tab w:leader="none" w:pos="259"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 (i) pursuant to the Company’s notice of the meeting (or any supplement thereto), (ii) by or at the direction of the Board or any committee thereof or (iii) 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ectPr>
          <w:pgSz w:w="11900" w:h="16838" w:orient="portrait"/>
          <w:cols w:equalWidth="0" w:num="1">
            <w:col w:w="11024"/>
          </w:cols>
          <w:pgMar w:left="436" w:top="274" w:right="439" w:bottom="1440" w:gutter="0" w:footer="0" w:header="0"/>
        </w:sectPr>
      </w:pPr>
    </w:p>
    <w:bookmarkStart w:id="9" w:name="page10"/>
    <w:bookmarkEnd w:id="9"/>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(and for purposes of calculating this date with respect to the first annual meeting after the IPO Date, the Company shall be deemed to have held an annual meeting on January 24,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2"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10th day following the day on which such public announcement is first made by the Company.</w:t>
      </w:r>
    </w:p>
    <w:p>
      <w:pPr>
        <w:spacing w:after="0" w:line="70" w:lineRule="exact"/>
        <w:rPr>
          <w:sz w:val="20"/>
          <w:szCs w:val="20"/>
          <w:color w:val="auto"/>
        </w:rPr>
      </w:pPr>
    </w:p>
    <w:p>
      <w:pPr>
        <w:ind w:left="4" w:right="460" w:hanging="4"/>
        <w:spacing w:after="0" w:line="277"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sz w:val="20"/>
          <w:szCs w:val="20"/>
          <w:color w:val="auto"/>
        </w:rPr>
      </w:pPr>
    </w:p>
    <w:p>
      <w:pPr>
        <w:ind w:left="224" w:hanging="224"/>
        <w:spacing w:after="0"/>
        <w:tabs>
          <w:tab w:leader="none" w:pos="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4" w:right="100" w:hanging="4"/>
        <w:spacing w:after="0" w:line="272"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69" w:lineRule="exact"/>
        <w:rPr>
          <w:rFonts w:ascii="Arial" w:cs="Arial" w:eastAsia="Arial" w:hAnsi="Arial"/>
          <w:sz w:val="17"/>
          <w:szCs w:val="17"/>
          <w:color w:val="auto"/>
        </w:rPr>
      </w:pPr>
    </w:p>
    <w:p>
      <w:pPr>
        <w:jc w:val="both"/>
        <w:ind w:left="4" w:right="340" w:hanging="4"/>
        <w:spacing w:after="0" w:line="311" w:lineRule="auto"/>
        <w:tabs>
          <w:tab w:leader="none" w:pos="3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40" w:lineRule="exact"/>
        <w:rPr>
          <w:rFonts w:ascii="Arial" w:cs="Arial" w:eastAsia="Arial" w:hAnsi="Arial"/>
          <w:sz w:val="16"/>
          <w:szCs w:val="16"/>
          <w:color w:val="auto"/>
        </w:rPr>
      </w:pPr>
    </w:p>
    <w:p>
      <w:pPr>
        <w:ind w:left="264" w:hanging="264"/>
        <w:spacing w:after="0"/>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ind w:left="4" w:right="480" w:hanging="4"/>
        <w:spacing w:after="0" w:line="263" w:lineRule="auto"/>
        <w:tabs>
          <w:tab w:leader="none" w:pos="3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ectPr>
          <w:pgSz w:w="11900" w:h="16838" w:orient="portrait"/>
          <w:cols w:equalWidth="0" w:num="1">
            <w:col w:w="11024"/>
          </w:cols>
          <w:pgMar w:left="436" w:top="274" w:right="439" w:bottom="1440" w:gutter="0" w:footer="0" w:header="0"/>
        </w:sectPr>
      </w:pPr>
    </w:p>
    <w:bookmarkStart w:id="10" w:name="page11"/>
    <w:bookmarkEnd w:id="10"/>
    <w:p>
      <w:pPr>
        <w:ind w:left="4" w:right="760" w:hanging="4"/>
        <w:spacing w:after="0" w:line="277"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stockholder’s notice also shall set forth as to the stockholder(s) giving the notice and the beneficial owner, if any, on whose behalf the nomination is made:</w:t>
      </w:r>
    </w:p>
    <w:p>
      <w:pPr>
        <w:spacing w:after="0" w:line="62"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and address of such stockholder and beneficial owner, as they appear in the Company’s stockholder records;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17" w:lineRule="exact"/>
        <w:rPr>
          <w:rFonts w:ascii="Arial" w:cs="Arial" w:eastAsia="Arial" w:hAnsi="Arial"/>
          <w:sz w:val="18"/>
          <w:szCs w:val="18"/>
          <w:color w:val="auto"/>
        </w:rPr>
      </w:pPr>
    </w:p>
    <w:p>
      <w:pPr>
        <w:ind w:left="4" w:right="440" w:hanging="4"/>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shares of the Company, is entitled to vote at such meeting and intends to appear in person or by proxy at the meeting to nominate the person or persons specified in the notice;</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or beneficial owner that would be required to be disclosed in a proxy statement or other filing</w:t>
      </w:r>
    </w:p>
    <w:p>
      <w:pPr>
        <w:spacing w:after="0" w:line="46"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required to be made in connection with the solicitation of proxies for the election of directors in a contested election, or is otherwise required pursuant to Section 14 of the Exchange Act and the rules and regulations thereunder; and</w:t>
      </w:r>
    </w:p>
    <w:p>
      <w:pPr>
        <w:spacing w:after="0" w:line="77" w:lineRule="exact"/>
        <w:rPr>
          <w:rFonts w:ascii="Arial" w:cs="Arial" w:eastAsia="Arial" w:hAnsi="Arial"/>
          <w:sz w:val="16"/>
          <w:szCs w:val="16"/>
          <w:color w:val="auto"/>
        </w:rPr>
      </w:pPr>
    </w:p>
    <w:p>
      <w:pPr>
        <w:ind w:left="4" w:right="60" w:hanging="4"/>
        <w:spacing w:after="0" w:line="286"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57" w:lineRule="exact"/>
        <w:rPr>
          <w:sz w:val="20"/>
          <w:szCs w:val="20"/>
          <w:color w:val="auto"/>
        </w:rPr>
      </w:pPr>
    </w:p>
    <w:p>
      <w:pPr>
        <w:ind w:left="4" w:hanging="4"/>
        <w:spacing w:after="0" w:line="284"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 Section 1(g) of Article II of these Bylaws a “</w:t>
      </w:r>
      <w:r>
        <w:rPr>
          <w:rFonts w:ascii="Arial" w:cs="Arial" w:eastAsia="Arial" w:hAnsi="Arial"/>
          <w:sz w:val="16"/>
          <w:szCs w:val="16"/>
          <w:u w:val="single" w:color="auto"/>
          <w:color w:val="auto"/>
        </w:rPr>
        <w:t>nominee</w:t>
      </w:r>
      <w:r>
        <w:rPr>
          <w:rFonts w:ascii="Arial" w:cs="Arial" w:eastAsia="Arial" w:hAnsi="Arial"/>
          <w:sz w:val="16"/>
          <w:szCs w:val="16"/>
          <w:color w:val="auto"/>
        </w:rPr>
        <w:t>” shall include any person being considered to fill a vacancy on the Board.</w:t>
      </w:r>
    </w:p>
    <w:p>
      <w:pPr>
        <w:spacing w:after="0" w:line="71" w:lineRule="exact"/>
        <w:rPr>
          <w:rFonts w:ascii="Arial" w:cs="Arial" w:eastAsia="Arial" w:hAnsi="Arial"/>
          <w:sz w:val="16"/>
          <w:szCs w:val="16"/>
          <w:color w:val="auto"/>
        </w:rPr>
      </w:pPr>
    </w:p>
    <w:p>
      <w:pPr>
        <w:ind w:left="4" w:right="40" w:hanging="4"/>
        <w:spacing w:after="0" w:line="275"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w:t>
      </w:r>
    </w:p>
    <w:p>
      <w:pPr>
        <w:sectPr>
          <w:pgSz w:w="11900" w:h="16838" w:orient="portrait"/>
          <w:cols w:equalWidth="0" w:num="1">
            <w:col w:w="11004"/>
          </w:cols>
          <w:pgMar w:left="436" w:top="274" w:right="459" w:bottom="1440" w:gutter="0" w:footer="0" w:header="0"/>
        </w:sectPr>
      </w:pPr>
    </w:p>
    <w:bookmarkStart w:id="11" w:name="page12"/>
    <w:bookmarkEnd w:id="11"/>
    <w:p>
      <w:pPr>
        <w:ind w:left="4"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w:t>
      </w:r>
    </w:p>
    <w:p>
      <w:pPr>
        <w:spacing w:after="0" w:line="2" w:lineRule="exact"/>
        <w:rPr>
          <w:sz w:val="20"/>
          <w:szCs w:val="20"/>
          <w:color w:val="auto"/>
        </w:rPr>
      </w:pPr>
    </w:p>
    <w:p>
      <w:pPr>
        <w:ind w:left="4" w:right="100" w:hanging="4"/>
        <w:spacing w:after="0" w:line="290" w:lineRule="auto"/>
        <w:tabs>
          <w:tab w:leader="none" w:pos="1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64"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4"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58" w:lineRule="exact"/>
        <w:rPr>
          <w:sz w:val="20"/>
          <w:szCs w:val="20"/>
          <w:color w:val="auto"/>
        </w:rPr>
      </w:pPr>
    </w:p>
    <w:p>
      <w:pPr>
        <w:ind w:left="4" w:right="40" w:hanging="4"/>
        <w:spacing w:after="0" w:line="263"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84"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SECTION 6. QUORUM: A majority of the Board then in office shall constitute a quorum at all meetings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ectPr>
          <w:pgSz w:w="11900" w:h="16838" w:orient="portrait"/>
          <w:cols w:equalWidth="0" w:num="1">
            <w:col w:w="11004"/>
          </w:cols>
          <w:pgMar w:left="436" w:top="274" w:right="459" w:bottom="1440" w:gutter="0" w:footer="0" w:header="0"/>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entire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10. COMMITTEES OF THE BOARD OF DIRECTORS: Subject to the rights of Post under the Investor Rights Agreement (so long as such agreement is in effect),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ectPr>
          <w:pgSz w:w="11900" w:h="16838" w:orient="portrait"/>
          <w:cols w:equalWidth="0" w:num="1">
            <w:col w:w="11000"/>
          </w:cols>
          <w:pgMar w:left="440" w:top="274"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TERMS: All officers of the Company shall hold their respective offices until their death, resignation or removal.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SECTION 1. STOCK CERTIFICATES AND UNCERTIFICATED SHARES: (a) The shares of the Company shall be represented by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provide by resolution that some or all of any classes or series of the Company’s capital stock shall be uncertificated shares. Any such resolution shall not apply to shares represented by a certificate until such certificate is surrendered to the Company. Every holder of stock represented by certificates shall be entitled to have a certificate, in any form approved by the Board, signed by any two authorized officers of the Company (it being understood that the Chairperson of the Board, the Chief Executive Officer, the President, any Vice President, the Secretary, any Assistant Secretary, the Treasurer and any Assistant Treasurer shall be an authorized officer for such purpose),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 All certificates of stock of each class and series shall be numbered appropriately.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ectPr>
          <w:pgSz w:w="11900" w:h="16838" w:orient="portrait"/>
          <w:cols w:equalWidth="0" w:num="1">
            <w:col w:w="11000"/>
          </w:cols>
          <w:pgMar w:left="440" w:top="274" w:right="459" w:bottom="1440" w:gutter="0" w:footer="0" w:header="0"/>
        </w:sectPr>
      </w:pPr>
    </w:p>
    <w:bookmarkStart w:id="14" w:name="page15"/>
    <w:bookmarkEnd w:id="1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7"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77" w:lineRule="exact"/>
        <w:rPr>
          <w:sz w:val="20"/>
          <w:szCs w:val="20"/>
          <w:color w:val="auto"/>
        </w:rPr>
      </w:pPr>
    </w:p>
    <w:p>
      <w:pPr>
        <w:ind w:left="4" w:right="80"/>
        <w:spacing w:after="0" w:line="268" w:lineRule="auto"/>
        <w:rPr>
          <w:sz w:val="20"/>
          <w:szCs w:val="20"/>
          <w:color w:val="auto"/>
        </w:rPr>
      </w:pPr>
      <w:r>
        <w:rPr>
          <w:rFonts w:ascii="Arial" w:cs="Arial" w:eastAsia="Arial" w:hAnsi="Arial"/>
          <w:sz w:val="17"/>
          <w:szCs w:val="17"/>
          <w:color w:val="auto"/>
        </w:rPr>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 – SEAL, BOOKS, FISCAL YEAR, AMENDMENT, EXCLUSIVE FORUM</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4"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188" w:lineRule="exact"/>
        <w:rPr>
          <w:sz w:val="20"/>
          <w:szCs w:val="20"/>
          <w:color w:val="auto"/>
        </w:rPr>
      </w:pPr>
    </w:p>
    <w:p>
      <w:pPr>
        <w:ind w:left="4" w:right="160" w:hanging="4"/>
        <w:spacing w:after="0" w:line="275" w:lineRule="auto"/>
        <w:tabs>
          <w:tab w:leader="none" w:pos="2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w:t>
      </w:r>
    </w:p>
    <w:p>
      <w:pPr>
        <w:sectPr>
          <w:pgSz w:w="11900" w:h="16838" w:orient="portrait"/>
          <w:cols w:equalWidth="0" w:num="1">
            <w:col w:w="11024"/>
          </w:cols>
          <w:pgMar w:left="436" w:top="274" w:right="4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4. FISCAL YEAR: The fiscal year of the Company shall commence with the first day of October in each year.</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5. AMENDMENT: A majority of all of the members of the Board may amend, alter, change or repeal any provision of these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SECTION 6. EXCLUSIVE FORUM: Unless the Company consents in writing to the selection of an alternative forum, (a) the Court of Chancery of the State of Delaware (or, if the Court of Chancery does not have subject matter jurisdiction, the federal district court for the State of Delaware) shall, to the fullest extent permitted by law, be the sole and exclusive forum for: (i) any derivative action or proceeding brought on behalf of the Company, (ii) any action asserting a claim for breach of a fiduciary duty owed by any director, officer, employee, or stockholder of the Company to the Company or the Company’s stockholders, (iii) any action asserting a claim arising pursuant to any provision of the General Corporation Law, the Certificate of Incorporation, or these Bylaws (as either may be amended or restated) or as to which the General Corporation Law confers jurisdiction on the Court of Chancery of the State of Delaware, or (iv) any action asserting a claim governed by the internal affairs doctrine and (b) the federal district courts of the United States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Company shall be deemed to have notice of and consented to the provisions of this Section 6 of Article V of these Bylaws.</w:t>
      </w:r>
    </w:p>
    <w:p>
      <w:pPr>
        <w:sectPr>
          <w:pgSz w:w="11900" w:h="16838" w:orient="portrait"/>
          <w:cols w:equalWidth="0" w:num="1">
            <w:col w:w="10980"/>
          </w:cols>
          <w:pgMar w:left="440" w:top="274" w:right="47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(As Amended and Restated </w:t>
      </w:r>
      <w:r>
        <w:rPr>
          <w:rFonts w:ascii="Arial" w:cs="Arial" w:eastAsia="Arial" w:hAnsi="Arial"/>
          <w:sz w:val="18"/>
          <w:szCs w:val="18"/>
          <w:color w:val="FF0000"/>
          <w:strike w:val="1"/>
        </w:rPr>
        <w:t>January 18, 2021</w:t>
      </w:r>
      <w:r>
        <w:rPr>
          <w:rFonts w:ascii="Arial" w:cs="Arial" w:eastAsia="Arial" w:hAnsi="Arial"/>
          <w:sz w:val="18"/>
          <w:szCs w:val="18"/>
          <w:u w:val="single" w:color="auto"/>
          <w:color w:val="0000FF"/>
        </w:rPr>
        <w:t>December 16, 2021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23495</wp:posOffset>
            </wp:positionV>
            <wp:extent cx="8997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 ANNUAL MEETING: The annual meeting of stockholders shall be held at the principal executive office of BellRing Brands, Inc. (the “</w:t>
      </w:r>
      <w:r>
        <w:rPr>
          <w:rFonts w:ascii="Arial" w:cs="Arial" w:eastAsia="Arial" w:hAnsi="Arial"/>
          <w:sz w:val="17"/>
          <w:szCs w:val="17"/>
          <w:u w:val="single" w:color="auto"/>
          <w:color w:val="auto"/>
        </w:rPr>
        <w:t>Company</w:t>
      </w:r>
      <w:r>
        <w:rPr>
          <w:rFonts w:ascii="Arial" w:cs="Arial" w:eastAsia="Arial" w:hAnsi="Arial"/>
          <w:sz w:val="17"/>
          <w:szCs w:val="17"/>
          <w:color w:val="auto"/>
        </w:rPr>
        <w:t>”), or at such other place, if any, either within or without the State of Delaware, or by means of remote communication either solely or in conjunction with a meeting at a physical location, as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 (a) the affirmative vote of a majority of the Board, (b) the Chairperson of the Board, (c) by the Secretary of the Company, on the request of Post Holdings, Inc. and its successors (“</w:t>
      </w:r>
      <w:r>
        <w:rPr>
          <w:rFonts w:ascii="Arial" w:cs="Arial" w:eastAsia="Arial" w:hAnsi="Arial"/>
          <w:sz w:val="16"/>
          <w:szCs w:val="16"/>
          <w:u w:val="single" w:color="auto"/>
          <w:color w:val="auto"/>
        </w:rPr>
        <w:t>Post</w:t>
      </w:r>
      <w:r>
        <w:rPr>
          <w:rFonts w:ascii="Arial" w:cs="Arial" w:eastAsia="Arial" w:hAnsi="Arial"/>
          <w:sz w:val="16"/>
          <w:szCs w:val="16"/>
          <w:color w:val="auto"/>
        </w:rPr>
        <w:t>”), for such a meeting in writing so long as Post and its subsidiaries (other than the Company and its subsidiaries) own of record, in the aggregate, more than 50% of the Nonvoting Common Units of BellRing Brands, LLC, a Delaware limited liability company (as defined in the Amended and Restated Limited Liability Company Agreement of BellRing Brands, LLC, dated as of October 21, 2019, as the same may be amended, restated, supplemented and/or otherwise modified, from time to time) or (d) the President of the Company.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A special meeting of stockholders shall be held at the principal executive office of the Company, or at such other place, if any, either within or without the State of Delaware, or by means of remote communication either solely or in conjunction with a meeting at a physical location, as the Board may from time to time determine. Only such business shall be conducted, and only such proposals shall be acted upon, as is specified in the call of any special meeting of stockholders.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 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ectPr>
          <w:pgSz w:w="11900" w:h="16838" w:orient="portrait"/>
          <w:cols w:equalWidth="0" w:num="1">
            <w:col w:w="11020"/>
          </w:cols>
          <w:pgMar w:left="440" w:top="121" w:right="439" w:bottom="1440" w:gutter="0" w:footer="0" w:header="0"/>
        </w:sectPr>
      </w:pPr>
    </w:p>
    <w:bookmarkStart w:id="17" w:name="page18"/>
    <w:bookmarkEnd w:id="17"/>
    <w:p>
      <w:pPr>
        <w:jc w:val="both"/>
        <w:ind w:left="4" w:right="100" w:hanging="4"/>
        <w:spacing w:after="0" w:line="311" w:lineRule="auto"/>
        <w:tabs>
          <w:tab w:leader="none" w:pos="259"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manner by which notice may otherwise be given effectively to stockholders, any notice to a stockholder given by the Company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148" w:lineRule="exact"/>
        <w:rPr>
          <w:rFonts w:ascii="Arial" w:cs="Arial" w:eastAsia="Arial" w:hAnsi="Arial"/>
          <w:sz w:val="16"/>
          <w:szCs w:val="16"/>
          <w:color w:val="auto"/>
        </w:rPr>
      </w:pPr>
    </w:p>
    <w:p>
      <w:pPr>
        <w:ind w:left="4" w:hanging="4"/>
        <w:spacing w:after="0" w:line="293"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Company’s records.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4"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8"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 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w:t>
      </w:r>
    </w:p>
    <w:p>
      <w:pPr>
        <w:spacing w:after="0" w:line="168"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ectPr>
          <w:pgSz w:w="11900" w:h="16838" w:orient="portrait"/>
          <w:cols w:equalWidth="0" w:num="1">
            <w:col w:w="11004"/>
          </w:cols>
          <w:pgMar w:left="436" w:top="274"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PROXIES: The following shall constitute valid means by which a stockholder may authorize a person to act for the stockholder as a proxy:</w:t>
      </w:r>
    </w:p>
    <w:p>
      <w:pPr>
        <w:spacing w:after="0" w:line="248" w:lineRule="exact"/>
        <w:rPr>
          <w:sz w:val="20"/>
          <w:szCs w:val="20"/>
          <w:color w:val="auto"/>
        </w:rPr>
      </w:pPr>
    </w:p>
    <w:p>
      <w:pPr>
        <w:ind w:left="4" w:right="300" w:hanging="4"/>
        <w:spacing w:after="0" w:line="286" w:lineRule="auto"/>
        <w:tabs>
          <w:tab w:leader="none" w:pos="249"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165" w:lineRule="exact"/>
        <w:rPr>
          <w:rFonts w:ascii="Arial" w:cs="Arial" w:eastAsia="Arial" w:hAnsi="Arial"/>
          <w:sz w:val="17"/>
          <w:szCs w:val="17"/>
          <w:color w:val="auto"/>
        </w:rPr>
      </w:pPr>
    </w:p>
    <w:p>
      <w:pPr>
        <w:ind w:left="4" w:hanging="4"/>
        <w:spacing w:after="0" w:line="272" w:lineRule="auto"/>
        <w:tabs>
          <w:tab w:leader="none" w:pos="2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177" w:lineRule="exact"/>
        <w:rPr>
          <w:rFonts w:ascii="Arial" w:cs="Arial" w:eastAsia="Arial" w:hAnsi="Arial"/>
          <w:sz w:val="17"/>
          <w:szCs w:val="17"/>
          <w:color w:val="auto"/>
        </w:rPr>
      </w:pPr>
    </w:p>
    <w:p>
      <w:pPr>
        <w:ind w:left="4" w:hanging="4"/>
        <w:spacing w:after="0" w:line="277"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 shall be entitled to vote at such meeting and, in the case of any stockholder other than Post, who shall have complied with the notice procedures set forth in this Section 8 of Article I of these Bylaws; clause (iii) shall be the exclusive means for a stockholder, other than Post, to submit such business to be brought before the meeting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to be included in the Company’s notice of meeting before or at an annual meeting of stockholders.</w:t>
      </w:r>
    </w:p>
    <w:p>
      <w:pPr>
        <w:spacing w:after="0" w:line="181" w:lineRule="exact"/>
        <w:rPr>
          <w:sz w:val="20"/>
          <w:szCs w:val="20"/>
          <w:color w:val="auto"/>
        </w:rPr>
      </w:pPr>
    </w:p>
    <w:p>
      <w:pPr>
        <w:ind w:left="4" w:right="80" w:hanging="4"/>
        <w:spacing w:after="0" w:line="277"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170" w:lineRule="exact"/>
        <w:rPr>
          <w:rFonts w:ascii="Arial" w:cs="Arial" w:eastAsia="Arial" w:hAnsi="Arial"/>
          <w:sz w:val="18"/>
          <w:szCs w:val="18"/>
          <w:color w:val="auto"/>
        </w:rPr>
      </w:pPr>
    </w:p>
    <w:p>
      <w:pPr>
        <w:ind w:left="4" w:right="120" w:hanging="4"/>
        <w:spacing w:after="0" w:line="286"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other than Post,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(and for purposes of calculating this date with respect to the first annual meeting after the date shares of capital stock of the Company are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xml:space="preserve">”), the Company shall be deemed to have held an annual meeting on January 24,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173" w:lineRule="exact"/>
        <w:rPr>
          <w:rFonts w:ascii="Arial" w:cs="Arial" w:eastAsia="Arial" w:hAnsi="Arial"/>
          <w:sz w:val="16"/>
          <w:szCs w:val="16"/>
          <w:color w:val="auto"/>
        </w:rPr>
      </w:pPr>
    </w:p>
    <w:p>
      <w:pPr>
        <w:jc w:val="both"/>
        <w:ind w:left="4" w:right="120" w:hanging="4"/>
        <w:spacing w:after="0" w:line="259"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8"/>
          <w:szCs w:val="18"/>
          <w:u w:val="single" w:color="auto"/>
          <w:color w:val="auto"/>
        </w:rPr>
        <w:t>chairperson</w:t>
      </w:r>
      <w:r>
        <w:rPr>
          <w:rFonts w:ascii="Arial" w:cs="Arial" w:eastAsia="Arial" w:hAnsi="Arial"/>
          <w:sz w:val="18"/>
          <w:szCs w:val="18"/>
          <w:color w:val="auto"/>
        </w:rPr>
        <w:t>”) may, if the facts warrant, determine that the proposed business was not properly brought before the meeting in accordance with</w:t>
      </w:r>
    </w:p>
    <w:p>
      <w:pPr>
        <w:sectPr>
          <w:pgSz w:w="11900" w:h="16838" w:orient="portrait"/>
          <w:cols w:equalWidth="0" w:num="1">
            <w:col w:w="11004"/>
          </w:cols>
          <w:pgMar w:left="436" w:top="274" w:right="459" w:bottom="1440" w:gutter="0" w:footer="0" w:header="0"/>
        </w:sectPr>
      </w:pPr>
    </w:p>
    <w:bookmarkStart w:id="19" w:name="page20"/>
    <w:bookmarkEnd w:id="19"/>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w:t>
      </w:r>
    </w:p>
    <w:p>
      <w:pPr>
        <w:spacing w:after="0" w:line="1" w:lineRule="exact"/>
        <w:rPr>
          <w:sz w:val="20"/>
          <w:szCs w:val="20"/>
          <w:color w:val="auto"/>
        </w:rPr>
      </w:pPr>
    </w:p>
    <w:p>
      <w:pPr>
        <w:ind w:left="4" w:right="40" w:hanging="4"/>
        <w:spacing w:after="0" w:line="277" w:lineRule="auto"/>
        <w:tabs>
          <w:tab w:leader="none" w:pos="319" w:val="left"/>
        </w:tabs>
        <w:numPr>
          <w:ilvl w:val="0"/>
          <w:numId w:val="22"/>
        </w:numPr>
        <w:rPr>
          <w:rFonts w:ascii="Arial" w:cs="Arial" w:eastAsia="Arial" w:hAnsi="Arial"/>
          <w:sz w:val="17"/>
          <w:szCs w:val="17"/>
          <w:color w:val="auto"/>
        </w:rPr>
      </w:pPr>
      <w:r>
        <w:rPr>
          <w:rFonts w:ascii="Arial" w:cs="Arial" w:eastAsia="Arial" w:hAnsi="Arial"/>
          <w:sz w:val="17"/>
          <w:szCs w:val="17"/>
          <w:color w:val="auto"/>
        </w:rPr>
        <w:t>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173" w:lineRule="exact"/>
        <w:rPr>
          <w:sz w:val="20"/>
          <w:szCs w:val="20"/>
          <w:color w:val="auto"/>
        </w:rPr>
      </w:pPr>
    </w:p>
    <w:p>
      <w:pPr>
        <w:ind w:left="4" w:right="200" w:hanging="4"/>
        <w:spacing w:after="0" w:line="277"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such business to be properly brought before a meeting, such stockholder’s notice to the Secretary of the Company shall set forth as to each matter he or she proposes to bring before the meeting:</w:t>
      </w:r>
    </w:p>
    <w:p>
      <w:pPr>
        <w:spacing w:after="0" w:line="170" w:lineRule="exact"/>
        <w:rPr>
          <w:sz w:val="20"/>
          <w:szCs w:val="20"/>
          <w:color w:val="auto"/>
        </w:rPr>
      </w:pPr>
    </w:p>
    <w:p>
      <w:pPr>
        <w:jc w:val="both"/>
        <w:ind w:left="4" w:right="160" w:hanging="4"/>
        <w:spacing w:after="0" w:line="279" w:lineRule="auto"/>
        <w:tabs>
          <w:tab w:leader="none" w:pos="21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171" w:lineRule="exact"/>
        <w:rPr>
          <w:rFonts w:ascii="Arial" w:cs="Arial" w:eastAsia="Arial" w:hAnsi="Arial"/>
          <w:sz w:val="17"/>
          <w:szCs w:val="17"/>
          <w:color w:val="auto"/>
        </w:rPr>
      </w:pPr>
    </w:p>
    <w:p>
      <w:pPr>
        <w:ind w:left="4" w:right="320" w:hanging="4"/>
        <w:spacing w:after="0" w:line="277"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name and address of such stockholder and beneficial owner as they appear in the Company’s stockholder records;</w:t>
      </w:r>
    </w:p>
    <w:p>
      <w:pPr>
        <w:spacing w:after="0" w:line="117" w:lineRule="exact"/>
        <w:rPr>
          <w:sz w:val="20"/>
          <w:szCs w:val="20"/>
          <w:color w:val="auto"/>
        </w:rPr>
      </w:pPr>
    </w:p>
    <w:p>
      <w:pPr>
        <w:ind w:left="4" w:right="60"/>
        <w:spacing w:after="0" w:line="283" w:lineRule="auto"/>
        <w:rPr>
          <w:sz w:val="20"/>
          <w:szCs w:val="20"/>
          <w:color w:val="auto"/>
        </w:rPr>
      </w:pPr>
      <w:r>
        <w:rPr>
          <w:rFonts w:ascii="Arial" w:cs="Arial" w:eastAsia="Arial" w:hAnsi="Arial"/>
          <w:sz w:val="16"/>
          <w:szCs w:val="16"/>
          <w:color w:val="auto"/>
        </w:rPr>
        <w:t>b. (1)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 (6)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w:t>
      </w:r>
    </w:p>
    <w:p>
      <w:pPr>
        <w:spacing w:after="0" w:line="1" w:lineRule="exact"/>
        <w:rPr>
          <w:sz w:val="20"/>
          <w:szCs w:val="20"/>
          <w:color w:val="auto"/>
        </w:rPr>
      </w:pPr>
    </w:p>
    <w:p>
      <w:pPr>
        <w:jc w:val="both"/>
        <w:ind w:left="4" w:hanging="4"/>
        <w:spacing w:after="0" w:line="253"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ectPr>
          <w:pgSz w:w="11900" w:h="16838" w:orient="portrait"/>
          <w:cols w:equalWidth="0" w:num="1">
            <w:col w:w="11024"/>
          </w:cols>
          <w:pgMar w:left="436" w:top="274" w:right="439" w:bottom="1440" w:gutter="0" w:footer="0" w:header="0"/>
        </w:sectPr>
      </w:pPr>
    </w:p>
    <w:bookmarkStart w:id="20" w:name="page21"/>
    <w:bookmarkEnd w:id="2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8"/>
          <w:szCs w:val="18"/>
          <w:u w:val="single" w:color="auto"/>
          <w:color w:val="auto"/>
        </w:rPr>
        <w:t>Proposing Stockholder Information</w:t>
      </w:r>
      <w:r>
        <w:rPr>
          <w:rFonts w:ascii="Arial" w:cs="Arial" w:eastAsia="Arial" w:hAnsi="Arial"/>
          <w:sz w:val="18"/>
          <w:szCs w:val="18"/>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188"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170"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8"/>
          <w:szCs w:val="18"/>
          <w:u w:val="single" w:color="auto"/>
          <w:color w:val="auto"/>
        </w:rPr>
        <w:t>group</w:t>
      </w:r>
      <w:r>
        <w:rPr>
          <w:rFonts w:ascii="Arial" w:cs="Arial" w:eastAsia="Arial" w:hAnsi="Arial"/>
          <w:sz w:val="18"/>
          <w:szCs w:val="18"/>
          <w:color w:val="auto"/>
        </w:rPr>
        <w:t>” shall be within the meaning ascribed to such term under Section 13(d)(3) of the Exchange Act.</w:t>
      </w:r>
    </w:p>
    <w:p>
      <w:pPr>
        <w:spacing w:after="0" w:line="187"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6"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192" w:lineRule="exact"/>
        <w:rPr>
          <w:sz w:val="20"/>
          <w:szCs w:val="20"/>
          <w:color w:val="auto"/>
        </w:rPr>
      </w:pPr>
    </w:p>
    <w:p>
      <w:pPr>
        <w:ind w:left="4" w:right="20" w:hanging="4"/>
        <w:spacing w:after="0" w:line="286"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 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167" w:lineRule="exact"/>
        <w:rPr>
          <w:rFonts w:ascii="Arial" w:cs="Arial" w:eastAsia="Arial" w:hAnsi="Arial"/>
          <w:sz w:val="16"/>
          <w:szCs w:val="16"/>
          <w:color w:val="auto"/>
        </w:rPr>
      </w:pPr>
    </w:p>
    <w:p>
      <w:pPr>
        <w:ind w:left="4" w:right="60" w:hanging="4"/>
        <w:spacing w:after="0" w:line="275" w:lineRule="auto"/>
        <w:tabs>
          <w:tab w:leader="none" w:pos="2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Company. In order to be considered a qualified representative of the stockholder for purposes of Section 8 of Article</w:t>
      </w:r>
    </w:p>
    <w:p>
      <w:pPr>
        <w:sectPr>
          <w:pgSz w:w="11900" w:h="16838" w:orient="portrait"/>
          <w:cols w:equalWidth="0" w:num="1">
            <w:col w:w="11024"/>
          </w:cols>
          <w:pgMar w:left="436" w:top="274" w:right="439" w:bottom="1440" w:gutter="0" w:footer="0" w:header="0"/>
        </w:sectPr>
      </w:pPr>
    </w:p>
    <w:bookmarkStart w:id="21" w:name="page22"/>
    <w:bookmarkEnd w:id="21"/>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165" w:lineRule="exact"/>
        <w:rPr>
          <w:sz w:val="20"/>
          <w:szCs w:val="20"/>
          <w:color w:val="auto"/>
        </w:rPr>
      </w:pPr>
    </w:p>
    <w:p>
      <w:pPr>
        <w:ind w:left="4" w:right="60" w:hanging="4"/>
        <w:spacing w:after="0" w:line="272"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 foregoing and the rights of Post under the Investor Rights Agreement dated as of October 21, 2019 between Post and the Company (as the same may be amended, restated, supplemented and/or otherwise modified from time to time,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177" w:lineRule="exact"/>
        <w:rPr>
          <w:rFonts w:ascii="Arial" w:cs="Arial" w:eastAsia="Arial" w:hAnsi="Arial"/>
          <w:sz w:val="17"/>
          <w:szCs w:val="17"/>
          <w:color w:val="auto"/>
        </w:rPr>
      </w:pPr>
    </w:p>
    <w:p>
      <w:pPr>
        <w:ind w:left="4" w:hanging="4"/>
        <w:spacing w:after="0" w:line="254"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director shall hold office until a successor is duly elected and qualified or until the director’s earlier death, resignation, disqualification or removal. With respect to the members of the Board in office on October 21, 2019, the first class of directors shall hold office until the first annual meeting of stockholders following the IPO Date, the second class of directors shall hold office until the second annual meeting of stockholders following the IPO Date, and the third class of directors shall hold office until the third annual meeting of stockholders following the IPO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94" w:lineRule="exact"/>
        <w:rPr>
          <w:rFonts w:ascii="Arial" w:cs="Arial" w:eastAsia="Arial" w:hAnsi="Arial"/>
          <w:sz w:val="18"/>
          <w:szCs w:val="18"/>
          <w:color w:val="auto"/>
        </w:rPr>
      </w:pPr>
    </w:p>
    <w:p>
      <w:pPr>
        <w:ind w:left="4" w:right="20" w:hanging="4"/>
        <w:spacing w:after="0" w:line="268"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 (i) pursuant to the Company’s notice of the meeting (or any supplement thereto), (ii) by or at the direction of the Board or any committee thereof or (iii) 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ectPr>
          <w:pgSz w:w="11900" w:h="16838" w:orient="portrait"/>
          <w:cols w:equalWidth="0" w:num="1">
            <w:col w:w="11024"/>
          </w:cols>
          <w:pgMar w:left="436" w:top="274" w:right="439" w:bottom="1440" w:gutter="0" w:footer="0" w:header="0"/>
        </w:sectPr>
      </w:pPr>
    </w:p>
    <w:bookmarkStart w:id="22" w:name="page23"/>
    <w:bookmarkEnd w:id="22"/>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(and for purposes of calculating this date with respect to the first annual meeting after the IPO Date, the Company shall be deemed to have held an annual meeting on January 24,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2"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10th day following the day on which such public announcement is first made by the Company.</w:t>
      </w:r>
    </w:p>
    <w:p>
      <w:pPr>
        <w:spacing w:after="0" w:line="178" w:lineRule="exact"/>
        <w:rPr>
          <w:sz w:val="20"/>
          <w:szCs w:val="20"/>
          <w:color w:val="auto"/>
        </w:rPr>
      </w:pPr>
    </w:p>
    <w:p>
      <w:pPr>
        <w:ind w:left="4" w:right="460" w:hanging="4"/>
        <w:spacing w:after="0" w:line="277"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197"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225" w:lineRule="exact"/>
        <w:rPr>
          <w:rFonts w:ascii="Arial" w:cs="Arial" w:eastAsia="Arial" w:hAnsi="Arial"/>
          <w:sz w:val="18"/>
          <w:szCs w:val="18"/>
          <w:color w:val="auto"/>
        </w:rPr>
      </w:pPr>
    </w:p>
    <w:p>
      <w:pPr>
        <w:ind w:left="4" w:right="100" w:hanging="4"/>
        <w:spacing w:after="0" w:line="272" w:lineRule="auto"/>
        <w:tabs>
          <w:tab w:leader="none" w:pos="31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177" w:lineRule="exact"/>
        <w:rPr>
          <w:rFonts w:ascii="Arial" w:cs="Arial" w:eastAsia="Arial" w:hAnsi="Arial"/>
          <w:sz w:val="17"/>
          <w:szCs w:val="17"/>
          <w:color w:val="auto"/>
        </w:rPr>
      </w:pPr>
    </w:p>
    <w:p>
      <w:pPr>
        <w:jc w:val="both"/>
        <w:ind w:left="4" w:right="340" w:hanging="4"/>
        <w:spacing w:after="0" w:line="311" w:lineRule="auto"/>
        <w:tabs>
          <w:tab w:leader="none" w:pos="3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175" w:lineRule="exact"/>
        <w:rPr>
          <w:rFonts w:ascii="Arial" w:cs="Arial" w:eastAsia="Arial" w:hAnsi="Arial"/>
          <w:sz w:val="16"/>
          <w:szCs w:val="16"/>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ectPr>
          <w:pgSz w:w="11900" w:h="16838" w:orient="portrait"/>
          <w:cols w:equalWidth="0" w:num="1">
            <w:col w:w="11024"/>
          </w:cols>
          <w:pgMar w:left="436" w:top="274" w:right="439" w:bottom="1440" w:gutter="0" w:footer="0" w:header="0"/>
        </w:sectPr>
      </w:pPr>
    </w:p>
    <w:bookmarkStart w:id="23" w:name="page24"/>
    <w:bookmarkEnd w:id="23"/>
    <w:p>
      <w:pPr>
        <w:ind w:left="4" w:right="460" w:hanging="4"/>
        <w:spacing w:after="0" w:line="263" w:lineRule="auto"/>
        <w:tabs>
          <w:tab w:leader="none" w:pos="309"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84" w:lineRule="exact"/>
        <w:rPr>
          <w:sz w:val="20"/>
          <w:szCs w:val="20"/>
          <w:color w:val="auto"/>
        </w:rPr>
      </w:pPr>
    </w:p>
    <w:p>
      <w:pPr>
        <w:ind w:left="4" w:right="760" w:hanging="4"/>
        <w:spacing w:after="0" w:line="277" w:lineRule="auto"/>
        <w:tabs>
          <w:tab w:leader="none" w:pos="2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197"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and address of such stockholder and beneficial owner, as they appear in the Company’s stockholder records;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225" w:lineRule="exact"/>
        <w:rPr>
          <w:rFonts w:ascii="Arial" w:cs="Arial" w:eastAsia="Arial" w:hAnsi="Arial"/>
          <w:sz w:val="18"/>
          <w:szCs w:val="18"/>
          <w:color w:val="auto"/>
        </w:rPr>
      </w:pPr>
    </w:p>
    <w:p>
      <w:pPr>
        <w:ind w:left="4" w:right="440" w:hanging="4"/>
        <w:spacing w:after="0" w:line="277"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shares of the Company, is entitled to vote at such meeting and intends to appear in person or by proxy at the meeting to nominate the person or persons specified in the notice;</w:t>
      </w:r>
    </w:p>
    <w:p>
      <w:pPr>
        <w:spacing w:after="0" w:line="170" w:lineRule="exact"/>
        <w:rPr>
          <w:rFonts w:ascii="Arial" w:cs="Arial" w:eastAsia="Arial" w:hAnsi="Arial"/>
          <w:sz w:val="18"/>
          <w:szCs w:val="18"/>
          <w:color w:val="auto"/>
        </w:rPr>
      </w:pPr>
    </w:p>
    <w:p>
      <w:pPr>
        <w:ind w:left="304" w:hanging="304"/>
        <w:spacing w:after="0"/>
        <w:tabs>
          <w:tab w:leader="none" w:pos="3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or beneficial owner that would be required to be disclosed in a proxy statement or other filing</w:t>
      </w:r>
    </w:p>
    <w:p>
      <w:pPr>
        <w:spacing w:after="0" w:line="46"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required to be made in connection with the solicitation of proxies for the election of directors in a contested election, or is otherwise required pursuant to Section 14 of the Exchange Act and the rules and regulations thereunder; and</w:t>
      </w:r>
    </w:p>
    <w:p>
      <w:pPr>
        <w:spacing w:after="0" w:line="185" w:lineRule="exact"/>
        <w:rPr>
          <w:rFonts w:ascii="Arial" w:cs="Arial" w:eastAsia="Arial" w:hAnsi="Arial"/>
          <w:sz w:val="16"/>
          <w:szCs w:val="16"/>
          <w:color w:val="auto"/>
        </w:rPr>
      </w:pPr>
    </w:p>
    <w:p>
      <w:pPr>
        <w:ind w:left="4" w:right="60" w:hanging="4"/>
        <w:spacing w:after="0" w:line="286"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165" w:lineRule="exact"/>
        <w:rPr>
          <w:sz w:val="20"/>
          <w:szCs w:val="20"/>
          <w:color w:val="auto"/>
        </w:rPr>
      </w:pPr>
    </w:p>
    <w:p>
      <w:pPr>
        <w:ind w:left="4" w:hanging="4"/>
        <w:spacing w:after="0" w:line="284"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 Section 1(g) of Article II of these Bylaws a “</w:t>
      </w:r>
      <w:r>
        <w:rPr>
          <w:rFonts w:ascii="Arial" w:cs="Arial" w:eastAsia="Arial" w:hAnsi="Arial"/>
          <w:sz w:val="16"/>
          <w:szCs w:val="16"/>
          <w:u w:val="single" w:color="auto"/>
          <w:color w:val="auto"/>
        </w:rPr>
        <w:t>nominee</w:t>
      </w:r>
      <w:r>
        <w:rPr>
          <w:rFonts w:ascii="Arial" w:cs="Arial" w:eastAsia="Arial" w:hAnsi="Arial"/>
          <w:sz w:val="16"/>
          <w:szCs w:val="16"/>
          <w:color w:val="auto"/>
        </w:rPr>
        <w:t>” shall include any person being considered to fill a vacancy on the Board.</w:t>
      </w:r>
    </w:p>
    <w:p>
      <w:pPr>
        <w:spacing w:after="0" w:line="179" w:lineRule="exact"/>
        <w:rPr>
          <w:rFonts w:ascii="Arial" w:cs="Arial" w:eastAsia="Arial" w:hAnsi="Arial"/>
          <w:sz w:val="16"/>
          <w:szCs w:val="16"/>
          <w:color w:val="auto"/>
        </w:rPr>
      </w:pPr>
    </w:p>
    <w:p>
      <w:pPr>
        <w:ind w:left="4" w:right="40" w:hanging="4"/>
        <w:spacing w:after="0" w:line="275" w:lineRule="auto"/>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w:t>
      </w:r>
    </w:p>
    <w:p>
      <w:pPr>
        <w:sectPr>
          <w:pgSz w:w="11900" w:h="16838" w:orient="portrait"/>
          <w:cols w:equalWidth="0" w:num="1">
            <w:col w:w="11004"/>
          </w:cols>
          <w:pgMar w:left="436" w:top="274" w:right="459" w:bottom="1440" w:gutter="0" w:footer="0" w:header="0"/>
        </w:sectPr>
      </w:pPr>
    </w:p>
    <w:bookmarkStart w:id="24" w:name="page25"/>
    <w:bookmarkEnd w:id="24"/>
    <w:p>
      <w:pPr>
        <w:ind w:left="4"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w:t>
      </w:r>
    </w:p>
    <w:p>
      <w:pPr>
        <w:spacing w:after="0" w:line="2" w:lineRule="exact"/>
        <w:rPr>
          <w:sz w:val="20"/>
          <w:szCs w:val="20"/>
          <w:color w:val="auto"/>
        </w:rPr>
      </w:pPr>
    </w:p>
    <w:p>
      <w:pPr>
        <w:ind w:left="4" w:right="100" w:hanging="4"/>
        <w:spacing w:after="0" w:line="290" w:lineRule="auto"/>
        <w:tabs>
          <w:tab w:leader="none" w:pos="1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64"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4"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166" w:lineRule="exact"/>
        <w:rPr>
          <w:sz w:val="20"/>
          <w:szCs w:val="20"/>
          <w:color w:val="auto"/>
        </w:rPr>
      </w:pPr>
    </w:p>
    <w:p>
      <w:pPr>
        <w:ind w:left="4" w:right="40" w:hanging="4"/>
        <w:spacing w:after="0" w:line="263"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84"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SECTION 6. QUORUM: A majority of the Board then in office shall constitute a quorum at all meetings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ectPr>
          <w:pgSz w:w="11900" w:h="16838" w:orient="portrait"/>
          <w:cols w:equalWidth="0" w:num="1">
            <w:col w:w="11004"/>
          </w:cols>
          <w:pgMar w:left="436" w:top="274" w:right="45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entire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10. COMMITTEES OF THE BOARD OF DIRECTORS: Subject to the rights of Post under the Investor Rights Agreement (so long as such agreement is in effect),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ectPr>
          <w:pgSz w:w="11900" w:h="16838" w:orient="portrait"/>
          <w:cols w:equalWidth="0" w:num="1">
            <w:col w:w="11000"/>
          </w:cols>
          <w:pgMar w:left="440" w:top="274" w:right="459" w:bottom="1440" w:gutter="0" w:footer="0" w:header="0"/>
        </w:sectPr>
      </w:pPr>
    </w:p>
    <w:bookmarkStart w:id="26" w:name="page27"/>
    <w:bookmarkEnd w:id="2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 – OFFICERS</w:t>
      </w:r>
    </w:p>
    <w:p>
      <w:pPr>
        <w:spacing w:after="0" w:line="225"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2. TERMS: All officers of the Company shall hold their respective offices until their death, resignation or removal.</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 xml:space="preserve">SECTION 1. STOCK CERTIFICATES AND UNCERTIFICATED SHARES: (a) The shares of the Company shall be represented by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provide by resolution that some or all of any classes or series of the Company’s capital stock shall be uncertificated shares. Any such resolution shall not apply to shares represented by a certificate until such certificate is surrendered to the Company. Every holder of stock represented by certificates shall be entitled to have a certificate, in any form approved by the Board, signed by any two authorized officers of the Company (it being understood that the Chairperson of the Board, the Chief Executive Officer, the President, any Vice President, the Secretary, any Assistant Secretary, the Treasurer and any Assistant Treasurer shall be an authorized officer for such purpose),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73"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certificates of stock of each class and series shall be numbered appropriately.</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ectPr>
          <w:pgSz w:w="11900" w:h="16838" w:orient="portrait"/>
          <w:cols w:equalWidth="0" w:num="1">
            <w:col w:w="11004"/>
          </w:cols>
          <w:pgMar w:left="436" w:top="274" w:right="459" w:bottom="1440" w:gutter="0" w:footer="0" w:header="0"/>
        </w:sectPr>
      </w:pPr>
    </w:p>
    <w:bookmarkStart w:id="27" w:name="page28"/>
    <w:bookmarkEnd w:id="2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7"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77" w:lineRule="exact"/>
        <w:rPr>
          <w:sz w:val="20"/>
          <w:szCs w:val="20"/>
          <w:color w:val="auto"/>
        </w:rPr>
      </w:pPr>
    </w:p>
    <w:p>
      <w:pPr>
        <w:ind w:left="4" w:right="80"/>
        <w:spacing w:after="0" w:line="268" w:lineRule="auto"/>
        <w:rPr>
          <w:sz w:val="20"/>
          <w:szCs w:val="20"/>
          <w:color w:val="auto"/>
        </w:rPr>
      </w:pPr>
      <w:r>
        <w:rPr>
          <w:rFonts w:ascii="Arial" w:cs="Arial" w:eastAsia="Arial" w:hAnsi="Arial"/>
          <w:sz w:val="17"/>
          <w:szCs w:val="17"/>
          <w:color w:val="auto"/>
        </w:rPr>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 – SEAL, BOOKS, FISCAL YEAR, AMENDMENT</w:t>
      </w:r>
      <w:r>
        <w:rPr>
          <w:rFonts w:ascii="Arial" w:cs="Arial" w:eastAsia="Arial" w:hAnsi="Arial"/>
          <w:sz w:val="18"/>
          <w:szCs w:val="18"/>
          <w:u w:val="single" w:color="auto"/>
          <w:color w:val="0000FF"/>
        </w:rPr>
        <w:t>, 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23495</wp:posOffset>
            </wp:positionV>
            <wp:extent cx="1131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4"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188" w:lineRule="exact"/>
        <w:rPr>
          <w:sz w:val="20"/>
          <w:szCs w:val="20"/>
          <w:color w:val="auto"/>
        </w:rPr>
      </w:pPr>
    </w:p>
    <w:p>
      <w:pPr>
        <w:ind w:left="4" w:right="160" w:hanging="4"/>
        <w:spacing w:after="0" w:line="275"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w:t>
      </w:r>
    </w:p>
    <w:p>
      <w:pPr>
        <w:sectPr>
          <w:pgSz w:w="11900" w:h="16838" w:orient="portrait"/>
          <w:cols w:equalWidth="0" w:num="1">
            <w:col w:w="11024"/>
          </w:cols>
          <w:pgMar w:left="436" w:top="274" w:right="4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4. FISCAL YEAR: The fiscal year of the Company shall commence with the first day of October in each year.</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5. AMENDMENT: A majority of all of the members of the Board may amend, alter, change or repeal any provision of these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0000FF"/>
        </w:rPr>
        <w:t>SECTION 6. EXCLUSIVE FORUM: Unless the Company consents in writing to the selection of an alternative forum, (a) the Court of Chancery of the State of Delaware (or, if the Court of Chancery does not have subject matter jurisdiction, the federal district court for the State of Delaware) shall, to the fullest extent permitted by law, be the sole and exclusive forum for: (i) any derivative action or proceeding brought on behalf of the Company, (ii) any action asserting a claim for breach of a fiduciary duty owed by any director, officer, employee, or stockholder of the Company to the Company or the Company’s stockholders, (iii) any action asserting a claim arising pursuant to any provision of the General Corporation Law, the Certificate of Incorporation, or these Bylaws (as either may be amended or restated) or as to which the General Corporation Law confers jurisdiction on the Court of Chancery of the State of Delaware, or (iv) any action asserting a claim governed by the internal affairs doctrine and (b) the federal district courts of the United States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Company shall be deemed to have notice of and consented to the provisions of this Section 6 of Article V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-1374775</wp:posOffset>
            </wp:positionV>
            <wp:extent cx="6926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-1237615</wp:posOffset>
            </wp:positionV>
            <wp:extent cx="6951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-1100455</wp:posOffset>
            </wp:positionV>
            <wp:extent cx="685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-963295</wp:posOffset>
            </wp:positionV>
            <wp:extent cx="6823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-826135</wp:posOffset>
            </wp:positionV>
            <wp:extent cx="6506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-688975</wp:posOffset>
            </wp:positionV>
            <wp:extent cx="6892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-551815</wp:posOffset>
            </wp:positionV>
            <wp:extent cx="6900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6943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-277495</wp:posOffset>
            </wp:positionV>
            <wp:extent cx="6926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-140335</wp:posOffset>
            </wp:positionV>
            <wp:extent cx="6755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1800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2"/>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2"/>
    </w:lvl>
  </w:abstractNum>
  <w:abstractNum w:abstractNumId="4">
    <w:nsid w:val="628C895D"/>
    <w:multiLevelType w:val="hybridMultilevel"/>
    <w:lvl w:ilvl="0">
      <w:lvlJc w:val="left"/>
      <w:lvlText w:val="(%1)"/>
      <w:numFmt w:val="lowerRoman"/>
      <w:start w:val="3"/>
    </w:lvl>
  </w:abstractNum>
  <w:abstractNum w:abstractNumId="5">
    <w:nsid w:val="333AB105"/>
    <w:multiLevelType w:val="hybridMultilevel"/>
    <w:lvl w:ilvl="0">
      <w:lvlJc w:val="left"/>
      <w:lvlText w:val="(%1)"/>
      <w:numFmt w:val="lowerLetter"/>
      <w:start w:val="5"/>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1)"/>
      <w:numFmt w:val="decimal"/>
      <w:start w:val="7"/>
    </w:lvl>
  </w:abstractNum>
  <w:abstractNum w:abstractNumId="8">
    <w:nsid w:val="2D1D5AE9"/>
    <w:multiLevelType w:val="hybridMultilevel"/>
    <w:lvl w:ilvl="0">
      <w:lvlJc w:val="left"/>
      <w:lvlText w:val="(%1)"/>
      <w:numFmt w:val="lowerLetter"/>
      <w:start w:val="2"/>
    </w:lvl>
  </w:abstractNum>
  <w:abstractNum w:abstractNumId="9">
    <w:nsid w:val="6763845E"/>
    <w:multiLevelType w:val="hybridMultilevel"/>
    <w:lvl w:ilvl="0">
      <w:lvlJc w:val="left"/>
      <w:lvlText w:val="(%1)"/>
      <w:numFmt w:val="lowerLetter"/>
      <w:start w:val="2"/>
    </w:lvl>
  </w:abstractNum>
  <w:abstractNum w:abstractNumId="10">
    <w:nsid w:val="75A2A8D4"/>
    <w:multiLevelType w:val="hybridMultilevel"/>
    <w:lvl w:ilvl="0">
      <w:lvlJc w:val="left"/>
      <w:lvlText w:val="(%1)"/>
      <w:numFmt w:val="lowerLetter"/>
      <w:start w:val="5"/>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lowerLetter"/>
      <w:start w:val="6"/>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1)"/>
      <w:numFmt w:val="lowerLetter"/>
      <w:start w:val="7"/>
    </w:lvl>
  </w:abstractNum>
  <w:abstractNum w:abstractNumId="15">
    <w:nsid w:val="189A769B"/>
    <w:multiLevelType w:val="hybridMultilevel"/>
    <w:lvl w:ilvl="0">
      <w:lvlJc w:val="left"/>
      <w:lvlText w:val="%1"/>
      <w:numFmt w:val="upperLetter"/>
      <w:start w:val="35"/>
    </w:lvl>
  </w:abstractNum>
  <w:abstractNum w:abstractNumId="16">
    <w:nsid w:val="54E49EB4"/>
    <w:multiLevelType w:val="hybridMultilevel"/>
    <w:lvl w:ilvl="0">
      <w:lvlJc w:val="left"/>
      <w:lvlText w:val="(%1)"/>
      <w:numFmt w:val="lowerLetter"/>
      <w:start w:val="2"/>
    </w:lvl>
  </w:abstractNum>
  <w:abstractNum w:abstractNumId="17">
    <w:nsid w:val="71F32454"/>
    <w:multiLevelType w:val="hybridMultilevel"/>
    <w:lvl w:ilvl="0">
      <w:lvlJc w:val="left"/>
      <w:lvlText w:val="(%1)"/>
      <w:numFmt w:val="lowerLetter"/>
      <w:start w:val="2"/>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Roman"/>
      <w:start w:val="3"/>
    </w:lvl>
  </w:abstractNum>
  <w:abstractNum w:abstractNumId="22">
    <w:nsid w:val="8138641"/>
    <w:multiLevelType w:val="hybridMultilevel"/>
    <w:lvl w:ilvl="0">
      <w:lvlJc w:val="left"/>
      <w:lvlText w:val="(%1)"/>
      <w:numFmt w:val="lowerLetter"/>
      <w:start w:val="5"/>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decimal"/>
      <w:start w:val="7"/>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lowerLetter"/>
      <w:start w:val="5"/>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Roman"/>
      <w:start w:val="6"/>
    </w:lvl>
  </w:abstractNum>
  <w:abstractNum w:abstractNumId="30">
    <w:nsid w:val="614FD4A1"/>
    <w:multiLevelType w:val="hybridMultilevel"/>
    <w:lvl w:ilvl="0">
      <w:lvlJc w:val="left"/>
      <w:lvlText w:val="(%1)"/>
      <w:numFmt w:val="lowerLetter"/>
      <w:start w:val="6"/>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upperLetter"/>
      <w:start w:val="35"/>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2021-12-17T05:32:28Z</dcterms:created>
  <dcterms:modified xsi:type="dcterms:W3CDTF">2021-12-17T05:32:28Z</dcterms:modified>
</cp:coreProperties>
</file>