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DAVENPORT DARCY HORN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BELLRING BRANDS,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N BRENTWOOD BLVD., SUITE 1550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BELLRING BRANDS,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BRBR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12/01/2025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45"/>
        <w:spacing w:after="0"/>
        <w:rPr>
          <w:sz w:val="20"/>
          <w:szCs w:val="20"/>
          <w:color w:val="auto"/>
        </w:rPr>
      </w:pPr>
      <w:r>
        <w:rPr>
          <w:rFonts w:ascii="Times New Roman" w:cs="Times New Roman" w:eastAsia="Times New Roman" w:hAnsi="Times New Roman"/>
          <w:sz w:val="17"/>
          <w:szCs w:val="17"/>
          <w:color w:val="0000FF"/>
        </w:rPr>
        <w:t>PRES. AND CEO</w:t>
      </w:r>
    </w:p>
    <w:p>
      <w:pPr>
        <w:spacing w:after="0" w:line="422" w:lineRule="exact"/>
        <w:rPr>
          <w:sz w:val="24"/>
          <w:szCs w:val="24"/>
          <w:color w:val="auto"/>
        </w:rPr>
      </w:pPr>
    </w:p>
    <w:p>
      <w:pPr>
        <w:sectPr>
          <w:pgSz w:w="11900" w:h="16838" w:orient="portrait"/>
          <w:cols w:equalWidth="0" w:num="3">
            <w:col w:w="3200" w:space="720"/>
            <w:col w:w="3260" w:space="5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4"/>
                <w:szCs w:val="14"/>
                <w:color w:val="auto"/>
              </w:rPr>
            </w:pPr>
          </w:p>
        </w:tc>
        <w:tc>
          <w:tcPr>
            <w:tcW w:w="3540" w:type="dxa"/>
            <w:vAlign w:val="bottom"/>
            <w:gridSpan w:val="9"/>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ST. LOUIS</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MO</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63105</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12/01/2025</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6"/>
              </w:rPr>
              <w:t>293,295</w:t>
            </w:r>
            <w:r>
              <w:rPr>
                <w:rFonts w:ascii="Times New Roman" w:cs="Times New Roman" w:eastAsia="Times New Roman" w:hAnsi="Times New Roman"/>
                <w:sz w:val="22"/>
                <w:szCs w:val="22"/>
                <w:color w:val="008000"/>
                <w:w w:val="96"/>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529,676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12/01/2025</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w w:val="82"/>
              </w:rPr>
              <w:t>F</w:t>
            </w: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6"/>
              </w:rPr>
              <w:t>157,060</w:t>
            </w:r>
            <w:r>
              <w:rPr>
                <w:rFonts w:ascii="Times New Roman" w:cs="Times New Roman" w:eastAsia="Times New Roman" w:hAnsi="Times New Roman"/>
                <w:sz w:val="22"/>
                <w:szCs w:val="22"/>
                <w:color w:val="008000"/>
                <w:w w:val="96"/>
                <w:vertAlign w:val="superscript"/>
              </w:rPr>
              <w:t>(2)</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30.89</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372,616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Acquisition of shares pursuant to Rule 16b-3 upon payout of earned performance share award (PRSUs) under stockholder-approved equity plan. The payout was based on the level of achievement of the performance goal of relative total shareholder return percentile rank for the performance period November 11, 2022 through November 10, 2025.</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Surrender of shares in payment of tax withholding due as a result of the vesting of 293,295 PRSUs in accordance with Rule 16b-3.</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Craig L. Rosenthal,</w:t>
            </w:r>
          </w:p>
        </w:tc>
        <w:tc>
          <w:tcPr>
            <w:tcW w:w="5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12/03/2025</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 in 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90322" TargetMode="External"/><Relationship Id="rId14"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2025-12-03T15:55:57Z</dcterms:created>
  <dcterms:modified xsi:type="dcterms:W3CDTF">2025-12-03T15:55:57Z</dcterms:modified>
</cp:coreProperties>
</file>