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32747300.xml.htm"/>
      <w:bookmarkStart w:id="1" w:name="kswkform4_17327473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ROSENTHAL CRAIG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BELLRING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2503 S. HANLEY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BELLRING BRANDS, INC.</w:t>
              </w:r>
            </w:hyperlink>
            <w:r>
              <w:rPr/>
              <w:t xml:space="preserve"> [ </w:t>
            </w:r>
            <w:r>
              <w:rPr>
                <w:rFonts w:ascii="Times;serif" w:hAnsi="Times;serif"/>
                <w:color w:val="0000FF"/>
                <w:sz w:val="24"/>
                <w:shd w:fill="FFFFFF" w:val="clear"/>
              </w:rPr>
              <w:t>BRBR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CLO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21,086</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51,579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9,310</w:t>
            </w:r>
            <w:r>
              <w:rPr>
                <w:rFonts w:ascii="Times;serif" w:hAnsi="Times;serif"/>
                <w:color w:val="008000"/>
                <w:position w:val="7"/>
                <w:sz w:val="16"/>
                <w:sz w:val="20"/>
                <w:shd w:fill="FFFFFF" w:val="clear"/>
              </w:rPr>
              <w:t>(2)</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78.6</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42,269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32,492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2012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Acquisition of shares pursuant to Rule 16b-3 upon payout of earned performance share award (PRSUs) under stockholder-approved equity plan. The payout was based on the level of achievement of the performance goal of relative total shareholder return percentile rank for the performance period November 11, 2021 through November 10,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Surrender of shares in payment of tax withholding due as a result of the vesting of 21,086 PRSUs in accordance with Rule 16b-3.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Craig L. Rosenthal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0252" TargetMode="External"/><Relationship Id="rId5" Type="http://schemas.openxmlformats.org/officeDocument/2006/relationships/hyperlink" Target="http://www.sec.gov/cgi-bin/browse-edgar?action=getcompany&amp;CIK=0001772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3527</Characters>
  <CharactersWithSpaces>4112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