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DAVENPORT DARCY HORN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PRES.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33,683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27.61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236,381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Common Stock of Issuer. The restricted stock units were granted under the BellRing Brands, Inc. 2019 Long-Term Incentive Plan in a transaction exempt under Rule 16b-3 and vest in equal annual installments over three years subject to the terms of the award agreement.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0322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2025-11-14T17:12:14Z</dcterms:created>
  <dcterms:modified xsi:type="dcterms:W3CDTF">2025-11-14T17:12:14Z</dcterms:modified>
</cp:coreProperties>
</file>