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1 N Brentwood Blvd., Suite 1550</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63105</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644-7652</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On May 5, 2026, BellRing Brands, Inc. (the "Company") issued a press release announcing results for its second fiscal quarter ended March 31, 2026.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May 5, 2026, the Company published to the "Investor Relations" section of its website, www.bellringbrands.com, a supplemental presentation related to results for its second fiscal quarter ended March 31, 2026.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2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Earnings Press Release dated May 5, 2026</w:t>
            </w:r>
          </w:p>
        </w:tc>
        <w:tc>
          <w:tcPr>
            <w:tcW w:w="700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Second Fiscal Quarter Ended March 31, 2026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May 5, 2026</w:t>
            </w:r>
          </w:p>
        </w:tc>
        <w:tc>
          <w:tcPr>
            <w:tcW w:w="78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20" w:type="dxa"/>
            <w:vAlign w:val="bottom"/>
          </w:tcPr>
          <w:p>
            <w:pPr>
              <w:spacing w:after="0"/>
              <w:rPr>
                <w:sz w:val="19"/>
                <w:szCs w:val="19"/>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20" w:type="dxa"/>
            <w:vAlign w:val="bottom"/>
          </w:tcPr>
          <w:p>
            <w:pPr>
              <w:spacing w:after="0"/>
              <w:rPr>
                <w:sz w:val="24"/>
                <w:szCs w:val="24"/>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20" w:type="dxa"/>
            <w:vAlign w:val="bottom"/>
          </w:tcPr>
          <w:p>
            <w:pPr>
              <w:spacing w:after="0"/>
              <w:rPr>
                <w:sz w:val="17"/>
                <w:szCs w:val="17"/>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20" w:type="dxa"/>
            <w:vAlign w:val="bottom"/>
          </w:tcPr>
          <w:p>
            <w:pPr>
              <w:spacing w:after="0"/>
              <w:rPr>
                <w:sz w:val="13"/>
                <w:szCs w:val="13"/>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Second Quarter of Fiscal Year 2026; Updates Fiscal Year 2026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May 5, 2026 </w:t>
      </w:r>
      <w:r>
        <w:rPr>
          <w:rFonts w:ascii="Times New Roman" w:cs="Times New Roman" w:eastAsia="Times New Roman" w:hAnsi="Times New Roman"/>
          <w:sz w:val="12"/>
          <w:szCs w:val="12"/>
          <w:color w:val="auto"/>
        </w:rPr>
        <w:t>- BellRing Brands, Inc. (NYSE:BRBR) (“BellRing”), a holding company operating in the global proactive wellness category, today reported results for the second fiscal quarter ended March 31,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Second quarter net sales of $598.7 million, up 2% year-over-year</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$66.0 million, net earnings of $33.9 million and Adjusted EBITDA* of $53.8 million, each of which were impacted by a pre-tax $11 million inventory-related charge</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Updated fiscal year 2026 net sales outlook of $2.325-$2.365 billion and Adjusted EBITDA* outlook of $315-$335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 xml:space="preserve">“We are disappointed in our second quarter results. Heightened consumer price sensitivity together with a sustained promotional environment adversely impacted our sales mix. This unfavorable mix, along with higher freight costs and an inventory-related charge significantly pressured our margins. Even in this backdrop,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brand metrics remain strong, evidenced by volume growth, strong brand equity scores and increases in household penetration. Looking ahead, we’re making the deliberate choice to continue investing to support our long-term growth. Our revised guidance incorporates promotional and consumer headwinds through the balance of the year, along with incremental inflation on protein and freight, while investing in advertising. While the current environment remains challenging, our category remains healthy and we are taking action to improve our long-term financial performance,” said Darcy Davenport, President and Chief Executive Officer of BellRing Brands.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Consumption Trends</w:t>
      </w:r>
    </w:p>
    <w:p>
      <w:pPr>
        <w:spacing w:after="0" w:line="1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and RTD products increased 2.9%, 3.1% and 6.0%, respectively, in the 13-week period ended March 29, 2026, as compared to the same period in 2025 (inclusive of Circana United States (“U.S.”) Multi Outlet Plus with Convenience and management estimates of untracked channels). For additional information regarding consumption metrics, see the supplemental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$598.7 million, an increase of 1.8%, or $10.7 million, compared to the prior year period, driven by 10.8% increase in volume and 9.0% decrease in price/mix.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 xml:space="preserve">Premier Protein </w:t>
      </w:r>
      <w:r>
        <w:rPr>
          <w:rFonts w:ascii="Times New Roman" w:cs="Times New Roman" w:eastAsia="Times New Roman" w:hAnsi="Times New Roman"/>
          <w:sz w:val="11"/>
          <w:szCs w:val="11"/>
          <w:color w:val="auto"/>
        </w:rPr>
        <w:t>net sales increased 1.7%, driven by 11.3% increase in volume and 9.6% decrease in price/mix.</w:t>
      </w:r>
      <w:r>
        <w:rPr>
          <w:rFonts w:ascii="Times New Roman" w:cs="Times New Roman" w:eastAsia="Times New Roman" w:hAnsi="Times New Roman"/>
          <w:sz w:val="11"/>
          <w:szCs w:val="11"/>
          <w:i w:val="1"/>
          <w:iCs w:val="1"/>
          <w:color w:val="auto"/>
        </w:rPr>
        <w:t xml:space="preserve"> Premier Protein </w:t>
      </w:r>
      <w:r>
        <w:rPr>
          <w:rFonts w:ascii="Times New Roman" w:cs="Times New Roman" w:eastAsia="Times New Roman" w:hAnsi="Times New Roman"/>
          <w:sz w:val="11"/>
          <w:szCs w:val="11"/>
          <w:color w:val="auto"/>
        </w:rPr>
        <w:t>RTD shake net sales increased 2.3%, driven by 11.7% increase in volume and 9.4% decrease in price/mix.</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Volume gains were driven by increased promotional activity and distribution gains. Price/mix was negatively impacted by incremental promotional investment and unfavorable mix.</w:t>
      </w:r>
    </w:p>
    <w:p>
      <w:pPr>
        <w:spacing w:after="0" w:line="10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decreased 1.9%, driven by 6.8% decrease in volume, which was partly offset by 4.9% increase in price/mix. Net sales benefited from higher average net selling prices, with volumes impacted by elasticities due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inflation-driven price increases.</w:t>
      </w:r>
    </w:p>
    <w:p>
      <w:pPr>
        <w:spacing w:after="0" w:line="7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Gross profit was $161.7 million, or 27.0% of net sales, a decrease of $28.1 million, compared to $189.8 million, or 32.3% of net sales, in the prior year period. Adjusted gross profit* was $136.0 million, or 22.7% of net sales, a decrease of $66.7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compared to $202.7 million, or 34.5% of net sales in the prior year period. In the second quarter of 2026, gross profit and adjusted gross profit were impacted by significant input cost inflation (inclusive of tariffs), unfavorable price/mix and higher freight. In addition, gross profit and adjusted gross profit were impacted by an $11.3 million inventory-related charge associated with a third-party supplied ingredient that did not meet BellRing’s quality standards, with none of the finished goods released to customers; this represented a 190 unfavorable basis point impact to gross profit margin and adjusted gross profit margin.</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93"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 xml:space="preserve">Selling, general and administrative (“SG&amp;A”) expenses were $91.5 million, or 15.3% of net sales, an increase of $1.0 million compared to $90.5 million, or 15.4% of net sales, in the prior year period. Marketing and consumer advertising expenses were $36.3 million, an increase of $8.7 million compared to the prior year period, driven by increased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spend.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$66.0 million, a decrease of $29.1 million, compared to $95.1 million in the prior year period driven by lower gross profit.</w:t>
      </w:r>
    </w:p>
    <w:p>
      <w:pPr>
        <w:spacing w:after="0" w:line="11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Interest expense, net was $20.1 million and $16.5 million in the second quarter of 2026 and 2025, respectively, with the increase primarily driven by higher outstanding borrowings under BellRing’s revolving credit facility. Income tax expense was $12.0 million in the second quarter of 2026 compared to $19.9 million in the second quarter of 2025. The effective income tax rate was 26.1% and 25.3% in the second quarter of 2026 and 2025, respectively.</w:t>
      </w:r>
    </w:p>
    <w:p>
      <w:pPr>
        <w:spacing w:after="0" w:line="7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Net earnings were $33.9 million, a decrease of $24.8 million, compared to $58.7 million in the prior year period, and were impacted by the current year $11.3 million inventory-related charge. Net earnings per diluted common share were $0.29 compared to $0.45 in the prior year period. Adjusted net earnings* were $16.3 million, a decrease of $52.4 million, compared to $68.7 million in the prior year period. Adjusted diluted earnings per common share* were $0.14 compared to $0.53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$53.8 million, a decrease of $64.8 million, compared to $118.6 million in the prior year period, and was impacted by the current year $11.3 million inventory-related charge.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Six Month Operating Results</w:t>
      </w:r>
    </w:p>
    <w:p>
      <w:pPr>
        <w:spacing w:after="0" w:line="1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2"/>
          <w:szCs w:val="12"/>
          <w:color w:val="auto"/>
        </w:rPr>
        <w:t xml:space="preserve">Net sales were $1,136.0 million, an increase of 1.3%, or $15.1 million, compared to the prior year period, driven by 6.1% increase in volume and 4.8% decrease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0.3%, driven by 6.0% increase in volume and 5.7% decrease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RTD shake net sales increased 0.2%, driven by 6.2% increase in volume and 6.0% decrease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6.7%, driven by 10.4% increase in volume and 3.7% decrease in price/mix.</w:t>
      </w:r>
    </w:p>
    <w:p>
      <w:pPr>
        <w:spacing w:after="0" w:line="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Gross profit was $322.5 million, or 28.4% of net sales, a decrease of $66.9 million, compared to $389.4 million, or 34.7% of net sales, in the prior year period. Adjusted gross profit* was $296.8 million, or 26.1% of net sales, a decrease of $104.0 million, compared to $400.8 million, or 35.8% of net sales in the prior year period. In the six months ended March 31, 2026, gross profit and adjusted gross profit were impacted by significant input cost inflation (inclusive of tariffs) and unfavorable price/mix. In addition, gross profit and adjusted gross profit were impacted by an $11.3 million inventory-related charge associated with a third-party supplied ingredient that did not meet BellRing’s quality standards, with none of the finished goods released to customers; this represented a 100 unfavorable basis point impact to gross profit margin and adjusted gross profit margin.</w:t>
      </w:r>
    </w:p>
    <w:p>
      <w:pPr>
        <w:spacing w:after="0" w:line="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9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 xml:space="preserve">SG&amp;A expenses were $169.5 million, or 14.9% of net sales, a decrease of $1.1 million, compared to $170.6 million, or 15.2% of net sales, in the prior year period. Marketing and consumer advertising expenses were $48.7 million, an increase of $6.0 million compared to the prior year period, driven by increased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spend.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$144.5 million, a decrease of $65.9 million, compared to $210.4 million in the prior year period driven by lower gross profit.</w:t>
      </w:r>
    </w:p>
    <w:p>
      <w:pPr>
        <w:spacing w:after="0" w:line="11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Interest expense, net was $40.1 million and $30.9 million in the six months ended March 31, 2026 and 2025, respectively, with the increase primarily driven by higher outstanding borrowings under BellRing’s revolving credit facility. Income tax expense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ind w:right="140"/>
        <w:spacing w:after="0" w:line="279" w:lineRule="auto"/>
        <w:rPr>
          <w:sz w:val="20"/>
          <w:szCs w:val="20"/>
          <w:color w:val="auto"/>
        </w:rPr>
      </w:pPr>
      <w:r>
        <w:rPr>
          <w:rFonts w:ascii="Times New Roman" w:cs="Times New Roman" w:eastAsia="Times New Roman" w:hAnsi="Times New Roman"/>
          <w:sz w:val="12"/>
          <w:szCs w:val="12"/>
          <w:color w:val="auto"/>
        </w:rPr>
        <w:t>was $26.8 million in the six months ended March 31, 2026 compared to $43.9 million in the six months ended March 31, 2025. The effective income tax rate was 25.7% and 24.5% in the six months ended March 31, 2026 and 2025, respectively.</w:t>
      </w:r>
    </w:p>
    <w:p>
      <w:pPr>
        <w:spacing w:after="0" w:line="75"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Net earnings were $77.6 million, a decrease of $58.0 million, compared to $135.6 million in the prior year period, and were impacted by the current year $11.3 million inventory-related charge. Net earnings per diluted common share were $0.65 compared to $1.04 in the prior year period. Adjusted net earnings* were $61.0 million, a decrease of $83.9 million, compared to $144.9 million in the prior year period. Adjusted diluted earnings per common share* were $0.51 compared to $1.11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$144.1 million, a decrease of $99.8 million, compared to $243.9 million in the prior year period, and was impacted by the current year $11.3 million inventory-related charge.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During the second quarter of 2026, BellRing repurchased 1.2 million shares for $26.2 million at an average price of $22.11 per share. During the six months ended March 31, 2026, BellRing repurchased 4.2 million shares for $123.1 million at an average price of $29.18 per share. As of March 31, 2026, BellRing had $516.9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Chief Executive Officer Transition Update</w:t>
      </w:r>
    </w:p>
    <w:p>
      <w:pPr>
        <w:spacing w:after="0" w:line="145" w:lineRule="exact"/>
        <w:rPr>
          <w:sz w:val="20"/>
          <w:szCs w:val="20"/>
          <w:color w:val="auto"/>
        </w:rPr>
      </w:pPr>
    </w:p>
    <w:p>
      <w:pPr>
        <w:ind w:right="1060"/>
        <w:spacing w:after="0" w:line="438" w:lineRule="auto"/>
        <w:rPr>
          <w:sz w:val="20"/>
          <w:szCs w:val="20"/>
          <w:color w:val="auto"/>
        </w:rPr>
      </w:pPr>
      <w:r>
        <w:rPr>
          <w:rFonts w:ascii="Times New Roman" w:cs="Times New Roman" w:eastAsia="Times New Roman" w:hAnsi="Times New Roman"/>
          <w:sz w:val="12"/>
          <w:szCs w:val="12"/>
          <w:color w:val="auto"/>
        </w:rPr>
        <w:t xml:space="preserve">The previously announced Chief Executive Officer external search, led by the Board of Directors, is progressing well. The Board is encouraged by the quality of candidates and will provide updates as appropriate. </w:t>
      </w:r>
      <w:r>
        <w:rPr>
          <w:rFonts w:ascii="Times New Roman" w:cs="Times New Roman" w:eastAsia="Times New Roman" w:hAnsi="Times New Roman"/>
          <w:sz w:val="12"/>
          <w:szCs w:val="12"/>
          <w:b w:val="1"/>
          <w:bCs w:val="1"/>
          <w:color w:val="auto"/>
        </w:rPr>
        <w:t>Outlook</w:t>
      </w:r>
    </w:p>
    <w:p>
      <w:pPr>
        <w:ind w:right="300"/>
        <w:spacing w:after="0" w:line="279" w:lineRule="auto"/>
        <w:rPr>
          <w:sz w:val="20"/>
          <w:szCs w:val="20"/>
          <w:color w:val="auto"/>
        </w:rPr>
      </w:pPr>
      <w:r>
        <w:rPr>
          <w:rFonts w:ascii="Times New Roman" w:cs="Times New Roman" w:eastAsia="Times New Roman" w:hAnsi="Times New Roman"/>
          <w:sz w:val="12"/>
          <w:szCs w:val="12"/>
          <w:color w:val="auto"/>
        </w:rPr>
        <w:t>For fiscal year 2026, BellRing management has updated its previously issued guidance, as shown in the table below. As a reminder, Adjusted EBITDA in fiscal year 2026 was impacted by an $11 million inventory-related charge; BellRing management has not incorporated any recovery of this charge into its outlook for fiscal year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280" w:type="dxa"/>
            <w:vAlign w:val="bottom"/>
            <w:tcBorders>
              <w:bottom w:val="single" w:sz="8" w:color="auto"/>
            </w:tcBorders>
          </w:tcPr>
          <w:p>
            <w:pPr>
              <w:jc w:val="center"/>
              <w:ind w:left="2980"/>
              <w:spacing w:after="0"/>
              <w:rPr>
                <w:sz w:val="20"/>
                <w:szCs w:val="20"/>
                <w:color w:val="auto"/>
              </w:rPr>
            </w:pPr>
            <w:r>
              <w:rPr>
                <w:rFonts w:ascii="Times New Roman" w:cs="Times New Roman" w:eastAsia="Times New Roman" w:hAnsi="Times New Roman"/>
                <w:sz w:val="12"/>
                <w:szCs w:val="12"/>
                <w:b w:val="1"/>
                <w:bCs w:val="1"/>
                <w:color w:val="auto"/>
                <w:w w:val="98"/>
              </w:rPr>
              <w:t>Fiscal Year 2026</w:t>
            </w:r>
          </w:p>
        </w:tc>
      </w:tr>
      <w:tr>
        <w:trPr>
          <w:trHeight w:val="14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5280" w:type="dxa"/>
            <w:vAlign w:val="bottom"/>
            <w:shd w:val="clear" w:color="auto" w:fill="CCEEFF"/>
          </w:tcPr>
          <w:p>
            <w:pPr>
              <w:jc w:val="center"/>
              <w:ind w:left="2980"/>
              <w:spacing w:after="0"/>
              <w:rPr>
                <w:sz w:val="20"/>
                <w:szCs w:val="20"/>
                <w:color w:val="auto"/>
              </w:rPr>
            </w:pPr>
            <w:r>
              <w:rPr>
                <w:rFonts w:ascii="Times New Roman" w:cs="Times New Roman" w:eastAsia="Times New Roman" w:hAnsi="Times New Roman"/>
                <w:sz w:val="12"/>
                <w:szCs w:val="12"/>
                <w:color w:val="auto"/>
                <w:w w:val="99"/>
              </w:rPr>
              <w:t>$2.325-$2.365 billion</w:t>
            </w:r>
          </w:p>
        </w:tc>
      </w:tr>
      <w:tr>
        <w:trPr>
          <w:trHeight w:val="153"/>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Net Sales Growth</w:t>
            </w:r>
          </w:p>
        </w:tc>
        <w:tc>
          <w:tcPr>
            <w:tcW w:w="5280" w:type="dxa"/>
            <w:vAlign w:val="bottom"/>
          </w:tcPr>
          <w:p>
            <w:pPr>
              <w:jc w:val="center"/>
              <w:ind w:left="2980"/>
              <w:spacing w:after="0"/>
              <w:rPr>
                <w:sz w:val="20"/>
                <w:szCs w:val="20"/>
                <w:color w:val="auto"/>
              </w:rPr>
            </w:pPr>
            <w:r>
              <w:rPr>
                <w:rFonts w:ascii="Times New Roman" w:cs="Times New Roman" w:eastAsia="Times New Roman" w:hAnsi="Times New Roman"/>
                <w:sz w:val="12"/>
                <w:szCs w:val="12"/>
                <w:color w:val="auto"/>
              </w:rPr>
              <w:t>0% to 2%</w:t>
            </w:r>
          </w:p>
        </w:tc>
      </w:tr>
      <w:tr>
        <w:trPr>
          <w:trHeight w:val="15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5280" w:type="dxa"/>
            <w:vAlign w:val="bottom"/>
            <w:shd w:val="clear" w:color="auto" w:fill="CCEEFF"/>
          </w:tcPr>
          <w:p>
            <w:pPr>
              <w:jc w:val="center"/>
              <w:ind w:left="3000"/>
              <w:spacing w:after="0"/>
              <w:rPr>
                <w:sz w:val="20"/>
                <w:szCs w:val="20"/>
                <w:color w:val="auto"/>
              </w:rPr>
            </w:pPr>
            <w:r>
              <w:rPr>
                <w:rFonts w:ascii="Times New Roman" w:cs="Times New Roman" w:eastAsia="Times New Roman" w:hAnsi="Times New Roman"/>
                <w:sz w:val="12"/>
                <w:szCs w:val="12"/>
                <w:color w:val="auto"/>
              </w:rPr>
              <w:t>$315-$335 million</w:t>
            </w:r>
          </w:p>
        </w:tc>
      </w:tr>
      <w:tr>
        <w:trPr>
          <w:trHeight w:val="153"/>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as a percentage of Net Sales</w:t>
            </w:r>
          </w:p>
        </w:tc>
        <w:tc>
          <w:tcPr>
            <w:tcW w:w="5280" w:type="dxa"/>
            <w:vAlign w:val="bottom"/>
          </w:tcPr>
          <w:p>
            <w:pPr>
              <w:jc w:val="center"/>
              <w:ind w:left="3000"/>
              <w:spacing w:after="0"/>
              <w:rPr>
                <w:sz w:val="20"/>
                <w:szCs w:val="20"/>
                <w:color w:val="auto"/>
              </w:rPr>
            </w:pPr>
            <w:r>
              <w:rPr>
                <w:rFonts w:ascii="Times New Roman" w:cs="Times New Roman" w:eastAsia="Times New Roman" w:hAnsi="Times New Roman"/>
                <w:sz w:val="12"/>
                <w:szCs w:val="12"/>
                <w:color w:val="auto"/>
              </w:rPr>
              <w:t>Approximately 14%</w:t>
            </w:r>
          </w:p>
        </w:tc>
      </w:tr>
      <w:tr>
        <w:trPr>
          <w:trHeight w:val="15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5280" w:type="dxa"/>
            <w:vAlign w:val="bottom"/>
            <w:shd w:val="clear" w:color="auto" w:fill="CCEEFF"/>
          </w:tcPr>
          <w:p>
            <w:pPr>
              <w:jc w:val="center"/>
              <w:ind w:left="3000"/>
              <w:spacing w:after="0"/>
              <w:rPr>
                <w:sz w:val="20"/>
                <w:szCs w:val="20"/>
                <w:color w:val="auto"/>
              </w:rPr>
            </w:pPr>
            <w:r>
              <w:rPr>
                <w:rFonts w:ascii="Times New Roman" w:cs="Times New Roman" w:eastAsia="Times New Roman" w:hAnsi="Times New Roman"/>
                <w:sz w:val="12"/>
                <w:szCs w:val="12"/>
                <w:color w:val="auto"/>
              </w:rPr>
              <w:t>$8 million</w:t>
            </w:r>
          </w:p>
        </w:tc>
      </w:tr>
    </w:tbl>
    <w:p>
      <w:pPr>
        <w:spacing w:after="0" w:line="16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and Adjusted EBITDA as a percentage of net sales guidance only on a non-GAAP basis and does not provide a reconciliation of its forward-looking Adjusted EBITDA and Adjusted EBITDA as a percentage of net sales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office relocation costs, executive transition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642" w:right="339" w:bottom="1440" w:gutter="0" w:footer="0" w:header="0"/>
        </w:sectPr>
      </w:pPr>
    </w:p>
    <w:bookmarkStart w:id="6" w:name="page7"/>
    <w:bookmarkEnd w:id="6"/>
    <w:p>
      <w:pPr>
        <w:spacing w:after="0" w:line="260" w:lineRule="auto"/>
        <w:rPr>
          <w:sz w:val="20"/>
          <w:szCs w:val="20"/>
          <w:color w:val="auto"/>
        </w:rPr>
      </w:pPr>
      <w:r>
        <w:rPr>
          <w:rFonts w:ascii="Times New Roman" w:cs="Times New Roman" w:eastAsia="Times New Roman" w:hAnsi="Times New Roman"/>
          <w:sz w:val="12"/>
          <w:szCs w:val="12"/>
          <w:color w:val="auto"/>
        </w:rPr>
        <w:t>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May 5, 2026 at 8:30 a.m. ET to discuss financial results for the second quarter of fiscal year 2026 and fiscal year 2026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Q2 2026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Adjusted EBITDA as a percentage of net sales and capital expenditures outlook for fiscal year 2026.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 including as a result of tariffs or inflationary pressures;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42" w:right="319" w:bottom="1440" w:gutter="0" w:footer="0" w:header="0"/>
        </w:sectPr>
      </w:pPr>
    </w:p>
    <w:bookmarkStart w:id="7" w:name="page8"/>
    <w:bookmarkEnd w:id="7"/>
    <w:p>
      <w:pPr>
        <w:ind w:left="420" w:right="160" w:hanging="212"/>
        <w:spacing w:after="0" w:line="259"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 or other long-lived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0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proactive wellness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proactive wellness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4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80" w:type="dxa"/>
            <w:vAlign w:val="bottom"/>
          </w:tcPr>
          <w:p>
            <w:pPr>
              <w:spacing w:after="0"/>
              <w:rPr>
                <w:sz w:val="12"/>
                <w:szCs w:val="12"/>
                <w:color w:val="auto"/>
              </w:rPr>
            </w:pPr>
          </w:p>
        </w:tc>
        <w:tc>
          <w:tcPr>
            <w:tcW w:w="224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56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80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1,120.9</w:t>
            </w:r>
          </w:p>
        </w:tc>
      </w:tr>
      <w:tr>
        <w:trPr>
          <w:trHeight w:val="153"/>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437.0</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398.2</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813.5</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731.5</w:t>
            </w:r>
          </w:p>
        </w:tc>
      </w:tr>
      <w:tr>
        <w:trPr>
          <w:trHeight w:val="14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389.4</w:t>
            </w: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w:t>
            </w: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2"/>
        </w:trPr>
        <w:tc>
          <w:tcPr>
            <w:tcW w:w="5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210.4</w:t>
            </w: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142"/>
        </w:trPr>
        <w:tc>
          <w:tcPr>
            <w:tcW w:w="5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r>
      <w:tr>
        <w:trPr>
          <w:trHeight w:val="158"/>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8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135.6</w:t>
            </w:r>
          </w:p>
        </w:tc>
      </w:tr>
      <w:tr>
        <w:trPr>
          <w:trHeight w:val="153"/>
        </w:trPr>
        <w:tc>
          <w:tcPr>
            <w:tcW w:w="5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80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800" w:type="dxa"/>
            <w:vAlign w:val="bottom"/>
          </w:tcPr>
          <w:p>
            <w:pPr>
              <w:jc w:val="right"/>
              <w:ind w:right="662"/>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tcPr>
          <w:p>
            <w:pPr>
              <w:spacing w:after="0"/>
              <w:rPr>
                <w:sz w:val="13"/>
                <w:szCs w:val="13"/>
                <w:color w:val="auto"/>
              </w:rPr>
            </w:pPr>
          </w:p>
        </w:tc>
        <w:tc>
          <w:tcPr>
            <w:tcW w:w="800" w:type="dxa"/>
            <w:vAlign w:val="bottom"/>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34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0.65</w:t>
            </w:r>
          </w:p>
        </w:tc>
        <w:tc>
          <w:tcPr>
            <w:tcW w:w="2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71"/>
        </w:trPr>
        <w:tc>
          <w:tcPr>
            <w:tcW w:w="5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w:t>
            </w:r>
          </w:p>
        </w:tc>
      </w:tr>
      <w:tr>
        <w:trPr>
          <w:trHeight w:val="155"/>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638"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60" w:type="dxa"/>
            <w:vAlign w:val="bottom"/>
            <w:tcBorders>
              <w:bottom w:val="single" w:sz="8" w:color="auto"/>
            </w:tcBorders>
          </w:tcPr>
          <w:p>
            <w:pPr>
              <w:spacing w:after="0"/>
              <w:rPr>
                <w:sz w:val="12"/>
                <w:szCs w:val="12"/>
                <w:color w:val="auto"/>
              </w:rPr>
            </w:pPr>
          </w:p>
        </w:tc>
      </w:tr>
      <w:tr>
        <w:trPr>
          <w:trHeight w:val="162"/>
        </w:trPr>
        <w:tc>
          <w:tcPr>
            <w:tcW w:w="3180" w:type="dxa"/>
            <w:vAlign w:val="bottom"/>
            <w:shd w:val="clear" w:color="auto" w:fill="CCEEFF"/>
          </w:tcPr>
          <w:p>
            <w:pPr>
              <w:spacing w:after="0"/>
              <w:rPr>
                <w:sz w:val="14"/>
                <w:szCs w:val="14"/>
                <w:color w:val="auto"/>
              </w:rPr>
            </w:pPr>
          </w:p>
        </w:tc>
        <w:tc>
          <w:tcPr>
            <w:tcW w:w="5280" w:type="dxa"/>
            <w:vAlign w:val="bottom"/>
            <w:gridSpan w:val="2"/>
            <w:shd w:val="clear" w:color="auto" w:fill="CCEEFF"/>
          </w:tcPr>
          <w:p>
            <w:pPr>
              <w:jc w:val="center"/>
              <w:ind w:right="38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80" w:type="dxa"/>
            <w:vAlign w:val="bottom"/>
            <w:gridSpan w:val="2"/>
            <w:shd w:val="clear" w:color="auto" w:fill="CCEEFF"/>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223.4</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6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755.8</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665.5</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w:t>
            </w:r>
          </w:p>
        </w:tc>
      </w:tr>
      <w:tr>
        <w:trPr>
          <w:trHeight w:val="169"/>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1,025.4</w:t>
            </w:r>
          </w:p>
        </w:tc>
        <w:tc>
          <w:tcPr>
            <w:tcW w:w="3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941.0</w:t>
            </w:r>
          </w:p>
        </w:tc>
      </w:tr>
      <w:tr>
        <w:trPr>
          <w:trHeight w:val="320"/>
        </w:trPr>
        <w:tc>
          <w:tcPr>
            <w:tcW w:w="3180" w:type="dxa"/>
            <w:vAlign w:val="bottom"/>
          </w:tcPr>
          <w:p>
            <w:pPr>
              <w:spacing w:after="0"/>
              <w:rPr>
                <w:sz w:val="24"/>
                <w:szCs w:val="24"/>
                <w:color w:val="auto"/>
              </w:rPr>
            </w:pPr>
          </w:p>
        </w:tc>
        <w:tc>
          <w:tcPr>
            <w:tcW w:w="3960" w:type="dxa"/>
            <w:vAlign w:val="bottom"/>
          </w:tcPr>
          <w:p>
            <w:pPr>
              <w:jc w:val="center"/>
              <w:ind w:left="82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15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28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140.8</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6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300.5</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282.8</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1,084.3</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1,523.2</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1,394.9</w:t>
            </w:r>
          </w:p>
        </w:tc>
      </w:tr>
      <w:tr>
        <w:trPr>
          <w:trHeight w:val="144"/>
        </w:trPr>
        <w:tc>
          <w:tcPr>
            <w:tcW w:w="31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3"/>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(775.6)</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(497.8)</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(453.9)</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60" w:type="dxa"/>
            <w:vAlign w:val="bottom"/>
          </w:tcPr>
          <w:p>
            <w:pPr>
              <w:spacing w:after="0"/>
              <w:rPr>
                <w:sz w:val="12"/>
                <w:szCs w:val="12"/>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1,025.4</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941.0</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180" w:type="dxa"/>
            <w:vAlign w:val="bottom"/>
          </w:tcPr>
          <w:p>
            <w:pPr>
              <w:spacing w:after="0"/>
              <w:rPr>
                <w:sz w:val="24"/>
                <w:szCs w:val="24"/>
                <w:color w:val="auto"/>
              </w:rPr>
            </w:pPr>
          </w:p>
        </w:tc>
        <w:tc>
          <w:tcPr>
            <w:tcW w:w="5280" w:type="dxa"/>
            <w:vAlign w:val="bottom"/>
            <w:gridSpan w:val="2"/>
          </w:tcPr>
          <w:p>
            <w:pPr>
              <w:jc w:val="center"/>
              <w:ind w:right="382"/>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5280" w:type="dxa"/>
            <w:vAlign w:val="bottom"/>
            <w:gridSpan w:val="2"/>
          </w:tcPr>
          <w:p>
            <w:pPr>
              <w:jc w:val="center"/>
              <w:ind w:right="38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1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842"/>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c>
          <w:tcPr>
            <w:tcW w:w="460" w:type="dxa"/>
            <w:vAlign w:val="bottom"/>
            <w:tcBorders>
              <w:bottom w:val="single" w:sz="8" w:color="auto"/>
            </w:tcBorders>
          </w:tcPr>
          <w:p>
            <w:pPr>
              <w:spacing w:after="0"/>
              <w:rPr>
                <w:sz w:val="13"/>
                <w:szCs w:val="13"/>
                <w:color w:val="auto"/>
              </w:rPr>
            </w:pPr>
          </w:p>
        </w:tc>
      </w:tr>
      <w:tr>
        <w:trPr>
          <w:trHeight w:val="134"/>
        </w:trPr>
        <w:tc>
          <w:tcPr>
            <w:tcW w:w="3180" w:type="dxa"/>
            <w:vAlign w:val="bottom"/>
            <w:tcBorders>
              <w:bottom w:val="single" w:sz="8" w:color="CCEEFF"/>
            </w:tcBorders>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r>
      <w:tr>
        <w:trPr>
          <w:trHeight w:val="134"/>
        </w:trPr>
        <w:tc>
          <w:tcPr>
            <w:tcW w:w="31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(used in) provided by:</w:t>
            </w:r>
          </w:p>
        </w:tc>
        <w:tc>
          <w:tcPr>
            <w:tcW w:w="3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28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15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r>
      <w:tr>
        <w:trPr>
          <w:trHeight w:val="153"/>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 cash, cash equivalents and restricted cash</w:t>
            </w:r>
          </w:p>
        </w:tc>
        <w:tc>
          <w:tcPr>
            <w:tcW w:w="396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3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 and Adjusted gross profit margin</w:t>
      </w:r>
    </w:p>
    <w:p>
      <w:pPr>
        <w:spacing w:after="0" w:line="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right="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Office relocation costs</w:t>
      </w:r>
      <w:r>
        <w:rPr>
          <w:rFonts w:ascii="Times New Roman" w:cs="Times New Roman" w:eastAsia="Times New Roman" w:hAnsi="Times New Roman"/>
          <w:sz w:val="12"/>
          <w:szCs w:val="12"/>
          <w:color w:val="auto"/>
        </w:rPr>
        <w:t>: BellRing has excluded certain duplicative costs associated with new office moves as the amount and frequency of such expenses are not consistent. Additionally, BellRing believes that these costs do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reflect expected ongoing future operating expenses and do not contribute to a meaningful evaluation of BellRing’s current operating performance or comparisons of BellRing’s operating performance to other periods.</w:t>
      </w:r>
    </w:p>
    <w:p>
      <w:pPr>
        <w:ind w:left="420" w:right="1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to transition services to BellRing from Post prior to the expiration of the master services agreement with Post, as the amount and frequency of such expenses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Executive transition costs</w:t>
      </w:r>
      <w:r>
        <w:rPr>
          <w:rFonts w:ascii="Times New Roman" w:cs="Times New Roman" w:eastAsia="Times New Roman" w:hAnsi="Times New Roman"/>
          <w:sz w:val="12"/>
          <w:szCs w:val="12"/>
          <w:color w:val="auto"/>
        </w:rPr>
        <w:t>: BellRing has excluded certain advisory, hiring and other transition related costs associated with its Chief Executive Officer transition, as the amount and frequency of such expenses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00" w:hanging="212"/>
        <w:spacing w:after="0" w:line="250" w:lineRule="auto"/>
        <w:tabs>
          <w:tab w:leader="none" w:pos="4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Reorganization costs</w:t>
      </w:r>
      <w:r>
        <w:rPr>
          <w:rFonts w:ascii="Times New Roman" w:cs="Times New Roman" w:eastAsia="Times New Roman" w:hAnsi="Times New Roman"/>
          <w:sz w:val="12"/>
          <w:szCs w:val="12"/>
          <w:color w:val="auto"/>
        </w:rPr>
        <w:t>: BellRing has excluded certain one-time costs associated with an internal reorganization of one of its business units, as the amount and frequency of such adjustments are not consistent. Additionally,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80" w:hanging="212"/>
        <w:spacing w:after="0" w:line="26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and the following adjustments discussed above: mark-to-market adjustments on commodity hedges, office relocation costs, separation costs, provision for legal matters, executive transition costs, reorganization costs and foreign currency gain/loss on intercompany loans. Additionally, Adjusted EBITDA reflects an adjustment for the following item:</w:t>
      </w:r>
    </w:p>
    <w:p>
      <w:pPr>
        <w:spacing w:after="0" w:line="1" w:lineRule="exact"/>
        <w:rPr>
          <w:sz w:val="20"/>
          <w:szCs w:val="20"/>
          <w:color w:val="auto"/>
        </w:rPr>
      </w:pPr>
    </w:p>
    <w:p>
      <w:pPr>
        <w:ind w:left="420" w:right="80" w:hanging="212"/>
        <w:spacing w:after="0" w:line="253" w:lineRule="auto"/>
        <w:tabs>
          <w:tab w:leader="none" w:pos="41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GROSS PROFIT TO ADJUSTED GROSS PROFIT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230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4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Six Months Ended March 31,</w:t>
            </w:r>
          </w:p>
        </w:tc>
      </w:tr>
      <w:tr>
        <w:trPr>
          <w:trHeight w:val="142"/>
        </w:trPr>
        <w:tc>
          <w:tcPr>
            <w:tcW w:w="54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161.7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189.8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322.5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389.4</w:t>
            </w: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(25.7)</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12.9</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(25.7)</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11.4</w:t>
            </w:r>
          </w:p>
        </w:tc>
      </w:tr>
      <w:tr>
        <w:trPr>
          <w:trHeight w:val="162"/>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80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136.0</w:t>
            </w: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202.7</w:t>
            </w:r>
          </w:p>
        </w:tc>
        <w:tc>
          <w:tcPr>
            <w:tcW w:w="3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296.8</w:t>
            </w: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400.8</w:t>
            </w:r>
          </w:p>
        </w:tc>
      </w:tr>
      <w:tr>
        <w:trPr>
          <w:trHeight w:val="149"/>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 as a percentage of Net Sales</w:t>
            </w: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27.0 %</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32.3 %</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28.4 %</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34.7 %</w:t>
            </w: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as a percentage of Net Sales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22.7 %</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26.1 %</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642"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80" w:type="dxa"/>
            <w:vAlign w:val="bottom"/>
          </w:tcPr>
          <w:p>
            <w:pPr>
              <w:spacing w:after="0"/>
              <w:rPr>
                <w:sz w:val="12"/>
                <w:szCs w:val="12"/>
                <w:color w:val="auto"/>
              </w:rPr>
            </w:pPr>
          </w:p>
        </w:tc>
        <w:tc>
          <w:tcPr>
            <w:tcW w:w="22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56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135.6</w:t>
            </w:r>
          </w:p>
        </w:tc>
      </w:tr>
      <w:tr>
        <w:trPr>
          <w:trHeight w:val="180"/>
        </w:trPr>
        <w:tc>
          <w:tcPr>
            <w:tcW w:w="5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5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11.4</w:t>
            </w:r>
          </w:p>
        </w:tc>
      </w:tr>
      <w:tr>
        <w:trPr>
          <w:trHeight w:val="15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Office relocation costs</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8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0.9</w:t>
            </w:r>
          </w:p>
        </w:tc>
      </w:tr>
      <w:tr>
        <w:trPr>
          <w:trHeight w:val="153"/>
        </w:trPr>
        <w:tc>
          <w:tcPr>
            <w:tcW w:w="5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Executive transition costs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Reorganization costs</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w:t>
            </w:r>
          </w:p>
        </w:tc>
      </w:tr>
      <w:tr>
        <w:trPr>
          <w:trHeight w:val="153"/>
        </w:trPr>
        <w:tc>
          <w:tcPr>
            <w:tcW w:w="568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8"/>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2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144.9</w:t>
            </w:r>
          </w:p>
        </w:tc>
      </w:tr>
    </w:tbl>
    <w:p>
      <w:pPr>
        <w:spacing w:after="0" w:line="163" w:lineRule="exact"/>
        <w:rPr>
          <w:sz w:val="20"/>
          <w:szCs w:val="20"/>
          <w:color w:val="auto"/>
        </w:rPr>
      </w:pPr>
    </w:p>
    <w:p>
      <w:pPr>
        <w:ind w:left="120" w:hanging="116"/>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20" w:type="dxa"/>
            <w:vAlign w:val="bottom"/>
          </w:tcPr>
          <w:p>
            <w:pPr>
              <w:spacing w:after="0"/>
              <w:rPr>
                <w:sz w:val="11"/>
                <w:szCs w:val="11"/>
                <w:color w:val="auto"/>
              </w:rPr>
            </w:pPr>
          </w:p>
        </w:tc>
        <w:tc>
          <w:tcPr>
            <w:tcW w:w="4320" w:type="dxa"/>
            <w:vAlign w:val="bottom"/>
            <w:gridSpan w:val="5"/>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COMMON SHARE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2"/>
        </w:trPr>
        <w:tc>
          <w:tcPr>
            <w:tcW w:w="3220" w:type="dxa"/>
            <w:vAlign w:val="bottom"/>
          </w:tcPr>
          <w:p>
            <w:pPr>
              <w:spacing w:after="0"/>
              <w:rPr>
                <w:sz w:val="12"/>
                <w:szCs w:val="12"/>
                <w:color w:val="auto"/>
              </w:rPr>
            </w:pPr>
          </w:p>
        </w:tc>
        <w:tc>
          <w:tcPr>
            <w:tcW w:w="4320" w:type="dxa"/>
            <w:vAlign w:val="bottom"/>
            <w:gridSpan w:val="5"/>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TO ADJUSTED DILUTED EARNINGS PER COMMON SHARE (Unaudited)</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5"/>
        </w:trPr>
        <w:tc>
          <w:tcPr>
            <w:tcW w:w="3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80" w:type="dxa"/>
            <w:vAlign w:val="bottom"/>
          </w:tcPr>
          <w:p>
            <w:pPr>
              <w:spacing w:after="0"/>
              <w:rPr>
                <w:sz w:val="13"/>
                <w:szCs w:val="13"/>
                <w:color w:val="auto"/>
              </w:rPr>
            </w:pPr>
          </w:p>
        </w:tc>
        <w:tc>
          <w:tcPr>
            <w:tcW w:w="2360" w:type="dxa"/>
            <w:vAlign w:val="bottom"/>
            <w:gridSpan w:val="4"/>
          </w:tcPr>
          <w:p>
            <w:pPr>
              <w:jc w:val="right"/>
              <w:ind w:right="5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322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24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0.45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2"/>
                <w:szCs w:val="12"/>
                <w:color w:val="auto"/>
              </w:rPr>
              <w:t>0.65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1.04</w:t>
            </w:r>
          </w:p>
        </w:tc>
      </w:tr>
      <w:tr>
        <w:trPr>
          <w:trHeight w:val="180"/>
        </w:trPr>
        <w:tc>
          <w:tcPr>
            <w:tcW w:w="3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left="541"/>
              <w:spacing w:after="0"/>
              <w:rPr>
                <w:sz w:val="20"/>
                <w:szCs w:val="20"/>
                <w:color w:val="auto"/>
              </w:rPr>
            </w:pPr>
            <w:r>
              <w:rPr>
                <w:rFonts w:ascii="Times New Roman" w:cs="Times New Roman" w:eastAsia="Times New Roman" w:hAnsi="Times New Roman"/>
                <w:sz w:val="12"/>
                <w:szCs w:val="12"/>
                <w:color w:val="auto"/>
                <w:w w:val="96"/>
              </w:rPr>
              <w:t>(0.22)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0.09</w:t>
            </w:r>
          </w:p>
        </w:tc>
      </w:tr>
      <w:tr>
        <w:trPr>
          <w:trHeight w:val="153"/>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Office relocation costs</w:t>
            </w:r>
          </w:p>
        </w:tc>
        <w:tc>
          <w:tcPr>
            <w:tcW w:w="2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920" w:type="dxa"/>
            <w:vAlign w:val="bottom"/>
          </w:tcPr>
          <w:p>
            <w:pPr>
              <w:jc w:val="center"/>
              <w:ind w:left="56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Executive transition costs</w:t>
            </w:r>
          </w:p>
        </w:tc>
        <w:tc>
          <w:tcPr>
            <w:tcW w:w="2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2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4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2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0.10</w:t>
            </w: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left="541"/>
              <w:spacing w:after="0"/>
              <w:rPr>
                <w:sz w:val="20"/>
                <w:szCs w:val="20"/>
                <w:color w:val="auto"/>
              </w:rPr>
            </w:pPr>
            <w:r>
              <w:rPr>
                <w:rFonts w:ascii="Times New Roman" w:cs="Times New Roman" w:eastAsia="Times New Roman" w:hAnsi="Times New Roman"/>
                <w:sz w:val="12"/>
                <w:szCs w:val="12"/>
                <w:color w:val="auto"/>
                <w:w w:val="96"/>
              </w:rPr>
              <w:t>(0.19)</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0.09</w:t>
            </w:r>
          </w:p>
        </w:tc>
      </w:tr>
      <w:tr>
        <w:trPr>
          <w:trHeight w:val="153"/>
        </w:trPr>
        <w:tc>
          <w:tcPr>
            <w:tcW w:w="32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Income tax effect on adjustments</w:t>
            </w:r>
            <w:r>
              <w:rPr>
                <w:rFonts w:ascii="Times New Roman" w:cs="Times New Roman" w:eastAsia="Times New Roman" w:hAnsi="Times New Roman"/>
                <w:sz w:val="15"/>
                <w:szCs w:val="15"/>
                <w:color w:val="auto"/>
                <w:vertAlign w:val="superscript"/>
              </w:rPr>
              <w:t>(1)</w:t>
            </w:r>
          </w:p>
        </w:tc>
        <w:tc>
          <w:tcPr>
            <w:tcW w:w="24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2"/>
                <w:szCs w:val="12"/>
                <w:color w:val="auto"/>
              </w:rPr>
              <w:t>0.05</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42"/>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24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0.53</w:t>
            </w:r>
          </w:p>
        </w:tc>
        <w:tc>
          <w:tcPr>
            <w:tcW w:w="3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center"/>
              <w:ind w:left="561"/>
              <w:spacing w:after="0"/>
              <w:rPr>
                <w:sz w:val="20"/>
                <w:szCs w:val="20"/>
                <w:color w:val="auto"/>
              </w:rPr>
            </w:pPr>
            <w:r>
              <w:rPr>
                <w:rFonts w:ascii="Times New Roman" w:cs="Times New Roman" w:eastAsia="Times New Roman" w:hAnsi="Times New Roman"/>
                <w:sz w:val="12"/>
                <w:szCs w:val="12"/>
                <w:color w:val="auto"/>
              </w:rPr>
              <w:t>0.51</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1.11</w:t>
            </w:r>
          </w:p>
        </w:tc>
      </w:tr>
      <w:tr>
        <w:trPr>
          <w:trHeight w:val="20"/>
        </w:trPr>
        <w:tc>
          <w:tcPr>
            <w:tcW w:w="3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20" w:hanging="116"/>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641" w:right="299" w:bottom="1440" w:gutter="0" w:footer="0" w:header="0"/>
        </w:sectPr>
      </w:pPr>
    </w:p>
    <w:bookmarkStart w:id="13" w:name="page14"/>
    <w:bookmarkEnd w:id="13"/>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Earnings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 relocation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Separation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 for legal matters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transition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Reorganization costs</w:t>
      </w:r>
    </w:p>
    <w:p>
      <w:pPr>
        <w:spacing w:after="0" w:line="15" w:lineRule="exact"/>
        <w:rPr>
          <w:sz w:val="20"/>
          <w:szCs w:val="20"/>
          <w:color w:val="auto"/>
        </w:rPr>
      </w:pPr>
    </w:p>
    <w:p>
      <w:pPr>
        <w:ind w:right="540"/>
        <w:spacing w:after="0" w:line="300" w:lineRule="auto"/>
        <w:rPr>
          <w:sz w:val="20"/>
          <w:szCs w:val="20"/>
          <w:color w:val="auto"/>
        </w:rPr>
      </w:pPr>
      <w:r>
        <w:rPr>
          <w:rFonts w:ascii="Times New Roman" w:cs="Times New Roman" w:eastAsia="Times New Roman" w:hAnsi="Times New Roman"/>
          <w:sz w:val="12"/>
          <w:szCs w:val="12"/>
          <w:color w:val="auto"/>
        </w:rPr>
        <w:t xml:space="preserve">Foreign currency loss (gain) on intercompany loans </w:t>
      </w:r>
      <w:r>
        <w:rPr>
          <w:rFonts w:ascii="Times New Roman" w:cs="Times New Roman" w:eastAsia="Times New Roman" w:hAnsi="Times New Roman"/>
          <w:sz w:val="12"/>
          <w:szCs w:val="12"/>
          <w:b w:val="1"/>
          <w:bCs w:val="1"/>
          <w:color w:val="auto"/>
        </w:rPr>
        <w:t>Adjusted EBITDA</w:t>
      </w:r>
    </w:p>
    <w:p>
      <w:pPr>
        <w:ind w:right="620"/>
        <w:spacing w:after="0" w:line="351" w:lineRule="auto"/>
        <w:rPr>
          <w:sz w:val="20"/>
          <w:szCs w:val="20"/>
          <w:color w:val="auto"/>
        </w:rPr>
      </w:pPr>
      <w:r>
        <w:rPr>
          <w:rFonts w:ascii="Times New Roman" w:cs="Times New Roman" w:eastAsia="Times New Roman" w:hAnsi="Times New Roman"/>
          <w:sz w:val="11"/>
          <w:szCs w:val="11"/>
          <w:b w:val="1"/>
          <w:bCs w:val="1"/>
          <w:color w:val="auto"/>
        </w:rPr>
        <w:t>Net Earnings as a percentage of Net Sales Adjusted EBITDA as a percentage of Net Sales</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0"/>
          <w:szCs w:val="10"/>
          <w:b w:val="1"/>
          <w:bCs w:val="1"/>
          <w:color w:val="auto"/>
        </w:rPr>
        <w:t>RECONCILIATION OF NET EARNINGS TO ADJUSTED EBITDA (Unaudited)</w:t>
      </w:r>
    </w:p>
    <w:p>
      <w:pPr>
        <w:spacing w:after="0" w:line="25"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300" w:type="dxa"/>
            <w:vAlign w:val="bottom"/>
          </w:tcPr>
          <w:p>
            <w:pPr>
              <w:spacing w:after="0"/>
              <w:rPr>
                <w:sz w:val="13"/>
                <w:szCs w:val="13"/>
                <w:color w:val="auto"/>
              </w:rPr>
            </w:pPr>
          </w:p>
        </w:tc>
        <w:tc>
          <w:tcPr>
            <w:tcW w:w="2460" w:type="dxa"/>
            <w:vAlign w:val="bottom"/>
            <w:gridSpan w:val="4"/>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Six Months Ended March 31,</w:t>
            </w:r>
          </w:p>
        </w:tc>
      </w:tr>
      <w:tr>
        <w:trPr>
          <w:trHeight w:val="132"/>
        </w:trPr>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1"/>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33.9</w:t>
            </w:r>
          </w:p>
        </w:tc>
        <w:tc>
          <w:tcPr>
            <w:tcW w:w="24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58.7</w:t>
            </w:r>
          </w:p>
        </w:tc>
        <w:tc>
          <w:tcPr>
            <w:tcW w:w="34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77.6</w:t>
            </w:r>
          </w:p>
        </w:tc>
        <w:tc>
          <w:tcPr>
            <w:tcW w:w="22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135.6</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19.9</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43.9</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16.5</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30.9</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12.9</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11.4</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12.0</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0.9</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53.8</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118.6</w:t>
            </w:r>
          </w:p>
        </w:tc>
        <w:tc>
          <w:tcPr>
            <w:tcW w:w="34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144.1</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7"/>
        </w:trPr>
        <w:tc>
          <w:tcPr>
            <w:tcW w:w="30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5.7 %</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10.0 %</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6.8 %</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12.1 %</w:t>
            </w:r>
          </w:p>
        </w:tc>
      </w:tr>
      <w:tr>
        <w:trPr>
          <w:trHeight w:val="155"/>
        </w:trPr>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9.0 %</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20.2 %</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12.7 %</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-1490980</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-1290955</wp:posOffset>
            </wp:positionV>
            <wp:extent cx="717804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-1096645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-902335</wp:posOffset>
            </wp:positionV>
            <wp:extent cx="717804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-708025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-513715</wp:posOffset>
            </wp:positionV>
            <wp:extent cx="717804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-319405</wp:posOffset>
            </wp:positionV>
            <wp:extent cx="71780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2">
            <w:col w:w="3020" w:space="720"/>
            <w:col w:w="7560"/>
          </w:cols>
          <w:pgMar w:left="300" w:top="749" w:right="29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2026-05-05T06:04:59Z</dcterms:created>
  <dcterms:modified xsi:type="dcterms:W3CDTF">2026-05-05T06:04:59Z</dcterms:modified>
</cp:coreProperties>
</file>