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1488440</wp:posOffset>
            </wp:positionH>
            <wp:positionV relativeFrom="paragraph">
              <wp:posOffset>17145</wp:posOffset>
            </wp:positionV>
            <wp:extent cx="4288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980" w:firstLine="8"/>
        <w:spacing w:after="0" w:line="510" w:lineRule="auto"/>
        <w:tabs>
          <w:tab w:leader="none" w:pos="426"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rFonts w:ascii="MS PGothic" w:cs="MS PGothic" w:eastAsia="MS PGothic" w:hAnsi="MS PGothic"/>
          <w:sz w:val="16"/>
          <w:szCs w:val="16"/>
          <w:color w:val="auto"/>
        </w:rPr>
      </w:pPr>
    </w:p>
    <w:p>
      <w:pPr>
        <w:spacing w:after="0" w:line="26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00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80" w:type="dxa"/>
            <w:vAlign w:val="bottom"/>
            <w:tcBorders>
              <w:top w:val="single" w:sz="8" w:color="auto"/>
              <w:bottom w:val="single" w:sz="8" w:color="auto"/>
            </w:tcBorders>
          </w:tcPr>
          <w:p>
            <w:pPr>
              <w:spacing w:after="0"/>
              <w:rPr>
                <w:sz w:val="6"/>
                <w:szCs w:val="6"/>
                <w:color w:val="auto"/>
              </w:rPr>
            </w:pPr>
          </w:p>
        </w:tc>
        <w:tc>
          <w:tcPr>
            <w:tcW w:w="862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0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5</w:t>
            </w:r>
          </w:p>
        </w:tc>
        <w:tc>
          <w:tcPr>
            <w:tcW w:w="8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auto"/>
              <w:right w:val="single" w:sz="8" w:color="auto"/>
            </w:tcBorders>
          </w:tcPr>
          <w:p>
            <w:pPr>
              <w:spacing w:after="0"/>
              <w:rPr>
                <w:sz w:val="19"/>
                <w:szCs w:val="19"/>
                <w:color w:val="auto"/>
              </w:rPr>
            </w:pPr>
          </w:p>
        </w:tc>
        <w:tc>
          <w:tcPr>
            <w:tcW w:w="862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6</w:t>
            </w:r>
          </w:p>
        </w:tc>
        <w:tc>
          <w:tcPr>
            <w:tcW w:w="862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0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6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154,709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0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6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7</w:t>
            </w:r>
          </w:p>
        </w:tc>
        <w:tc>
          <w:tcPr>
            <w:tcW w:w="862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0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6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REPORTING</w:t>
            </w:r>
          </w:p>
        </w:tc>
        <w:tc>
          <w:tcPr>
            <w:tcW w:w="780" w:type="dxa"/>
            <w:vAlign w:val="bottom"/>
            <w:tcBorders>
              <w:right w:val="single" w:sz="8" w:color="auto"/>
            </w:tcBorders>
            <w:vMerge w:val="continue"/>
          </w:tcPr>
          <w:p>
            <w:pPr>
              <w:spacing w:after="0"/>
              <w:rPr>
                <w:sz w:val="11"/>
                <w:szCs w:val="11"/>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0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PERSON WITH</w:t>
            </w:r>
          </w:p>
        </w:tc>
        <w:tc>
          <w:tcPr>
            <w:tcW w:w="780" w:type="dxa"/>
            <w:vAlign w:val="bottom"/>
            <w:tcBorders>
              <w:bottom w:val="single" w:sz="8" w:color="auto"/>
              <w:right w:val="single" w:sz="8" w:color="auto"/>
            </w:tcBorders>
          </w:tcPr>
          <w:p>
            <w:pPr>
              <w:spacing w:after="0"/>
              <w:rPr>
                <w:sz w:val="12"/>
                <w:szCs w:val="12"/>
                <w:color w:val="auto"/>
              </w:rPr>
            </w:pPr>
          </w:p>
        </w:tc>
        <w:tc>
          <w:tcPr>
            <w:tcW w:w="862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00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vMerge w:val="restart"/>
          </w:tcPr>
          <w:p>
            <w:pPr>
              <w:jc w:val="right"/>
              <w:ind w:right="272"/>
              <w:spacing w:after="0"/>
              <w:rPr>
                <w:sz w:val="20"/>
                <w:szCs w:val="20"/>
                <w:color w:val="auto"/>
              </w:rPr>
            </w:pPr>
            <w:r>
              <w:rPr>
                <w:rFonts w:ascii="Arial" w:cs="Arial" w:eastAsia="Arial" w:hAnsi="Arial"/>
                <w:sz w:val="18"/>
                <w:szCs w:val="18"/>
                <w:b w:val="1"/>
                <w:bCs w:val="1"/>
                <w:color w:val="auto"/>
              </w:rPr>
              <w:t>8</w:t>
            </w: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8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0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8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154,709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0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862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154,709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0.4%</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II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298,817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298,817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298,817</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0.8%</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ICS Opportunities, Ltd.</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Cayman Islands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1,564,143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1,564,143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1,564,143</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4.0%</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w:t>
      </w:r>
    </w:p>
    <w:p>
      <w:pPr>
        <w:sectPr>
          <w:pgSz w:w="11900" w:h="16838" w:orient="portrait"/>
          <w:cols w:equalWidth="0" w:num="1">
            <w:col w:w="11420"/>
          </w:cols>
          <w:pgMar w:left="240" w:top="5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International Management LP</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1,862,960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1,862,960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1,862,960</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4.7%</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PN</w:t>
      </w:r>
    </w:p>
    <w:p>
      <w:pPr>
        <w:sectPr>
          <w:pgSz w:w="11900" w:h="16838" w:orient="portrait"/>
          <w:cols w:equalWidth="0" w:num="1">
            <w:col w:w="11420"/>
          </w:cols>
          <w:pgMar w:left="240" w:top="54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2,017,669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2,017,669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420"/>
          </w:cols>
          <w:pgMar w:left="240" w:top="54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50430" cy="5029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029835"/>
                    </a:xfrm>
                    <a:prstGeom prst="rect">
                      <a:avLst/>
                    </a:prstGeom>
                    <a:noFill/>
                  </pic:spPr>
                </pic:pic>
              </a:graphicData>
            </a:graphic>
          </wp:anchor>
        </w:drawing>
      </w:r>
    </w:p>
    <w:p>
      <w:pPr>
        <w:spacing w:after="0" w:line="2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0"/>
          <w:szCs w:val="20"/>
          <w:color w:val="auto"/>
        </w:rPr>
      </w:pPr>
    </w:p>
    <w:p>
      <w:pPr>
        <w:ind w:left="680" w:hanging="39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3"/>
        <w:spacing w:after="0" w:line="207" w:lineRule="exact"/>
        <w:tabs>
          <w:tab w:leader="none" w:pos="10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0" w:lineRule="exact"/>
        <w:rPr>
          <w:sz w:val="20"/>
          <w:szCs w:val="20"/>
          <w:color w:val="auto"/>
        </w:rPr>
      </w:pPr>
    </w:p>
    <w:p>
      <w:pPr>
        <w:ind w:left="680" w:hanging="39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72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20" w:type="dxa"/>
            <w:vAlign w:val="bottom"/>
            <w:tcBorders>
              <w:top w:val="single" w:sz="8" w:color="auto"/>
              <w:bottom w:val="single" w:sz="8" w:color="auto"/>
            </w:tcBorders>
          </w:tcPr>
          <w:p>
            <w:pPr>
              <w:spacing w:after="0"/>
              <w:rPr>
                <w:sz w:val="6"/>
                <w:szCs w:val="6"/>
                <w:color w:val="auto"/>
              </w:rPr>
            </w:pPr>
          </w:p>
        </w:tc>
        <w:tc>
          <w:tcPr>
            <w:tcW w:w="796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Borders>
              <w:right w:val="single" w:sz="8" w:color="auto"/>
            </w:tcBorders>
          </w:tcPr>
          <w:p>
            <w:pPr>
              <w:spacing w:after="0"/>
              <w:rPr>
                <w:sz w:val="19"/>
                <w:szCs w:val="19"/>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5</w:t>
            </w:r>
          </w:p>
        </w:tc>
        <w:tc>
          <w:tcPr>
            <w:tcW w:w="79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20" w:type="dxa"/>
            <w:vAlign w:val="bottom"/>
            <w:tcBorders>
              <w:bottom w:val="single" w:sz="8" w:color="auto"/>
              <w:right w:val="single" w:sz="8" w:color="auto"/>
            </w:tcBorders>
          </w:tcPr>
          <w:p>
            <w:pPr>
              <w:spacing w:after="0"/>
              <w:rPr>
                <w:sz w:val="19"/>
                <w:szCs w:val="19"/>
                <w:color w:val="auto"/>
              </w:rPr>
            </w:pPr>
          </w:p>
        </w:tc>
        <w:tc>
          <w:tcPr>
            <w:tcW w:w="796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6</w:t>
            </w:r>
          </w:p>
        </w:tc>
        <w:tc>
          <w:tcPr>
            <w:tcW w:w="796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20" w:type="dxa"/>
            <w:vAlign w:val="bottom"/>
            <w:tcBorders>
              <w:right w:val="single" w:sz="8" w:color="auto"/>
            </w:tcBorders>
            <w:vMerge w:val="continue"/>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9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72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20" w:type="dxa"/>
            <w:vAlign w:val="bottom"/>
            <w:tcBorders>
              <w:bottom w:val="single" w:sz="8" w:color="auto"/>
              <w:right w:val="single" w:sz="8" w:color="auto"/>
            </w:tcBorders>
          </w:tcPr>
          <w:p>
            <w:pPr>
              <w:spacing w:after="0"/>
              <w:rPr>
                <w:sz w:val="9"/>
                <w:szCs w:val="9"/>
                <w:color w:val="auto"/>
              </w:rPr>
            </w:pPr>
          </w:p>
        </w:tc>
        <w:tc>
          <w:tcPr>
            <w:tcW w:w="7960" w:type="dxa"/>
            <w:vAlign w:val="bottom"/>
            <w:tcBorders>
              <w:bottom w:val="single" w:sz="8" w:color="auto"/>
              <w:right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7</w:t>
            </w:r>
          </w:p>
        </w:tc>
        <w:tc>
          <w:tcPr>
            <w:tcW w:w="796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72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9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20" w:type="dxa"/>
            <w:vAlign w:val="bottom"/>
            <w:tcBorders>
              <w:right w:val="single" w:sz="8" w:color="auto"/>
            </w:tcBorders>
            <w:vMerge w:val="continue"/>
          </w:tcPr>
          <w:p>
            <w:pPr>
              <w:spacing w:after="0"/>
              <w:rPr>
                <w:sz w:val="11"/>
                <w:szCs w:val="11"/>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720" w:type="dxa"/>
            <w:vAlign w:val="bottom"/>
            <w:tcBorders>
              <w:right w:val="single" w:sz="8" w:color="auto"/>
            </w:tcBorders>
            <w:vMerge w:val="continue"/>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796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20" w:type="dxa"/>
            <w:vAlign w:val="bottom"/>
            <w:tcBorders>
              <w:bottom w:val="single" w:sz="8" w:color="auto"/>
              <w:right w:val="single" w:sz="8" w:color="auto"/>
            </w:tcBorders>
          </w:tcPr>
          <w:p>
            <w:pPr>
              <w:spacing w:after="0"/>
              <w:rPr>
                <w:sz w:val="12"/>
                <w:szCs w:val="12"/>
                <w:color w:val="auto"/>
              </w:rPr>
            </w:pPr>
          </w:p>
        </w:tc>
        <w:tc>
          <w:tcPr>
            <w:tcW w:w="796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2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right"/>
              <w:ind w:right="232"/>
              <w:spacing w:after="0"/>
              <w:rPr>
                <w:sz w:val="20"/>
                <w:szCs w:val="20"/>
                <w:color w:val="auto"/>
              </w:rPr>
            </w:pPr>
            <w:r>
              <w:rPr>
                <w:rFonts w:ascii="Arial" w:cs="Arial" w:eastAsia="Arial" w:hAnsi="Arial"/>
                <w:sz w:val="18"/>
                <w:szCs w:val="18"/>
                <w:b w:val="1"/>
                <w:bCs w:val="1"/>
                <w:color w:val="auto"/>
              </w:rPr>
              <w:t>8</w:t>
            </w: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72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96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2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vMerge w:val="continue"/>
          </w:tcPr>
          <w:p>
            <w:pPr>
              <w:spacing w:after="0"/>
              <w:rPr>
                <w:sz w:val="17"/>
                <w:szCs w:val="17"/>
                <w:color w:val="auto"/>
              </w:rPr>
            </w:pPr>
          </w:p>
        </w:tc>
        <w:tc>
          <w:tcPr>
            <w:tcW w:w="7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2,017,669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20" w:type="dxa"/>
            <w:vAlign w:val="bottom"/>
            <w:tcBorders>
              <w:bottom w:val="single" w:sz="8" w:color="auto"/>
              <w:right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796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2,017,669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5.1%</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420"/>
          </w:cols>
          <w:pgMar w:left="240" w:top="54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3560" w:type="dxa"/>
            <w:vAlign w:val="bottom"/>
          </w:tcPr>
          <w:p>
            <w:pPr>
              <w:ind w:left="2240"/>
              <w:spacing w:after="0"/>
              <w:rPr>
                <w:sz w:val="20"/>
                <w:szCs w:val="20"/>
                <w:color w:val="auto"/>
              </w:rPr>
            </w:pPr>
            <w:r>
              <w:rPr>
                <w:rFonts w:ascii="Arial" w:cs="Arial" w:eastAsia="Arial" w:hAnsi="Arial"/>
                <w:sz w:val="18"/>
                <w:szCs w:val="18"/>
                <w:b w:val="1"/>
                <w:bCs w:val="1"/>
                <w:color w:val="auto"/>
                <w:w w:val="94"/>
              </w:rPr>
              <w:t>SCHEDULE 13G</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ind w:left="1320" w:hanging="39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Name of Issuer</w:t>
      </w:r>
      <w:r>
        <w:rPr>
          <w:rFonts w:ascii="Arial" w:cs="Arial" w:eastAsia="Arial" w:hAnsi="Arial"/>
          <w:sz w:val="18"/>
          <w:szCs w:val="18"/>
          <w:color w:val="auto"/>
        </w:rPr>
        <w:t>:</w:t>
      </w:r>
    </w:p>
    <w:p>
      <w:pPr>
        <w:spacing w:after="0" w:line="22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BellRing Brands, Inc., a Delaware corporation (the "Issuer").</w:t>
      </w:r>
    </w:p>
    <w:p>
      <w:pPr>
        <w:spacing w:after="0" w:line="231" w:lineRule="exact"/>
        <w:rPr>
          <w:rFonts w:ascii="Arial" w:cs="Arial" w:eastAsia="Arial" w:hAnsi="Arial"/>
          <w:sz w:val="18"/>
          <w:szCs w:val="18"/>
          <w:color w:val="auto"/>
        </w:rPr>
      </w:pPr>
    </w:p>
    <w:p>
      <w:pPr>
        <w:ind w:left="1320" w:hanging="394"/>
        <w:spacing w:after="0"/>
        <w:tabs>
          <w:tab w:leader="none" w:pos="13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2503 S. Hanley Road</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St. Louis, Missouri 63144</w:t>
      </w:r>
    </w:p>
    <w:p>
      <w:pPr>
        <w:spacing w:after="0" w:line="217" w:lineRule="exact"/>
        <w:rPr>
          <w:sz w:val="20"/>
          <w:szCs w:val="20"/>
          <w:color w:val="auto"/>
        </w:rPr>
      </w:pPr>
    </w:p>
    <w:p>
      <w:pPr>
        <w:spacing w:after="0"/>
        <w:tabs>
          <w:tab w:leader="none" w:pos="900" w:val="left"/>
          <w:tab w:leader="none" w:pos="130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320" w:right="408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666 Fifth Avenue</w:t>
      </w:r>
    </w:p>
    <w:p>
      <w:pPr>
        <w:spacing w:after="0" w:line="1" w:lineRule="exact"/>
        <w:rPr>
          <w:rFonts w:ascii="Arial" w:cs="Arial" w:eastAsia="Arial" w:hAnsi="Arial"/>
          <w:sz w:val="18"/>
          <w:szCs w:val="18"/>
          <w:color w:val="auto"/>
        </w:rPr>
      </w:pP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ICS Opportunities II LLC</w:t>
      </w:r>
    </w:p>
    <w:p>
      <w:pPr>
        <w:spacing w:after="0" w:line="15" w:lineRule="exact"/>
        <w:rPr>
          <w:rFonts w:ascii="Arial" w:cs="Arial" w:eastAsia="Arial" w:hAnsi="Arial"/>
          <w:sz w:val="18"/>
          <w:szCs w:val="18"/>
          <w:color w:val="auto"/>
        </w:rPr>
      </w:pPr>
    </w:p>
    <w:p>
      <w:pPr>
        <w:ind w:left="1320" w:right="34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320" w:right="46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ICS Opportunities, Ltd.</w:t>
      </w:r>
    </w:p>
    <w:p>
      <w:pPr>
        <w:spacing w:after="0" w:line="15" w:lineRule="exact"/>
        <w:rPr>
          <w:rFonts w:ascii="Arial" w:cs="Arial" w:eastAsia="Arial" w:hAnsi="Arial"/>
          <w:sz w:val="18"/>
          <w:szCs w:val="18"/>
          <w:color w:val="auto"/>
        </w:rPr>
      </w:pPr>
    </w:p>
    <w:p>
      <w:pPr>
        <w:ind w:left="1320" w:right="3440"/>
        <w:spacing w:after="0" w:line="250" w:lineRule="auto"/>
        <w:rPr>
          <w:rFonts w:ascii="Arial" w:cs="Arial" w:eastAsia="Arial" w:hAnsi="Arial"/>
          <w:sz w:val="18"/>
          <w:szCs w:val="18"/>
          <w:color w:val="auto"/>
        </w:rPr>
      </w:pPr>
      <w:r>
        <w:rPr>
          <w:rFonts w:ascii="Arial" w:cs="Arial" w:eastAsia="Arial" w:hAnsi="Arial"/>
          <w:sz w:val="18"/>
          <w:szCs w:val="18"/>
          <w:color w:val="auto"/>
        </w:rPr>
        <w:t>c/o Millennium International Management LP 666 Fifth Avenue</w:t>
      </w:r>
    </w:p>
    <w:p>
      <w:pPr>
        <w:jc w:val="both"/>
        <w:ind w:left="1320" w:right="466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Cayman Islands</w:t>
      </w:r>
    </w:p>
    <w:p>
      <w:pPr>
        <w:spacing w:after="0" w:line="146" w:lineRule="exact"/>
        <w:rPr>
          <w:rFonts w:ascii="Arial" w:cs="Arial" w:eastAsia="Arial" w:hAnsi="Arial"/>
          <w:sz w:val="18"/>
          <w:szCs w:val="18"/>
          <w:color w:val="auto"/>
        </w:rPr>
      </w:pPr>
    </w:p>
    <w:p>
      <w:pPr>
        <w:ind w:left="1320" w:right="3700"/>
        <w:spacing w:after="0" w:line="254" w:lineRule="auto"/>
        <w:rPr>
          <w:rFonts w:ascii="Arial" w:cs="Arial" w:eastAsia="Arial" w:hAnsi="Arial"/>
          <w:sz w:val="18"/>
          <w:szCs w:val="18"/>
          <w:color w:val="auto"/>
        </w:rPr>
      </w:pPr>
      <w:r>
        <w:rPr>
          <w:rFonts w:ascii="Arial" w:cs="Arial" w:eastAsia="Arial" w:hAnsi="Arial"/>
          <w:sz w:val="18"/>
          <w:szCs w:val="18"/>
          <w:color w:val="auto"/>
        </w:rPr>
        <w:t>Millennium International Management LP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452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right="402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Delaware</w:t>
      </w:r>
    </w:p>
    <w:p>
      <w:pPr>
        <w:spacing w:after="0" w:line="146"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320" w:right="426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666 Fifth Avenue</w:t>
      </w:r>
    </w:p>
    <w:p>
      <w:pPr>
        <w:ind w:left="1320" w:right="468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10103 Citizenship: United States</w:t>
      </w:r>
    </w:p>
    <w:p>
      <w:pPr>
        <w:spacing w:after="0" w:line="146" w:lineRule="exact"/>
        <w:rPr>
          <w:rFonts w:ascii="Arial" w:cs="Arial" w:eastAsia="Arial" w:hAnsi="Arial"/>
          <w:sz w:val="18"/>
          <w:szCs w:val="18"/>
          <w:color w:val="auto"/>
        </w:rPr>
      </w:pPr>
    </w:p>
    <w:p>
      <w:pPr>
        <w:ind w:left="1320" w:hanging="39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5"/>
          <w:szCs w:val="15"/>
          <w:color w:val="auto"/>
        </w:rPr>
        <w:t>Class A common stock, par value $0.01 per share ("Class A Common Stock")</w:t>
      </w:r>
    </w:p>
    <w:p>
      <w:pPr>
        <w:spacing w:after="0" w:line="286" w:lineRule="exact"/>
        <w:rPr>
          <w:rFonts w:ascii="Arial" w:cs="Arial" w:eastAsia="Arial" w:hAnsi="Arial"/>
          <w:sz w:val="18"/>
          <w:szCs w:val="18"/>
          <w:color w:val="auto"/>
        </w:rPr>
      </w:pPr>
    </w:p>
    <w:p>
      <w:pPr>
        <w:ind w:left="1320" w:right="5520" w:hanging="394"/>
        <w:spacing w:after="0" w:line="613" w:lineRule="auto"/>
        <w:tabs>
          <w:tab w:leader="none" w:pos="132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079823100</w:t>
      </w:r>
    </w:p>
    <w:p>
      <w:pPr>
        <w:spacing w:after="0" w:line="20" w:lineRule="exact"/>
        <w:rPr>
          <w:sz w:val="20"/>
          <w:szCs w:val="20"/>
          <w:color w:val="auto"/>
        </w:rPr>
      </w:pPr>
      <w:r>
        <w:rPr>
          <w:sz w:val="20"/>
          <w:szCs w:val="20"/>
          <w:color w:val="auto"/>
        </w:rPr>
        <w:br w:type="column"/>
      </w:r>
    </w:p>
    <w:p>
      <w:pPr>
        <w:spacing w:after="0"/>
        <w:tabs>
          <w:tab w:leader="none" w:pos="840" w:val="left"/>
          <w:tab w:leader="none" w:pos="1460" w:val="left"/>
          <w:tab w:leader="none" w:pos="2140" w:val="left"/>
        </w:tabs>
        <w:rPr>
          <w:sz w:val="20"/>
          <w:szCs w:val="20"/>
          <w:color w:val="auto"/>
        </w:rPr>
      </w:pPr>
      <w:r>
        <w:rPr>
          <w:rFonts w:ascii="Arial" w:cs="Arial" w:eastAsia="Arial" w:hAnsi="Arial"/>
          <w:sz w:val="18"/>
          <w:szCs w:val="18"/>
          <w:color w:val="auto"/>
        </w:rPr>
        <w:t>Page</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-127635</wp:posOffset>
            </wp:positionV>
            <wp:extent cx="1427480"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27480" cy="158750"/>
                    </a:xfrm>
                    <a:prstGeom prst="rect">
                      <a:avLst/>
                    </a:prstGeom>
                    <a:noFill/>
                  </pic:spPr>
                </pic:pic>
              </a:graphicData>
            </a:graphic>
          </wp:anchor>
        </w:drawing>
      </w:r>
    </w:p>
    <w:p>
      <w:pPr>
        <w:sectPr>
          <w:pgSz w:w="11900" w:h="16838" w:orient="portrait"/>
          <w:cols w:equalWidth="0" w:num="2">
            <w:col w:w="8000" w:space="720"/>
            <w:col w:w="2340"/>
          </w:cols>
          <w:pgMar w:left="240" w:top="332" w:right="5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85" w:lineRule="exact"/>
        <w:rPr>
          <w:sz w:val="20"/>
          <w:szCs w:val="20"/>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420"/>
          </w:cols>
          <w:pgMar w:left="240" w:top="54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204" w:lineRule="exact"/>
        <w:rPr>
          <w:sz w:val="20"/>
          <w:szCs w:val="20"/>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80" w:right="140" w:hanging="899"/>
        <w:spacing w:after="0" w:line="268" w:lineRule="auto"/>
        <w:tabs>
          <w:tab w:leader="none" w:pos="9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60" w:hanging="479"/>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Ownership</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 Amount Beneficially Owned:</w:t>
      </w:r>
    </w:p>
    <w:p>
      <w:pPr>
        <w:spacing w:after="0" w:line="185" w:lineRule="exact"/>
        <w:rPr>
          <w:sz w:val="20"/>
          <w:szCs w:val="20"/>
          <w:color w:val="auto"/>
        </w:rPr>
      </w:pPr>
    </w:p>
    <w:p>
      <w:pPr>
        <w:jc w:val="both"/>
        <w:ind w:firstLine="135"/>
        <w:spacing w:after="0" w:line="256" w:lineRule="auto"/>
        <w:rPr>
          <w:sz w:val="20"/>
          <w:szCs w:val="20"/>
          <w:color w:val="auto"/>
        </w:rPr>
      </w:pPr>
      <w:r>
        <w:rPr>
          <w:rFonts w:ascii="Arial" w:cs="Arial" w:eastAsia="Arial" w:hAnsi="Arial"/>
          <w:sz w:val="18"/>
          <w:szCs w:val="18"/>
          <w:color w:val="auto"/>
        </w:rPr>
        <w:t>As of the close of business on December 19, 2019, the reporting persons beneficially owned an aggregate of 2,017,669 shares of the Issuer’s Class A Common Stock or 5.1% of the Issuer’s Class A Common Stock outstanding. The calculation of the foregoing percentage was based on 39,428,571 shares of the Issuer’s Class A Common Stock outstanding as of November 18, 2019, as per the Issuer’s Form 10-K dated November 22, 2019. Specifically, as of the close of business on December 19, 2019:</w:t>
      </w:r>
    </w:p>
    <w:p>
      <w:pPr>
        <w:spacing w:after="0" w:line="157" w:lineRule="exact"/>
        <w:rPr>
          <w:sz w:val="20"/>
          <w:szCs w:val="20"/>
          <w:color w:val="auto"/>
        </w:rPr>
      </w:pPr>
    </w:p>
    <w:p>
      <w:pPr>
        <w:ind w:firstLine="157"/>
        <w:spacing w:after="0" w:line="268" w:lineRule="auto"/>
        <w:tabs>
          <w:tab w:leader="none" w:pos="3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Integrated Core Strategies (US) LLC, a Delaware limited liability company ("Integrated Core Strategies"), beneficially owned 154,709 shares of the Issuer’s Class A Common Stock;</w:t>
      </w:r>
    </w:p>
    <w:p>
      <w:pPr>
        <w:spacing w:after="0" w:line="145" w:lineRule="exact"/>
        <w:rPr>
          <w:rFonts w:ascii="Arial" w:cs="Arial" w:eastAsia="Arial" w:hAnsi="Arial"/>
          <w:sz w:val="18"/>
          <w:szCs w:val="18"/>
          <w:color w:val="auto"/>
        </w:rPr>
      </w:pPr>
    </w:p>
    <w:p>
      <w:pPr>
        <w:ind w:firstLine="164"/>
        <w:spacing w:after="0" w:line="268" w:lineRule="auto"/>
        <w:tabs>
          <w:tab w:leader="none" w:pos="3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ICS Opportunities II LLC, a Cayman Islands limited liability company ("ICS Opportunities II"), beneficially owned 298,817 shares of the Issuer’s Class A Common Stock; and</w:t>
      </w:r>
    </w:p>
    <w:p>
      <w:pPr>
        <w:spacing w:after="0" w:line="145" w:lineRule="exact"/>
        <w:rPr>
          <w:rFonts w:ascii="Arial" w:cs="Arial" w:eastAsia="Arial" w:hAnsi="Arial"/>
          <w:sz w:val="18"/>
          <w:szCs w:val="18"/>
          <w:color w:val="auto"/>
        </w:rPr>
      </w:pPr>
    </w:p>
    <w:p>
      <w:pPr>
        <w:jc w:val="both"/>
        <w:ind w:firstLine="145"/>
        <w:spacing w:after="0" w:line="259"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ICS Opportunities, Ltd., an exempted company organized under the laws of the Cayman Islands ("ICS Opportunities"), beneficially owned 1,564,143 shares of the Issuer’s Class A Common Stock, which collectively with the other foregoing reporting persons represented 2,017,669 shares of the Issuer’s Class A Common Stock or 5.1% of the Issuer’s Class A Common Stock outstanding.</w:t>
      </w:r>
    </w:p>
    <w:p>
      <w:pPr>
        <w:spacing w:after="0" w:line="154" w:lineRule="exact"/>
        <w:rPr>
          <w:sz w:val="20"/>
          <w:szCs w:val="20"/>
          <w:color w:val="auto"/>
        </w:rPr>
      </w:pPr>
    </w:p>
    <w:p>
      <w:pPr>
        <w:jc w:val="both"/>
        <w:ind w:firstLine="226"/>
        <w:spacing w:after="0" w:line="259" w:lineRule="auto"/>
        <w:rPr>
          <w:sz w:val="20"/>
          <w:szCs w:val="20"/>
          <w:color w:val="auto"/>
        </w:rPr>
      </w:pPr>
      <w:r>
        <w:rPr>
          <w:rFonts w:ascii="Arial" w:cs="Arial" w:eastAsia="Arial" w:hAnsi="Arial"/>
          <w:sz w:val="18"/>
          <w:szCs w:val="18"/>
          <w:color w:val="auto"/>
        </w:rPr>
        <w:t>Millennium International Management LP, a Delaware limited partnership ("Millennium International Management"), is the investment manager to ICS Opportunities II and ICS Opportunities and may be deemed to have shared voting control and investment discretion over securities owned by ICS Opportunities II and ICS Opportunities.</w:t>
      </w:r>
    </w:p>
    <w:p>
      <w:pPr>
        <w:spacing w:after="0" w:line="154" w:lineRule="exact"/>
        <w:rPr>
          <w:sz w:val="20"/>
          <w:szCs w:val="20"/>
          <w:color w:val="auto"/>
        </w:rPr>
      </w:pPr>
    </w:p>
    <w:p>
      <w:pPr>
        <w:jc w:val="both"/>
        <w:ind w:firstLine="132"/>
        <w:spacing w:after="0" w:line="298" w:lineRule="auto"/>
        <w:rPr>
          <w:sz w:val="20"/>
          <w:szCs w:val="20"/>
          <w:color w:val="auto"/>
        </w:rPr>
      </w:pPr>
      <w:r>
        <w:rPr>
          <w:rFonts w:ascii="Arial" w:cs="Arial" w:eastAsia="Arial" w:hAnsi="Arial"/>
          <w:sz w:val="16"/>
          <w:szCs w:val="16"/>
          <w:color w:val="auto"/>
        </w:rPr>
        <w:t>Millennium Management LLC, a Delaware limited liability company ("Millennium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II and ICS Opportunities and may also be deemed to have shared voting control and investment discretion over securities owned by ICS Opportunities II and ICS Opportunities.</w:t>
      </w:r>
    </w:p>
    <w:p>
      <w:pPr>
        <w:spacing w:after="0" w:line="126" w:lineRule="exact"/>
        <w:rPr>
          <w:sz w:val="20"/>
          <w:szCs w:val="20"/>
          <w:color w:val="auto"/>
        </w:rPr>
      </w:pPr>
    </w:p>
    <w:p>
      <w:pPr>
        <w:jc w:val="both"/>
        <w:ind w:firstLine="199"/>
        <w:spacing w:after="0" w:line="256" w:lineRule="auto"/>
        <w:rPr>
          <w:sz w:val="20"/>
          <w:szCs w:val="20"/>
          <w:color w:val="auto"/>
        </w:rPr>
      </w:pPr>
      <w:r>
        <w:rPr>
          <w:rFonts w:ascii="Arial" w:cs="Arial" w:eastAsia="Arial" w:hAnsi="Arial"/>
          <w:sz w:val="18"/>
          <w:szCs w:val="18"/>
          <w:color w:val="auto"/>
        </w:rPr>
        <w:t>Millennium Group Management LLC, a Delaware limited liability company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II and ICS Opportunities.</w:t>
      </w:r>
    </w:p>
    <w:p>
      <w:pPr>
        <w:spacing w:after="0" w:line="157"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color w:val="auto"/>
        </w:rPr>
        <w:t>The managing member of Millennium Group Management is a trust of which Israel A. Englander, a United States citizen ("Mr. Englander"), currently serves as the sole voting trustee. Therefore, Mr. Englander may also be deemed to have shared voting control and investment discretion over securities owned by Integrated Core Strategies, ICS Opportunities II and ICS Opportunities.</w:t>
      </w:r>
    </w:p>
    <w:p>
      <w:pPr>
        <w:spacing w:after="0" w:line="154" w:lineRule="exact"/>
        <w:rPr>
          <w:sz w:val="20"/>
          <w:szCs w:val="20"/>
          <w:color w:val="auto"/>
        </w:rPr>
      </w:pPr>
    </w:p>
    <w:p>
      <w:pPr>
        <w:jc w:val="both"/>
        <w:ind w:firstLine="137"/>
        <w:spacing w:after="0" w:line="259" w:lineRule="auto"/>
        <w:rPr>
          <w:sz w:val="20"/>
          <w:szCs w:val="20"/>
          <w:color w:val="auto"/>
        </w:rPr>
      </w:pPr>
      <w:r>
        <w:rPr>
          <w:rFonts w:ascii="Arial" w:cs="Arial" w:eastAsia="Arial" w:hAnsi="Arial"/>
          <w:sz w:val="18"/>
          <w:szCs w:val="18"/>
          <w:color w:val="auto"/>
        </w:rPr>
        <w:t>The foregoing should not be construed in and of itself as an admission by Millennium International Management, Millennium Management, Millennium Group Management or Mr. Englander as to beneficial ownership of the securities owned by Integrated Core Strategies, ICS Opportunities II or ICS Opportunities, as the case may 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 Percent of Class:</w:t>
      </w:r>
    </w:p>
    <w:p>
      <w:pPr>
        <w:spacing w:after="0" w:line="185" w:lineRule="exact"/>
        <w:rPr>
          <w:sz w:val="20"/>
          <w:szCs w:val="20"/>
          <w:color w:val="auto"/>
        </w:rPr>
      </w:pPr>
    </w:p>
    <w:p>
      <w:pPr>
        <w:jc w:val="both"/>
        <w:ind w:firstLine="177"/>
        <w:spacing w:after="0" w:line="256" w:lineRule="auto"/>
        <w:rPr>
          <w:sz w:val="20"/>
          <w:szCs w:val="20"/>
          <w:color w:val="auto"/>
        </w:rPr>
      </w:pPr>
      <w:r>
        <w:rPr>
          <w:rFonts w:ascii="Arial" w:cs="Arial" w:eastAsia="Arial" w:hAnsi="Arial"/>
          <w:sz w:val="18"/>
          <w:szCs w:val="18"/>
          <w:color w:val="auto"/>
        </w:rPr>
        <w:t>As of the close of business on December 19, 2019, Millennium Management, Millennium Group Management and Mr. Englander may be deemed to have beneficially owned 2,017,669 shares of the Issuer’s Class A Common Stock or 5.1% of the Issuer’s Class A Common Stock outstanding (see Item 4(a) above), which percentage was calculated based on 39,428,571 shares of the Issuer’s Class A Common Stock outstanding as of November 18, 2019, as per the Issuer’s Form 10-K dated November 22, 2019.</w:t>
      </w:r>
    </w:p>
    <w:p>
      <w:pPr>
        <w:sectPr>
          <w:pgSz w:w="11900" w:h="16838" w:orient="portrait"/>
          <w:cols w:equalWidth="0" w:num="1">
            <w:col w:w="11420"/>
          </w:cols>
          <w:pgMar w:left="240" w:top="33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60" w:type="dxa"/>
            <w:vAlign w:val="bottom"/>
          </w:tcPr>
          <w:p>
            <w:pPr>
              <w:ind w:left="224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12</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ind w:left="300" w:hanging="248"/>
        <w:spacing w:after="0"/>
        <w:tabs>
          <w:tab w:leader="none" w:pos="300"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920" w:hanging="132"/>
        <w:spacing w:after="0" w:line="454" w:lineRule="auto"/>
        <w:tabs>
          <w:tab w:leader="none" w:pos="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680" w:right="7700" w:hanging="132"/>
        <w:spacing w:after="0" w:line="454" w:lineRule="auto"/>
        <w:tabs>
          <w:tab w:leader="none" w:pos="8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2,017,669 (See Item 4(b))</w:t>
      </w:r>
    </w:p>
    <w:p>
      <w:pPr>
        <w:ind w:left="900" w:hanging="308"/>
        <w:spacing w:after="0"/>
        <w:tabs>
          <w:tab w:leader="none" w:pos="9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8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85" w:lineRule="exact"/>
        <w:rPr>
          <w:sz w:val="20"/>
          <w:szCs w:val="20"/>
          <w:color w:val="auto"/>
        </w:rPr>
      </w:pPr>
    </w:p>
    <w:p>
      <w:pPr>
        <w:ind w:left="680" w:right="6780" w:hanging="132"/>
        <w:spacing w:after="0" w:line="454"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2,017,669 (See Item 4(b))</w:t>
      </w: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57"/>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33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20" w:type="dxa"/>
            <w:vAlign w:val="bottom"/>
          </w:tcPr>
          <w:p>
            <w:pPr>
              <w:ind w:left="2200"/>
              <w:spacing w:after="0"/>
              <w:rPr>
                <w:sz w:val="20"/>
                <w:szCs w:val="20"/>
                <w:color w:val="auto"/>
              </w:rPr>
            </w:pPr>
            <w:r>
              <w:rPr>
                <w:rFonts w:ascii="Arial" w:cs="Arial" w:eastAsia="Arial" w:hAnsi="Arial"/>
                <w:sz w:val="18"/>
                <w:szCs w:val="18"/>
                <w:b w:val="1"/>
                <w:bCs w:val="1"/>
                <w:color w:val="auto"/>
              </w:rPr>
              <w:t>SCHEDULE 13G</w:t>
            </w:r>
          </w:p>
        </w:tc>
        <w:tc>
          <w:tcPr>
            <w:tcW w:w="158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9"/>
              </w:rPr>
              <w:t>Page</w:t>
            </w:r>
          </w:p>
        </w:tc>
        <w:tc>
          <w:tcPr>
            <w:tcW w:w="920" w:type="dxa"/>
            <w:vAlign w:val="bottom"/>
            <w:tcBorders>
              <w:top w:val="single" w:sz="8" w:color="auto"/>
              <w:bottom w:val="single" w:sz="8" w:color="auto"/>
              <w:right w:val="single" w:sz="8" w:color="auto"/>
            </w:tcBorders>
          </w:tcPr>
          <w:p>
            <w:pPr>
              <w:jc w:val="right"/>
              <w:ind w:right="292"/>
              <w:spacing w:after="0"/>
              <w:rPr>
                <w:sz w:val="20"/>
                <w:szCs w:val="20"/>
                <w:color w:val="auto"/>
              </w:rPr>
            </w:pPr>
            <w:r>
              <w:rPr>
                <w:rFonts w:ascii="Arial" w:cs="Arial" w:eastAsia="Arial" w:hAnsi="Arial"/>
                <w:sz w:val="18"/>
                <w:szCs w:val="18"/>
                <w:color w:val="auto"/>
              </w:rPr>
              <w:t>13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2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Exhibit I: Joint Filing Agreement, dated as of December 19, 2019, by and among Integrated Core Strategies (US) LLC, ICS Opportunities II LLC, ICS Opportunities, Ltd., Millennium International Management LP, Millennium Management LLC, Millennium Group Management LLC and Israel A. Englander.</w:t>
      </w:r>
    </w:p>
    <w:p>
      <w:pPr>
        <w:sectPr>
          <w:pgSz w:w="11900" w:h="16838" w:orient="portrait"/>
          <w:cols w:equalWidth="0" w:num="1">
            <w:col w:w="11420"/>
          </w:cols>
          <w:pgMar w:left="240" w:top="332"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14</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19, 2019</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420"/>
          </w:cols>
          <w:pgMar w:left="240" w:top="33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40" w:type="dxa"/>
            <w:vAlign w:val="bottom"/>
            <w:tcBorders>
              <w:top w:val="single" w:sz="8" w:color="auto"/>
              <w:bottom w:val="single" w:sz="8" w:color="auto"/>
              <w:right w:val="single" w:sz="8" w:color="auto"/>
            </w:tcBorders>
          </w:tcPr>
          <w:p>
            <w:pPr>
              <w:jc w:val="right"/>
              <w:ind w:right="552"/>
              <w:spacing w:after="0"/>
              <w:rPr>
                <w:sz w:val="20"/>
                <w:szCs w:val="20"/>
                <w:color w:val="auto"/>
              </w:rPr>
            </w:pPr>
            <w:r>
              <w:rPr>
                <w:rFonts w:ascii="Arial" w:cs="Arial" w:eastAsia="Arial" w:hAnsi="Arial"/>
                <w:sz w:val="18"/>
                <w:szCs w:val="18"/>
                <w:color w:val="auto"/>
              </w:rPr>
              <w:t>079823100</w:t>
            </w:r>
          </w:p>
        </w:tc>
        <w:tc>
          <w:tcPr>
            <w:tcW w:w="464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60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r>
    </w:tbl>
    <w:p>
      <w:pPr>
        <w:spacing w:after="0" w:line="19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Class A Common Stock, par value $0.01 per share, of BellRing Brands, Inc., a Delaware corporation,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19, 2019</w:t>
      </w:r>
    </w:p>
    <w:p>
      <w:pPr>
        <w:spacing w:after="0" w:line="20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II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ICS OPPORTUNITIES, LTD.</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International Management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Investment Manager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INTERNATIONAL MANAGEMENT LP</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/s/Mark Meskin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Mark Meskin</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Chief Trading Officer</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10795</wp:posOffset>
            </wp:positionV>
            <wp:extent cx="2143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420"/>
      </w:cols>
      <w:pgMar w:left="240" w:top="332" w:right="239" w:bottom="5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2"/>
      <w:numFmt w:val="bullet"/>
      <w:start w:val="1"/>
    </w:lvl>
    <w:lvl w:ilvl="1">
      <w:lvlJc w:val="left"/>
      <w:lvlText w:val="(%2)"/>
      <w:numFmt w:val="lowerLetter"/>
      <w:start w:val="2"/>
    </w:lvl>
  </w:abstractNum>
  <w:abstractNum w:abstractNumId="2">
    <w:nsid w:val="3352255A"/>
    <w:multiLevelType w:val="hybridMultilevel"/>
    <w:lvl w:ilvl="0">
      <w:lvlJc w:val="left"/>
      <w:lvlText w:val="3"/>
      <w:numFmt w:val="bullet"/>
      <w:start w:val="1"/>
    </w:lvl>
  </w:abstractNum>
  <w:abstractNum w:abstractNumId="3">
    <w:nsid w:val="109CF92E"/>
    <w:multiLevelType w:val="hybridMultilevel"/>
    <w:lvl w:ilvl="0">
      <w:lvlJc w:val="left"/>
      <w:lvlText w:val="2"/>
      <w:numFmt w:val="bullet"/>
      <w:start w:val="1"/>
    </w:lvl>
    <w:lvl w:ilvl="1">
      <w:lvlJc w:val="left"/>
      <w:lvlText w:val="(%2)"/>
      <w:numFmt w:val="lowerLetter"/>
      <w:start w:val="2"/>
    </w:lvl>
  </w:abstractNum>
  <w:abstractNum w:abstractNumId="4">
    <w:nsid w:val="DED7263"/>
    <w:multiLevelType w:val="hybridMultilevel"/>
    <w:lvl w:ilvl="0">
      <w:lvlJc w:val="left"/>
      <w:lvlText w:val="3"/>
      <w:numFmt w:val="bullet"/>
      <w:start w:val="1"/>
    </w:lvl>
  </w:abstractNum>
  <w:abstractNum w:abstractNumId="5">
    <w:nsid w:val="7FDCC233"/>
    <w:multiLevelType w:val="hybridMultilevel"/>
    <w:lvl w:ilvl="0">
      <w:lvlJc w:val="left"/>
      <w:lvlText w:val="2"/>
      <w:numFmt w:val="bullet"/>
      <w:start w:val="1"/>
    </w:lvl>
    <w:lvl w:ilvl="1">
      <w:lvlJc w:val="left"/>
      <w:lvlText w:val="(%2)"/>
      <w:numFmt w:val="lowerLetter"/>
      <w:start w:val="2"/>
    </w:lvl>
  </w:abstractNum>
  <w:abstractNum w:abstractNumId="6">
    <w:nsid w:val="1BEFD79F"/>
    <w:multiLevelType w:val="hybridMultilevel"/>
    <w:lvl w:ilvl="0">
      <w:lvlJc w:val="left"/>
      <w:lvlText w:val="3"/>
      <w:numFmt w:val="bullet"/>
      <w:start w:val="1"/>
    </w:lvl>
  </w:abstractNum>
  <w:abstractNum w:abstractNumId="7">
    <w:nsid w:val="41A7C4C9"/>
    <w:multiLevelType w:val="hybridMultilevel"/>
    <w:lvl w:ilvl="0">
      <w:lvlJc w:val="left"/>
      <w:lvlText w:val="2"/>
      <w:numFmt w:val="bullet"/>
      <w:start w:val="1"/>
    </w:lvl>
    <w:lvl w:ilvl="1">
      <w:lvlJc w:val="left"/>
      <w:lvlText w:val="(%2)"/>
      <w:numFmt w:val="lowerLetter"/>
      <w:start w:val="2"/>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2"/>
      <w:numFmt w:val="bullet"/>
      <w:start w:val="1"/>
    </w:lvl>
    <w:lvl w:ilvl="1">
      <w:lvlJc w:val="left"/>
      <w:lvlText w:val="(%2)"/>
      <w:numFmt w:val="lowerLetter"/>
      <w:start w:val="2"/>
    </w:lvl>
  </w:abstractNum>
  <w:abstractNum w:abstractNumId="10">
    <w:nsid w:val="25E45D32"/>
    <w:multiLevelType w:val="hybridMultilevel"/>
    <w:lvl w:ilvl="0">
      <w:lvlJc w:val="left"/>
      <w:lvlText w:val="3"/>
      <w:numFmt w:val="bullet"/>
      <w:start w:val="1"/>
    </w:lvl>
  </w:abstractNum>
  <w:abstractNum w:abstractNumId="11">
    <w:nsid w:val="519B500D"/>
    <w:multiLevelType w:val="hybridMultilevel"/>
    <w:lvl w:ilvl="0">
      <w:lvlJc w:val="left"/>
      <w:lvlText w:val="2"/>
      <w:numFmt w:val="bullet"/>
      <w:start w:val="1"/>
    </w:lvl>
    <w:lvl w:ilvl="1">
      <w:lvlJc w:val="left"/>
      <w:lvlText w:val="(%2)"/>
      <w:numFmt w:val="lowerLetter"/>
      <w:start w:val="2"/>
    </w:lvl>
  </w:abstractNum>
  <w:abstractNum w:abstractNumId="12">
    <w:nsid w:val="431BD7B7"/>
    <w:multiLevelType w:val="hybridMultilevel"/>
    <w:lvl w:ilvl="0">
      <w:lvlJc w:val="left"/>
      <w:lvlText w:val="3"/>
      <w:numFmt w:val="bullet"/>
      <w:start w:val="1"/>
    </w:lvl>
  </w:abstractNum>
  <w:abstractNum w:abstractNumId="13">
    <w:nsid w:val="3F2DBA31"/>
    <w:multiLevelType w:val="hybridMultilevel"/>
    <w:lvl w:ilvl="0">
      <w:lvlJc w:val="left"/>
      <w:lvlText w:val="2"/>
      <w:numFmt w:val="bullet"/>
      <w:start w:val="1"/>
    </w:lvl>
    <w:lvl w:ilvl="1">
      <w:lvlJc w:val="left"/>
      <w:lvlText w:val="(%2)"/>
      <w:numFmt w:val="lowerLetter"/>
      <w:start w:val="2"/>
    </w:lvl>
  </w:abstractNum>
  <w:abstractNum w:abstractNumId="14">
    <w:nsid w:val="7C83E458"/>
    <w:multiLevelType w:val="hybridMultilevel"/>
    <w:lvl w:ilvl="0">
      <w:lvlJc w:val="left"/>
      <w:lvlText w:val="3"/>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7"/>
    </w:lvl>
  </w:abstractNum>
  <w:abstractNum w:abstractNumId="19">
    <w:nsid w:val="333AB105"/>
    <w:multiLevelType w:val="hybridMultilevel"/>
    <w:lvl w:ilvl="0">
      <w:lvlJc w:val="left"/>
      <w:lvlText w:val="%1"/>
      <w:numFmt w:val="lowerRoman"/>
      <w:start w:val="1"/>
    </w:lvl>
    <w:lvl w:ilvl="1">
      <w:lvlJc w:val="left"/>
      <w:lvlText w:val="%2)"/>
      <w:numFmt w:val="lowerRoman"/>
      <w:start w:val="1"/>
    </w:lvl>
  </w:abstractNum>
  <w:abstractNum w:abstractNumId="20">
    <w:nsid w:val="721DA317"/>
    <w:multiLevelType w:val="hybridMultilevel"/>
    <w:lvl w:ilvl="0">
      <w:lvlJc w:val="left"/>
      <w:lvlText w:val="%1)"/>
      <w:numFmt w:val="lowerRoman"/>
      <w:start w:val="3"/>
    </w:lvl>
    <w:lvl w:ilvl="1">
      <w:lvlJc w:val="left"/>
      <w:lvlText w:val="%2"/>
      <w:numFmt w:val="lowerRoman"/>
      <w:start w:val="1"/>
    </w:lvl>
  </w:abstractNum>
  <w:abstractNum w:abstractNumId="21">
    <w:nsid w:val="2443A85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2019-12-20T15:37:21Z</dcterms:created>
  <dcterms:modified xsi:type="dcterms:W3CDTF">2019-12-20T15:37:21Z</dcterms:modified>
</cp:coreProperties>
</file>