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60" w:right="1400" w:hanging="2656"/>
        <w:spacing w:after="0" w:line="290" w:lineRule="auto"/>
        <w:tabs>
          <w:tab w:leader="none" w:pos="1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85"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136,244,406 shares as of August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209"/>
        </w:trPr>
        <w:tc>
          <w:tcPr>
            <w:tcW w:w="6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0"/>
        </w:trPr>
        <w:tc>
          <w:tcPr>
            <w:tcW w:w="6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70"/>
        </w:trPr>
        <w:tc>
          <w:tcPr>
            <w:tcW w:w="6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on other comprehensive income:</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55"/>
        </w:trPr>
        <w:tc>
          <w:tcPr>
            <w:tcW w:w="63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Total Other Comprehensive (Loss) Income Including Redeemable Noncontrolling</w:t>
            </w:r>
          </w:p>
        </w:tc>
        <w:tc>
          <w:tcPr>
            <w:tcW w:w="7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38.0</w:t>
            </w: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
        </w:trPr>
        <w:tc>
          <w:tcPr>
            <w:tcW w:w="6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(3,062.8)</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including redeemable noncontrolling interest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165"/>
        </w:trPr>
        <w:tc>
          <w:tcPr>
            <w:tcW w:w="8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earnings including redeemable noncontrolling interest to net cash provided by operating</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and refinancing of debt,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receivables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(increase) in prepaid expenses and other current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other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accounts payable and other current liabilities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non-current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53"/>
        </w:trPr>
        <w:tc>
          <w:tcPr>
            <w:tcW w:w="8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53"/>
        </w:trPr>
        <w:tc>
          <w:tcPr>
            <w:tcW w:w="8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merger consideration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issuance, extinguishment and refinancing costs and deferred financing fees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(to) Post Holdings, Inc.,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to Post Holdings, Inc. in connection with Spin-off</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300" w:type="dxa"/>
            <w:vAlign w:val="bottom"/>
          </w:tcPr>
          <w:p>
            <w:pPr>
              <w:spacing w:after="0"/>
              <w:rPr>
                <w:sz w:val="16"/>
                <w:szCs w:val="16"/>
                <w:color w:val="auto"/>
              </w:rPr>
            </w:pPr>
          </w:p>
        </w:tc>
        <w:tc>
          <w:tcPr>
            <w:tcW w:w="248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center"/>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and end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(2,179.0)</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 available to common stockholders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to Post Holdings, Inc.</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Hedging Adjustments, net of tax</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hedges, net of tax</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(3,155.0)</w:t>
            </w:r>
          </w:p>
        </w:tc>
      </w:tr>
      <w:tr>
        <w:trPr>
          <w:trHeight w:val="21"/>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Brands, Inc. (formally known as BellRing Distribution, LLC)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14).</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par value $0.01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the BellRing Common Stock and Post shareholders owned approximately 57.3% of the BellRing Common Stock. The former Old BellRing stockholders owned approximately 28.5% of the BellRing Common Stock, maintaining the same effective percentage ownership interest in the Old BellRing business as prior to the Spin-off. As a result of the Spin-off, the dual class voting structure in the BellRing business was eliminated.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Subsequent to the Spin-off, Post owned 14.2% of the BellRing Common Stock, which did not represent a controlling interest in BellRing. The Company incurred separation-related expenses of $0.9 and $13.2 during the three and nine months ended June 30, 2022, respectively, in connection with the Spin-off.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the “Company” generally refers to BellRing Brands, Inc. and its consolidated subsidiaries during the periods both prior to and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2021. These unaudited condensed consolidated financial statements should be read in conjunction with such audited consolidated financial statements, which are included in the Company’s Annual Report on Form 10-K for the fiscal year ended September 30, 2021, filed with the SEC on November 19, 2021.</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the Company (see Note 5). All intercompany balances and transactions have been eliminated. See Note 4 for further information on transactions with Post included in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those described below) that had or will have a material impact on the Company’s results of operations, comprehensive income, financial position, cash flows, stockholders’ equity or related disclosures based on current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(the “FASB”) issued Accounting Standards Update (“ASU”) No. 2021-08, “Business Combinations (Topic 805): Accounting for Contract Assets and Contract Liabilities from Contracts with Customers.” This ASU requires a company to recognize and measure contract assets and contract liabilities acquired in a business combination in accordance with ASU No. 2014-09, “Revenue from Contracts with Customers (Topic 606)” as if the company had originated the contracts. The Company early adopted this ASU on October 1, 2021 on a prospective basis, as permitted by the ASU. The adoption of this ASU had no impact on the Company’s consolidated financial statements or related disclosures.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removing major separation models required under current GAAP. This ASU also removes certain settlement conditions that are required for equity-linked contracts to qualify for the derivative scope exception, and it simplifies the diluted earnings per share calculation in certain areas. The Company early adopted this ASU on October 1, 2021, using the modified retrospective approach. The adoption of this ASU did not have a material impact on the Company’s consolidated financial statements or related disclosures.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adopted Topic 848 on October 1, 2021. The adoption of Topic 848 did not have and is not expected to have a material impact on the Company’s consolidated financial statements or related disclosures</w:t>
      </w:r>
      <w:r>
        <w:rPr>
          <w:rFonts w:ascii="Calibri" w:cs="Calibri" w:eastAsia="Calibri" w:hAnsi="Calibri"/>
          <w:sz w:val="19"/>
          <w:szCs w:val="19"/>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the Company. Subsequent to the Spin-off, and as of June 30, 2022, Post owned 14.2% of the BellRing Common Stock. As such, both prior to and subsequent to the Spin-off, transactions with Post were considered related party transactions.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 consistent with pricing of similar arm's-length transactions. During each of the three and nine months ended June 30, 2022 and 2021, net sales to, purchases from and royalties paid to and received from Post and its subsidiaries were immaterial.</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 series of agreements with Post which are intended to govern the ongoing relationship between the Company and Post. Prior to the Spin-off, these agreements included the amended and restated limited liability company agreement of BellRing LLC (the “BellRing LLC Agreement”), an employee matters agreement, an investor rights agreement, a tax matters agreement, a tax receivable agreement and a master services agreement, among others. In connection with the Spin-off, the Company and Post amended and restated the master services agreement (the “MSA”) and the employee matters agreement and entered into a new tax matters agreement (the “Tax Matters Agreement”). The previous investor rights agreement between the Company and Post was terminated, and the Company and Post entered into a new registration rights agreement. Under certain of these agreements, the Company incurs expenses payable to Post in connection with certain administrative services provided for varying lengths of time. The Company had immaterial receivables with Post at both June 30, 2022 and September 30, 2021 related to sales with Post and its subsidiaries. The Company had $2.3 and $2.2 of payables with Post at June 30, 2022 and September 30, 2021, respectively, related to MSA fees and pass-through charges owed by the Company to Post, as well as related party purchases, which were recorded in “Accounts payable,” on the Condensed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MSA</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to the Company. The MSA was amended and restated upon completion of the Spin-off to provide for similar services following the Spin-off and such other services as BellRing and Post may agree. For the three and nine months ended June 30, 2022, MSA fees were $1.4 and $3.2, respectively. For the three and nine months ended June 30, 2021, MSA fees were $0.6 and $1.7, respectively. MSA fees were reported in “Selling, general and administrative expenses” in the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Spin-off, the Company incurred pass-through charges from Post relating to stock-based compensation for employees participating in Post’s stock-based compensation plans. There were no material pass-through charges incurred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Spin-off. For the nine months ended June 30, 2022, stock-based compensation expense related to Post’s stock-based compensation plans was $0.9. For the three and nine months ended June 30, 2021, stock-based compensation expense related to Post’s stock-based compensation plans was $0.6 and $2.0, respectively. Stock-based compensation expense was reported in “Selling, general and administrative expenses” in the Condensed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BellRing LLC made payments to Post related to quarterly tax distributions and state corporate tax withholdings made pursuant to the terms of the BellRing LLC Agreement. During the nine months ended June 30, 2022, BellRing LLC paid $3.2 to Post related to quarterly tax distributions and had immaterial payments for state corporate tax withholdings on behalf of Post. During the nine months ended June 30, 2021, BellRing LLC paid $15.7 to Post related to quarterly tax distributions and $1.8 for state corporate tax withholdings on behalf of Post.</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provisions of the tax receivable agreement prior to the Spin-off, Old BellRing paid Post (or certain of its transferees or other assignees) 85% of the amount of cash savings, if any, in U.S. federal income tax, as well as state and local income tax and franchise tax (using an assumed tax rate) and foreign tax that Old BellRing realized (or, in some circumstances, was deemed to realize) as a result of (a) the increase in the tax basis of assets of BellRing LLC attributable to (i) the redemption of Post’s (or certain transferees’ or assignees’) BellRing LLC units for shares of Old BellRing Class A Common Stock or cash, (ii) deemed sales by Post (or certain of its transferees or assignees) of BellRing LLC units or assets to Old BellRing, (iii) certain actual or deemed distributions from BellRing LLC to Post (or certain transferees or assignees) and (iv) certain formation transactions, (b) disproportionate allocations of tax benefits to Old BellRing as a result of Section 704(c) of the Internal Revenue Code and (c) certain tax benefits (e.g., imputed interest, basis adjustments, etc.) attributable to payments under the tax receivable agreement.</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Amounts payable to Post related to the tax receivable agreement of $0.4 were recorded in “Accounts Payable” on the Condensed Consolidated Balance Sheet at June 30, 2022. Amounts payable to Post related to the tax receivable agreement of $0.3 and $10.2 were recorded in “Accounts Payable” and “Other liabilities,” respectively, on the Condensed Consolidated Balance Sheet at September 30, 2021.</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entered into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paid under the Tax Matters Agreement during the nine months ended June 30,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Arrangement</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2022, Premier Nutrition Company, LLC (“Premier Nutrition”), a subsidiary of the Company, and Michael Foods, Inc. (“MFI”), a subsidiary of Post, entered into a reimbursement agreement relating to MFI’s acquisition and development of property intended to be used as an aseptic processing plant to produce RTD shakes for Premier Nutrition (such agreement, the “Reimbursement Agreement” and such arrangement to produce RTD shakes for Premier Nutrition, the “Co-Man Arrangement”). Pursuant to the Reimbursement Agreement, prior to the execution of a definitive agreement governing the Co-Man Arrangement, Premier Nutrition will indemnify MFI for certain costs and expenses incurred in the acquisition and development of property for the Co-Man Arrangement. For the three and nine months ended June 30, 2022, Premier Nutrition did not reimburse MFI for any amounts under the Reimbursement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September 30, 2021, Post held 97.5 million BellRing LLC units, equal to 71.2% of the economic interest in BellRing LLC. 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splits, stock dividends and reclassification or (ii) cash (based on the market price of the shares of Old BellRing Class A Common Stock).</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its share of Old BellRing Class B Common Stock (see Note 1). The carrying amount of the NCI was the greater of (i) the initial carrying amount, increased or decreased for the NCI’s share of net income or loss, other comprehensive income or loss (“OCI”) and distributions or dividends or (ii) the redemption value. As of September 30, 2021, the carrying amount of the NCI was recorded at its redemption value of $2,997.3. Changes in the redemption value of the NCI were recorded to “Additional paid-in capital”, to the extent available, and “Accumulated deficit” on the Condensed Consolidated Balance Sheets.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2021 and immediately prior to the Spin-off, Old BellRing owned 28.8% and 28.5%, respectively,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and as of June 30, 2022, Post owned 14.2% of the BellRing Common Stock, which did not represent a controlling interest in the Company. As a result of the Spin-off, the carrying amount of the NCI was reduced to zero immediately following the Spin-off.</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NCI prior to the Spin-off. There were no changes to the Company’s NCI for the three months ended June 30, 2022 as the carrying amount of the NCI was reduced to zero immediately following the Spin-off on March 10,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6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300" w:type="dxa"/>
            <w:vAlign w:val="bottom"/>
          </w:tcPr>
          <w:p>
            <w:pPr>
              <w:spacing w:after="0"/>
              <w:rPr>
                <w:sz w:val="14"/>
                <w:szCs w:val="14"/>
                <w:color w:val="auto"/>
              </w:rPr>
            </w:pPr>
          </w:p>
        </w:tc>
        <w:tc>
          <w:tcPr>
            <w:tcW w:w="2600" w:type="dxa"/>
            <w:vAlign w:val="bottom"/>
            <w:gridSpan w:val="6"/>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51"/>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w:t>
            </w:r>
          </w:p>
        </w:tc>
        <w:tc>
          <w:tcPr>
            <w:tcW w:w="78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7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7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78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prior to the Spin-off. There were no transfers to or from NCI for the three months ended June 30, 2022 as the carrying amount of the NCI was reduced to zero immediately following the Spin-off on March 10,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60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to (from) NCI:</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equity as a result of the Spin-off</w:t>
            </w:r>
          </w:p>
        </w:tc>
        <w:tc>
          <w:tcPr>
            <w:tcW w:w="7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300" w:type="dxa"/>
            <w:vAlign w:val="bottom"/>
            <w:tcBorders>
              <w:top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to (from)</w:t>
            </w:r>
          </w:p>
        </w:tc>
        <w:tc>
          <w:tcPr>
            <w:tcW w:w="720" w:type="dxa"/>
            <w:vAlign w:val="bottom"/>
            <w:tcBorders>
              <w:top w:val="single" w:sz="8" w:color="auto"/>
            </w:tcBorders>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39.1</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36"/>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NCI</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24.2% and 18.4% for the three and nine months ended June 30, 2022, respectively, and 8.1% and 7.3% for the three and nine months ended June 30, 2021, respectively. The increase in the effective income tax rate compared to the prior periods was primarily due to (i) the Company reporting 100% of the income, gain, loss and deduction of BellRing LLC in the periods subsequent to the Spin-off. and (ii) during the nine months ended June 30, 2022, certain separation-related expenses incurred in connection with the Spin-off that were treated as non-deductible.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Tax Matters Agreement by and among Post, BellRing and Old BellRing, see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each period.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each period.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was not presented for any periods.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dilutive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of Common Stock</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Weighted-average shares for diluted earnings per share excluded equity awards of zero and 0.1 million for the three and nine months ended June 30, 2022, respectively, and zero and 0.2 million for the three and nine months ended June 30, 2021,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PROPERTY, NET</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June 30, 2022 and September 30, 2021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intangible assets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2020, the Company finalized its plan to discontinue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and related sales of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products. In connection with the discontinuance, the Company updated the useful lives of the customer relationships and trademarks associated with the </w:t>
      </w:r>
      <w:r>
        <w:rPr>
          <w:rFonts w:ascii="Times New Roman" w:cs="Times New Roman" w:eastAsia="Times New Roman" w:hAnsi="Times New Roman"/>
          <w:sz w:val="18"/>
          <w:szCs w:val="18"/>
          <w:i w:val="1"/>
          <w:iCs w:val="1"/>
          <w:color w:val="auto"/>
        </w:rPr>
        <w:t>Supreme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brand to reflect the remaining period in which the Company sold existing</w:t>
      </w:r>
      <w:r>
        <w:rPr>
          <w:rFonts w:ascii="Times New Roman" w:cs="Times New Roman" w:eastAsia="Times New Roman" w:hAnsi="Times New Roman"/>
          <w:sz w:val="18"/>
          <w:szCs w:val="18"/>
          <w:i w:val="1"/>
          <w:iCs w:val="1"/>
          <w:color w:val="auto"/>
        </w:rPr>
        <w:t xml:space="preserve"> Supreme Protein </w:t>
      </w:r>
      <w:r>
        <w:rPr>
          <w:rFonts w:ascii="Times New Roman" w:cs="Times New Roman" w:eastAsia="Times New Roman" w:hAnsi="Times New Roman"/>
          <w:sz w:val="18"/>
          <w:szCs w:val="18"/>
          <w:color w:val="auto"/>
        </w:rPr>
        <w:t>product inventory. Accelerated amortization of $11.8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$29.9 was recorded during the three and nine months ended June 30, 2021, respectively, resulting from the updated useful lives of the customer relationships and trademarks associated with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which were fully amortized and written off as of September 30,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September 30, 2021, the Company had pay-fixed, receive-variable interest rate swaps with a notional amount of $350.0. The interest rate swaps required monthly settlements, which began on January 31, 2020, and were used to hedge forecasted interest payments on the Company’s variable rate debt (see Note 14).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term of the related debt. At September 30, 2021, accumulated OCI, including amounts reported as NCI, included a $7.1 net hedging loss before taxes ($6.7 after taxes).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extinguishment of Old BellRing’s debt (see Note 14), the Company paid $1.5 to settle its interest rate swaps associated with the extinguished debt in the second quarter of fiscal 2022. In addition, the Company reclassified to earnings the remaining unamortized net hedging losses and related tax benefits previously recorded to accumulated OCI of $6.1 and $0.4,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derivative instruments on a gross basis at September 30, 2021. The Company does not offset derivative assets and liabilities within the Condensed Consolidated Balance Sheets. The Company held no material derivative instruments at June 30,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9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Company’s interest rate swaps on the Condensed Consolidated Statements of Operations and the net cash settlements paid on interest rate swaps. The Company held no interest rate swaps during the three months ended June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3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Activity</w:t>
            </w:r>
          </w:p>
        </w:tc>
        <w:tc>
          <w:tcPr>
            <w:tcW w:w="140" w:type="dxa"/>
            <w:vAlign w:val="bottom"/>
          </w:tcPr>
          <w:p>
            <w:pPr>
              <w:spacing w:after="0"/>
              <w:rPr>
                <w:sz w:val="20"/>
                <w:szCs w:val="20"/>
                <w:color w:val="auto"/>
              </w:rPr>
            </w:pPr>
          </w:p>
        </w:tc>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Statement of Operations Location</w:t>
            </w:r>
          </w:p>
        </w:tc>
        <w:tc>
          <w:tcPr>
            <w:tcW w:w="24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4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reclassified from accumulated OCI</w:t>
            </w:r>
          </w:p>
        </w:tc>
        <w:tc>
          <w:tcPr>
            <w:tcW w:w="1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5"/>
        </w:trPr>
        <w:tc>
          <w:tcPr>
            <w:tcW w:w="3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reclassified from accumulated OCI</w:t>
            </w:r>
          </w:p>
        </w:tc>
        <w:tc>
          <w:tcPr>
            <w:tcW w:w="14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refinancing of debt, net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benefit reclassified from accumulated</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14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hedging losses, net of tax</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settlements paid, net</w:t>
            </w:r>
          </w:p>
        </w:tc>
        <w:tc>
          <w:tcPr>
            <w:tcW w:w="14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Company’s liabilities and NCI measured at fair value on a recurring basis and the basis for that measurement according to the levels in the fair value hierarchy in Accounting Standards Codification (“ASC”) Topic 820, “Fair Value Measurement.” As of June 30, 2022, the Company had no material derivative liabilities and no NCI.</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23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2,997.3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2021, the Company’s calculation of the fair value of interest rate swaps was derived from a discounted cash flow analysis based on the terms of the contract and the interest rate curve on a recurring basis. The fair value of the NCI was calculated as its redemption value based on the Old BellRing Class A Common Stock price and number of BellRing LLC units owned by Post as of the end of the period (see Note 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current portion of long-term debt or long-term debt at fair value on the Condensed Consolidated Balance Sheets. The fair value of outstanding borrowings under the Revolving Credit Facility (as defined in Note 14) as of June 30, 2022 approximated its carrying value. Based on current market rates, the fair value (Level 2) of the Company’s debt, excluding 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its revolving credit facilities, was $793.6 and $613.8 as of June 30, 2022 and September 30, 2021, respectively.</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plant and equipment, goodwill and other intangible assets, are measured at fair value on a non-recurring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B Facility</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issuance costs,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Unamortized discount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beginning on September 15, 2022. The 7.00% Senior Notes are senior unsecured obligations of BellRing and are guaranteed by BellRing’s existing and subsequently acquired or organized direct and indirect domestic subsidiaries (other than immaterial subsidiaries and certain excluded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restated, amended and restated, supplemented or otherwise modified from time to time, the “Credit Agreement”), which provides for a revolving credit facility in an aggregate principal amount of $250.0 (the “Revolving Credit Facility”), with commitments to be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was initially 2.00% and thereafter will range from 2.00% to 2.75% depending on the Company’s secured net leverage ratio (as defined in the Credit Agreement), or the adjusted term SOFR rate (as defined in the Credit Agreement) for the applicable interest period plus a margin which was initially 3.00% and thereafter will range from 3.00% to 3.75% depending on the Company’s secured net leverage ratio; (ii) in the case of loans denominated in Euros, the adjusted Eurodollar rate (as defined in the Credit Agreement) for the applicable interest period plus a margin which was initially 3.00% and thereafter will range from 3.00% to 3.75% depending on the Company’s secured net leverage ratio; and (iii) in the case of loans denominated in U.K. Pounds Sterling, the adjusted daily simple risk-free rate (as defined in the Credit Agreement) plus a margin which was initially 3.00% and thereafter will range from 3.00% to 3.75% depending on the Company’s secured net leverage ratio. Facility fees on the daily unused amount of commitments under the Revolving Credit Facility were initially accrued at the rate of 0.25% per annum, and thereafter, depending on the Company’s secured net leverage ratio, will accrue at rates ranging from 0.25% to 0.375% per annum.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nine months ended June 30, 2022, the Company borrowed $109.0 under the Revolving Credit Facility and repaid $25.0 under the Revolving Credit Facility. The available borrowing capacity under the Revolving Credit Facility was $166.0 as of June 30, 2022. There were no outstanding letters of credit as of June 30, 2022.</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BellRing is required to comply with a financial covenant requiring it to maintain a total net leverage ratio (as defined in the Credit Agreement) not to exceed 6.00 to 1.00, measured as of the last day of each fiscal quarter, beginning with the fiscal quarter ending June 30, 2022. The total net leverage ratio of the Company did not exceed this threshold as of June 30, 2022.</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and guarantees of the Company’s obligations under the Credit Agreement.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the Company’s assets and the assets of its subsidiary guarantors, but excluding, in each case, real property.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 Any outstanding amounts under the Old Revolving Credit Facility and Term B Facility were required to be repaid on or before October 21, 2024.</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26, 2021, BellRing LLC entered into a second amendment to the Old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Old Credit Agreement to address the anticipated unavailability of LIBOR as a reference interest rate and (iv) provided that if on or before August 26, 2021 BellRing LLC repaid the Term B Facility in whole or in part with the proceeds of new or replacement debt at a lower effective interest rate, or further amended the Old Credit Agreement to reduce the effective interest rate applicable to the Term B Facility, BellRing LLC would have paid a 1.00% premium on the amount repaid or subject to the interest rate reduction. BellRing LLC did not repay the Term B Facility or further amend the Old Credit Agreement on or before August 26, 2021. In connection with the Amendment, BellRing LLC paid debt refinancing fees of $0.1 and $1.6 in the three and nine months ended June 30, 2021, which were included in “Loss on extinguishment and refinancing of debt, net” on the Condensed Consolidated Statements of Operations.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to the Amendment, borrowings under the Term B Facility bore interest, at the option of BellRing LLC, at an annual rate equal to either</w:t>
      </w:r>
    </w:p>
    <w:p>
      <w:pPr>
        <w:spacing w:after="0" w:line="27" w:lineRule="exact"/>
        <w:rPr>
          <w:sz w:val="20"/>
          <w:szCs w:val="20"/>
          <w:color w:val="auto"/>
        </w:rPr>
      </w:pPr>
    </w:p>
    <w:p>
      <w:pPr>
        <w:jc w:val="both"/>
        <w:ind w:firstLine="8"/>
        <w:spacing w:after="0" w:line="255" w:lineRule="auto"/>
        <w:tabs>
          <w:tab w:leader="none" w:pos="2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or (b) the base rate determined by reference to the greatest of (i) the prime rate, (ii) the federal funds effective rate plus 0.50% per annum and (iii) the one-month Eurodollar rate plus 1.00% per annum, in each case plus an applicable margin of 4.00% for Eurodollar rate-based loans and 3.00% for base rate-based loans.</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10, 2022, with certain of the proceeds from the debt financing transactions described above, BellRing LLC repaid the aggregate outstanding principal balance of $519.8 on its Term B Facility and terminated all obligations and commitments under the Old Credit Agreement. The Company recorded a loss of $17.6 in the second quarter of fiscal 2022, which was included in “Loss on extinguishment and refinancing of debt, net” in the Condensed Consolidated Statements of Operations. This loss included (i) a $6.9 write-off of unamortized discounts and debt extinguishment fees, (ii) a $6.1 write-off of unamortized net hedging losses recorded within accumulated OCI related to the Term B Facility (see Note 12) and (iii) a $4.6 write-off of debt issuance costs and deferred financing fees. Following the termination of the Old Credit Agreement, BellRing LLC and the guarantors had no further obligations under the Old Credit Agreement and the related guarantees.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with the balance to be paid at maturity on October 21, 2024. Interest was paid on each Interest Payment Date (as defined in the Old Credit Agreement) during the periods prior to the termination of the Old Credit Agreement. The Term B Facility contained customary mandatory prepayment provisions, including provisions for mandatory prepayment (a) from the net cash proceeds of certain asset sales and (b) of 75% of consolidated excess cash flow (as defined in the Old Credit Agreement) (which percentage would have been reduced to 50% if the secured net leverage ratio (as defined in the Old Credit Agreement) was less than or equal to 3.35:1.00 as of a fiscal year end). The interest rate on the Term B Facility was 4.75% as of September 30, 2021. During the nine months ended June 30, 2022 and prior to the termination of the Old Credit Agreement, the Company repaid $81.4 on its Term B Facility as a mandatory prepayment from fiscal 2021 excess cash flow, which was in addition to the scheduled amortization payments. During the nine months ended June 30, 2021, the Company repaid $28.8 on its Term B Facility as a mandatory prepayment from fiscal 2020 excess cash flow, which was in addition to the scheduled amortization payments</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Old Revolving Credit Facility bore interest, at the option of BellRing LLC, at an annual rate equal to either the Eurodollar rate or the base rate (determined as described above) plus a margin, which was determined by reference to the secured net leverage ratio, with the applicable margin for Eurodollar rate-based loans and base rate-based loans being (i) 4.25% and 3.25%, respectively, if the secured net leverage ratio was greater than or equal to 3.50:1.00, (ii) 4.00% and 3.00%, respectively, if the secured net leverage ratio was less than 3.50:1.00 and greater than or equal to 2.50:1.00 or</w:t>
      </w:r>
    </w:p>
    <w:p>
      <w:pPr>
        <w:spacing w:after="0" w:line="3" w:lineRule="exact"/>
        <w:rPr>
          <w:sz w:val="20"/>
          <w:szCs w:val="20"/>
          <w:color w:val="auto"/>
        </w:rPr>
      </w:pPr>
    </w:p>
    <w:p>
      <w:pPr>
        <w:jc w:val="both"/>
        <w:ind w:right="20" w:firstLine="8"/>
        <w:spacing w:after="0" w:line="255"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and 2.75%, respectively, if the secured net leverage ratio was less than 2.50:1.00. Facility fees on the daily unused amount of commitments under the Old Revolving Credit Facility accrued at rates ranging from 0.25% to 0.50% per annum depending on BellRing LLC’s secured net leverage ratio. There were no amounts drawn under the Old Revolving Credit Facility as of September 30, 2021.</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June 30, 2021, BellRing LLC borrowed $20.0 under the Old Revolving Credit Facility and repaid $50.0 on the Old Revolving Credit Facility. There were no borrowings under or repayments on the Old Revolving Credit Facility during the nine months ended June 30, 2022 prior to the Spin-off. The available borrowing capacity under the Old Revolving Credit Facility was $200.0 as of September 30, 2021. There were no outstanding letters of credit as of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action on behalf of New Jersey consumers was voluntarily dismissed. Trial in the action on behalf of consumers in New York was held beginning in May 2022, and the jury delivered its verdict in favor of plaintiffs in June 2022, but the Court has not yet entered a judgment in the case.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 Following the Court’s denial of Premier Nutrition’s motion to preliminarily enjoin this complaint under the doctrine of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Premier Nutrition appealed to the Ninth Circuit.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judgments and awards of damages. The Company does not believe that the ultimate resolution of these cases will have a material adverse effect on its financial condition, results of operations or cash flows.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nine months ended June 30, 2022 or 2021. At both June 30, 2022 and September 30, 2021, the Company had accrued $8.5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Subsequent to June 30, 2022, a voluntary product recall was initiated by one of the Company’s contract manufacturers which produces RTD shakes for Premier Nutrition. The recall was for products produced from April 1, 2022 to July 15, 2022 at one of the contract manufacturer’s facilities. The Company is currently assessing the impact of the recall and does not believe it will have a material adverse effect on its financial condition, results of operations or cash flows.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Spin-off, 97.5 million shares of BellRing Common Stock were issued to Post, of which 78.1 million were distributed by Post to its shareholders in the Distribution, and 38.9 million shares of Old BellRing Class A Common Stock that were outstanding immediately prior to the Merger were converted into 38.9 million shares of BellRing Common Stock (see Note 1). As of June 30, 2022, the Company had 136.4 million and 136.3 million shares of BellRing Common Stock issued and outstanding, respectively. As of September 30, 2021, the Company had 39.5 million shares of Old BellRing Class A Common Stock issued and outstanding.</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23, 2022, the Company’s Board of Directors approved a $50.0 share repurchase authorization with respect to the shares of BellRing Common Stock. The Company’s prior share repurchase authorization for Old BellRing Class A Common Stock was no longer applicable subsequent to the Spin-off.</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BellRing Common Stock subsequent to the Spin-off.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including broker’s commissions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prior to the Spin-off. There were no repurchases of Old BellRing Class A Common Stock by the Company during the three months ended June 30, 2022 or the three and nine months ended June 30,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9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Transaction Agreement, at the Merger effective time,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Brands, Inc. 2019 Long-Term Incentive Plan (the “BellRing Equity Awards”), whether or not exercisable or vested, were assumed by BellRing. Additionally, the board of directors of BellRing (the “Board”) approved adjustments to the terms of the outstanding BellRing Equity Awards to preserve the intrinsic value of the awards. The adjustments to the BellRing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equity award adjustments had an immaterial impact on the Company’s Statements of Operations for the three and nine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(formally known as BellRing Distribution, LLC) (“BellRing”)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2021, and the “Cautionary Statement on Forward-Looking Statements” section included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par value $0.01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the BellRing Common Stock and Post shareholders owned approximately 57.3% of the BellRing Common Stock. The former Old BellRing stockholders owned approximately 28.5% of the BellRing Common Stock, maintaining their effective ownership in the Old BellRing business prior to the Spin-off. As a result of the Spin-off, the dual class voting structure in the BellRing business was eliminated.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Subsequent to the Spin-off, Post owned 14.2% of the BellRing Common Stock, which did not represent a controlling interest in BellRing. BellRing incurred separation-related expenses of $0.9 million and $13.2 million during the three and nine months ended June 30, 2022, respectively, in connection with the Spin-off.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“our”, “we”, “us” and the “Company” generally refer to BellRing Brands, Inc. and its consolidated subsidiaries during the periods both prior to and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powders and nutrition bars.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i w:val="1"/>
          <w:iCs w:val="1"/>
          <w:color w:val="3051F2"/>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caused and continues to cause global economic disruption and uncertainty, including in our business. We continue to closely monitor the impact of the COVID-19 pandemic and remain focused on ensuring the health and safety of our employees and serving customers and consumers. Our primary categories returned to growth rates in line with their pre-pandemic levels during the fourth quarter of fiscal 2020 and have remained strong in subsequent periods.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 overall economy continues to recover from the impact of the COVID-19 pandemic, input and freight inflation and labor and input availability are pressuring our supply chain. Lower than anticipated production and delays in capacity expansion across the broader third party contract manufacturer network have resulted in low shake inventory volumes and missed sales. Service levels and fill rates remain below normal levels, and certain products have been placed on allocation. These factors are improving but expected to persist throughout fiscal 2022 and into fiscal 2023 and are dependent upon our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we have taken pricing actions on nearly all products. For additional discussion, refer to “Liquidity and Capital Resources” and “Cautionary Statement on Forward-Looking Statements” within this section, as well as “Risk Factors” in Item 1A of Part II of this report.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refinancing of debt, net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earnings attributable to</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155"/>
        </w:trPr>
        <w:tc>
          <w:tcPr>
            <w:tcW w:w="2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Earnings Available to</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24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 xml:space="preserve">Net sales increased $28.0 million, or 8%, during the three months ended June 30, 2022,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$20.8 million, or 7%, driven by higher average net selling prices. Average net selling prices increased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2022 due to targeted price increases and decreased promotional spending. These positive impacts were partially offset by volume decreases of 9%, which were primarily the result of supply constraints and reduced demand-driving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$7.3 million, or 17%, driven by higher average net selling prices. Average net selling prices increased in the three months ended June 30, 2022 due to targeted price increases and favorable product mix. These positive impacts were partially offset by volume decreases of 28%, which were driven by elasticities due to inflation-driven price increases, reduction in trade inventory and lapping prior year promotional activities. Sales of all other products were down $0.1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$85.2 million, or 9%, during the nine months ended June 30, 2022,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$46.8 million, or 6%, driven by higher average net selling prices. Average net selling prices increased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2022 due to decreased promotional spending and targeted price increases. These positive impacts were partially offset by volume decreases of 7%, which were primarily the result of supply constraints and reduced demand-driving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$39.9 million, or 36%, on flat volumes. Average net selling prices increased in the nine months ended June 30, 2022 due to targeted price increases and favorable mix. Sales of all other products were down $1.5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Operating profit increased $16.0 million, or 31%, during the three months ended June 30, 2022, compared to the prior year period. This increase was primarily driven by higher net sales, as previously discussed, and reduced advertising costs of $5.6 million. In addition, prior year operating profit was negatively impacted by $11.8 million of accelerated amortization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These positive impacts were partially offset by higher net product costs of $39.5 million due to unfavorable raw material and freight costs.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$36.4 million, or 32%, during the nine months ended June 30, 2022, compared to the prior year period. This increase was primarily driven by higher net sales, as previously discussed, and reduced advertising costs of $19.6 million. In addition, prior year operating profit was negatively impacted by $29.9 million of accelerated amortization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These positive impacts were partially offset by higher net product costs of $107.3 million due to unfavorable raw material, freight and manufacturing costs and costs related to the separation from Post of $13.2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$6.4 million during the three months ended June 30, 2022, compared to the prior year period. This increase was primarily due to higher outstanding principal amounts of debt and a higher weighted-average interest rate compared to the prior year period. The weighted-average interest rate on our total outstanding debt increased to 6.7% for the three months ended June 30, 2022 from 4.8% for the three months ended June 30, 2021, driven by the issuance of our 7.00% Senior Notes during the second quarter of fiscal 2022.</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net decreased $0.8 million during the nine months ended June 30, 2022, compared to the prior year period. This decrease was primarily due to increased net hedging gains (compared to losses in the prior year period) of $3.0 million recognized on interest rate swaps, partially offset by higher outstanding principal amounts of debt and a higher weighted-average interest rate compared to the prior year. The weighted-average interest rate on our total outstanding debt increased to 5.9% for the nine months ended June 30, 2022 from 5.5% for the nine months ended June 30, 2021, driven by the issuance of our 7.00% Senior Notes during the second quarter of fiscal 2022</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See Notes 14 and 12 within “Notes to Condensed Consolidated Financial Statements” for additional information on our debt and interest rate swaps,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and Refinancing of Debt, net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2022, we recognized a $17.6 million loss related to the termination of our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Facility and (iii) a $4.6 million write-off of debt issuance costs and deferred financing fees. There were no losses recognized during the three months ended June 30, 2022 related to the extinguishment or refinancing of debt.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June 30, 2021, we recognized losses related to refinancing fees incurred in conjunction with the refinancing of our Term B Facility of $0.1 million and $1.6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which, as a result of the IPO and formation transactions, was treated as a partnership for United States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we reported 100% of the income, gain, loss and deduction of BellRing LLC for U.S. federal,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24.2% and 18.4% for the three and nine months ended June 30, 2022, respectively, and 8.1% and 7.3% for the three and nine months ended June 30, 2021, respectively. The increase in the effective income tax rate compared to the prior periods was primarily due to (i) the Company reporting 100% of the income, gain, loss and deduction of BellRing LLC in the periods subsequent to the Spin-off. and (ii) during the nine</w:t>
      </w: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June 30, 2022, certain separation-related expenses incurred in connection with the Spin-off that were treated as non-deductible and (ii) the Company reporting 100% of the income, gain, loss and deduction of BellRing LLC in the periods subsequent to the Spin-off.</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2022.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repurchase shares of our common stock. Such repurchases, if any, will depend on prevailing market conditions, our liquidity requirements, contractual restrictions and other factors. The amounts involved may be material.</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10, 2022, in connection with to the Transaction Agreement, we issued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in connection with the Transaction Agreement, we entered into a credit agreement (as amended, restated, amended and restated, supplemented or otherwise modified from time to time, the “Credit Agreement”), which provides for a revolving credit facility in an aggregate principal amount of $250.0 million (the “Revolving Credit Facility”), with commitments to be made available to us in U.S. Dollars, Euros, and United Kingdom Pounds Sterling. The outstanding amounts under the Credit Agreement must be repaid on or before March 10, 2027.</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March 10, 2022, with certain of the proceeds from the debt financing transactions described above, BellRing LLC repaid the aggregate outstanding principal balance of $519.8 million on the Term B Facility and terminated all obligations and commitments under the Old Credit Agreement.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2022, we borrowed $109.0 million under the Revolving Credit Facility and repaid $25.0 million under the Revolving Credit Facility. The available borrowing capacity under the Revolving Credit Facility was $166.0 million as of June 30, 2022.</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June 30, 2022, prior to the Spin-Off, we repurchased 0.8 million shares of Old BellRing Class A Common Stock at an average share price of $23.36 per share for a total cost of $18.1 million, including broker’s commissions. In connection with the Spin-off, 0.8 million shares of Old BellRing Class A Common Stock held in treasury stock immediately prior to the Merger effective time were cancelled pursuant to the Transaction Agreement. On May 23, 2022, our Board of Directors approved a $50.0 million share repurchase authorization with respect to the shares of BellRing Common Stock. Our prior share repurchase authorization for Old BellRing Class A Common Stock was no longer applicable subsequent to the Spin-off. During the nine months ended June 30, 2022, subsequent to the Spin-off, we repurchased 0.1 million shares of BellRing Common Stock at an average share price of $22.96 per share for a total cost of $2.4 million, including broker’s commissions.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June 30, 2022 was $11.4 million compared to cash provided by operating activities of $145.9 million for the nine months ended June 30, 2021. This decrease was primarily driven by unfavorable working capital changes of $128.9 million, which were driven by an increase in inventory and fluctuations in the timing of purchases and payments of trade payables. Inventory increases were driven by input cost inflation, increased powder finished goods due to rebuilding inventory from supply-constrained levels at prior fiscal year end and increased raw material levels. Additionally, tax payments (net of refunds) increased by $10.9 million. These negative impacts were partially offset by a $17.3 million decrease in interest payments due to the shift in timing of interest payments related to the 7.00% Senior Notes as compared to the Term B Facility in the prior year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June 30, 2022 increased $0.4 million compared to the corresponding period in the prior year resulting from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2022</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June 30, 2022 was $127.7 million. We repaid the outstanding principal balance of the Term B Facility of $609.9 million, repaid $25.0 million under the Revolving Credit Facility, and paid $115.5 million to Old BellRing Class A common stockholders pursuant to the Merger. In addition, we paid $11.9 million of debt issuance costs, debt extinguishment costs and deferred financing fees related to the issuance of the 7.00% Senior Notes and the Revolving Credit Facility, and paid $20.5 million, including broker’s commissions, for the repurchase of Common Stock. We received $550.4 million of cash from Post in connection with the Spin-off, which was partially offset by cash distributions to Post of $3.2 million related to quarterly tax distributions pursuant to BellRing LLC’s amended and restated limited liability company agreement prior to the Spin-off. Additionally, we borrowed $109.0 million under the Revolving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2021</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June 30, 2021 was $105.0 million. BellRing LLC drew an aggregate of $20.0 million under BellRing LLC’s revolving credit facility under the Old Credit Agreement (the “Old Revolving Credit Facility”), repaid $55.0 million on the principal balance of the Term B Facility and repaid $50.0 million on the Old Revolving Credit Facility during the period. In addition, BellRing LLC had net cash distributions of $17.5 million to Post, which included tax distributions to Post pursuant to BellRing LLC’s amended and restated limited liability company agreement and state tax withholdings payments on behalf of Post.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 to 1.00, measured as of the last day of each fiscal quarter, beginning with the fiscal quarter ending June 30, 2022. We were in compliance with the financial covenant as of June 30, 2022, and we do not believe non-compliance is reasonably likely in the foreseeable future.</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 In addition, the indenture governing the 7.00% Senior Notes contains customary negative covenants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new lines of business; enter into transactions with affiliates; and sell assets or merge with other companies. Certain of these covenants are subject to suspension when and if the 7.00% Senior Notes receive investment grade ratings.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more fully described in our Annual Report on Form 10-K for the year ended September 30, 2021, as filed with the Securities and Exchange Commission (the “SEC”) on November 19, 2021. There have been no significant changes to our critical accounting policies and estimates since September 30, 2021.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and adopted accounting standards.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the BellRing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that limit customer and consumer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in our Quarterly Report on Form 10-Q for the fiscal quarter ended March 31, 2022, filed with the SEC on May 6, 2022, and in our Annual Report on Form 10-K for the fiscal year ended September 30, 2021, filed with the SEC on November 19, 2021.</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in Item 2 of Part I of this report, as well as “Risk Factors” in Item 1A of Part II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outstanding principal value of indebtedness of $840.0 million related to its 7.00% Senior Notes and an aggregate principal amount of $84.0 million outstanding under its Revolving Credit Facility. As of September 30, 2021, BellRing LLC had aggregate principal amounts of $609.9 million outstanding on its Term B Facility. There were no amounts drawn under the Old Revolving Credit Facility as of September 30, 2021. Borrowings under the Revolving Credit Facility bear, and borrowings under the Term B Facility and the Old Revolving Credit Facility bore, interest at variable rates.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2022 and September 30, 2021, the fair value of the Company’s debt, excluding any borrowings under its revolving credit facilities, was $793.6 million and $613.8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$13.9 million as of June 30, 2022. The Company did not have fixed rate debt as of September 30, 2021. Including the impact of interest rate swaps, a hypothetical 10% increase in interest rates would have had an immaterial impact on both interest expense and interest paid during each of the three and nine months ended June 30, 2022 and 2021. For additional information regarding the Company’s debt, see Note 14 within “Notes to Condensed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2021, the Company had interest rate swaps with a notional value of $350.0 million. A hypothetical 10% adverse change in interest rates would have had an immaterial impact on the fair value of the interest rate swaps as of September 30, 2021. As of June 30, 2022, the Company did not hold any interest rate swaps. For additional information regarding the Company’s interest rate swap contracts, see Note 12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15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2022.</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addition to the information set forth elsewhere in this Quarterly Report on Form 10-Q (the “Quarterly Report”), you should carefully consider the risk factors we previously disclosed in our </w:t>
      </w:r>
      <w:hyperlink r:id="rId45">
        <w:r>
          <w:rPr>
            <w:rFonts w:ascii="Times New Roman" w:cs="Times New Roman" w:eastAsia="Times New Roman" w:hAnsi="Times New Roman"/>
            <w:sz w:val="18"/>
            <w:szCs w:val="18"/>
            <w:u w:val="single" w:color="auto"/>
            <w:color w:val="0000FF"/>
          </w:rPr>
          <w:t>Quarterly Report on Form 10-Q, filed with the United States Securities and Exchange Commission (the “SEC”)</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on 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of and for the fiscal quarter ended March 31, 2022 (the “Second Quarter Report”) and in our Annual Report on Form 10-K, filed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SEC on November 19, 2021, as of and for the year ended September 30, 2021 (the “Annual Report”). As of the date of this Quarterly Report, there have been no material changes to the risk factors previously disclosed in the Second Quarter Report or the Annual Report. These risks could materially and adversely affect our business, financial condition, results of operations and cash flows. The enumerated risks have been or may be heightened, or in some cases manifested, by the impacts of the COVID-19 pandemic and the ongoing conflict in Ukraine and are not the only risks we face. Additional risks and uncertainties not presently known to us or that we currently deem immaterial also may impair our business, financial condition, results of operations and cash flows.</w:t>
      </w:r>
    </w:p>
    <w:p>
      <w:pPr>
        <w:spacing w:after="0" w:line="1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BellRing Common Stock, $0.01 par value per share, during the three months ended June 30, 2022 and our BellRing Common Stock repurchases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196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189"/>
        </w:trPr>
        <w:tc>
          <w:tcPr>
            <w:tcW w:w="300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tcPr>
          <w:p>
            <w:pPr>
              <w:jc w:val="center"/>
              <w:ind w:left="63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 (a)</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$47,640,913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$47,640,913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2022, the Company’s Board of Directors approved a $50,000,000 repurchase authorization with respect to shares of BellRing Common Stock (the “Authorization”). The Authorization was effective May 23, 2022 and expires on May 23, 2024.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0"/>
          </w:tcPr>
          <w:p>
            <w:pPr>
              <w:spacing w:after="0" w:line="195"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20" w:type="dxa"/>
            <w:vAlign w:val="bottom"/>
            <w:gridSpan w:val="19"/>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6"/>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10, 2022)</w:t>
              </w:r>
            </w:hyperlink>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83"/>
        </w:trPr>
        <w:tc>
          <w:tcPr>
            <w:tcW w:w="1300" w:type="dxa"/>
            <w:vAlign w:val="bottom"/>
          </w:tcPr>
          <w:p>
            <w:pPr>
              <w:spacing w:after="0"/>
              <w:rPr>
                <w:sz w:val="15"/>
                <w:szCs w:val="15"/>
                <w:color w:val="auto"/>
              </w:rPr>
            </w:pPr>
          </w:p>
        </w:tc>
        <w:tc>
          <w:tcPr>
            <w:tcW w:w="3860" w:type="dxa"/>
            <w:vAlign w:val="bottom"/>
            <w:tcBorders>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Exhibit 4.2 is referenced in Exhibit 4.1 to such filing)</w:t>
              </w:r>
            </w:hyperlink>
          </w:p>
        </w:tc>
        <w:tc>
          <w:tcPr>
            <w:tcW w:w="5180" w:type="dxa"/>
            <w:vAlign w:val="bottom"/>
            <w:gridSpan w:val="14"/>
          </w:tcPr>
          <w:p>
            <w:pPr>
              <w:spacing w:after="0"/>
              <w:rPr>
                <w:sz w:val="15"/>
                <w:szCs w:val="15"/>
                <w:color w:val="auto"/>
              </w:rPr>
            </w:pPr>
          </w:p>
        </w:tc>
      </w:tr>
      <w:tr>
        <w:trPr>
          <w:trHeight w:val="237"/>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Robert V. Vitale pursuant to Rule 13a-14(a), as adopted pursuant to Section 302 of the Sarbanes-Oxley Act</w:t>
            </w:r>
          </w:p>
        </w:tc>
      </w:tr>
      <w:tr>
        <w:trPr>
          <w:trHeight w:val="156"/>
        </w:trPr>
        <w:tc>
          <w:tcPr>
            <w:tcW w:w="130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of 2002, dated August 5, 2022</w:t>
            </w: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5"/>
        </w:trPr>
        <w:tc>
          <w:tcPr>
            <w:tcW w:w="130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August 5, 2022</w:t>
            </w:r>
          </w:p>
        </w:tc>
        <w:tc>
          <w:tcPr>
            <w:tcW w:w="644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31.3</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2002, dated August 5, 2022</w:t>
            </w:r>
          </w:p>
        </w:tc>
        <w:tc>
          <w:tcPr>
            <w:tcW w:w="6860" w:type="dxa"/>
            <w:vAlign w:val="bottom"/>
            <w:tcBorders>
              <w:top w:val="single" w:sz="8" w:color="0000FF"/>
            </w:tcBorders>
            <w:gridSpan w:val="9"/>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Robert V. Vitale, Darcy H. Davenport and Paul A. Rode, pursuant to 18 U.S.C. Section 1350 as adopted</w:t>
            </w:r>
          </w:p>
        </w:tc>
      </w:tr>
      <w:tr>
        <w:trPr>
          <w:trHeight w:val="155"/>
        </w:trPr>
        <w:tc>
          <w:tcPr>
            <w:tcW w:w="130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 dated August 5, 2022</w:t>
            </w:r>
          </w:p>
        </w:tc>
        <w:tc>
          <w:tcPr>
            <w:tcW w:w="31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36" w:lineRule="exact"/>
        <w:rPr>
          <w:sz w:val="20"/>
          <w:szCs w:val="20"/>
          <w:color w:val="auto"/>
        </w:rPr>
      </w:pPr>
    </w:p>
    <w:p>
      <w:pPr>
        <w:ind w:left="1320" w:right="1120" w:hanging="900"/>
        <w:spacing w:after="0" w:line="231"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June 30, 2022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120" w:hanging="900"/>
        <w:spacing w:after="0" w:line="234" w:lineRule="auto"/>
        <w:tabs>
          <w:tab w:leader="none" w:pos="13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June 30, 2022,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2022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320" w:top="121" w:right="3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Chairman</w:t>
            </w: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6"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Chairman</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6" w:name="page37"/>
    <w:bookmarkEnd w:id="36"/>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7" w:name="page38"/>
    <w:bookmarkEnd w:id="37"/>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Roman"/>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01"/>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45" Type="http://schemas.openxmlformats.org/officeDocument/2006/relationships/hyperlink" Target="https://www.sec.gov/ix?doc=/Archives/edgar/data/0001772016/000177201622000039/brbr-20220331.htm" TargetMode="External"/><Relationship Id="rId47" Type="http://schemas.openxmlformats.org/officeDocument/2006/relationships/hyperlink" Target="http://www.sec.gov/Archives/edgar/data/1772016/000119312521308736/d232418dex21.htm" TargetMode="External"/><Relationship Id="rId48" Type="http://schemas.openxmlformats.org/officeDocument/2006/relationships/hyperlink" Target="http://www.sec.gov/Archives/edgar/data/1772016/000119312522055719/d405795dex21.htm" TargetMode="External"/><Relationship Id="rId49" Type="http://schemas.openxmlformats.org/officeDocument/2006/relationships/hyperlink" Target="http://www.sec.gov/Archives/edgar/data/1772016/000119312522072132/d319129dex31.htm" TargetMode="External"/><Relationship Id="rId50" Type="http://schemas.openxmlformats.org/officeDocument/2006/relationships/hyperlink" Target="http://www.sec.gov/Archives/edgar/data/1772016/000119312522072132/d319129dex32.htm" TargetMode="External"/><Relationship Id="rId51" Type="http://schemas.openxmlformats.org/officeDocument/2006/relationships/hyperlink" Target="http://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2022-08-05T12:59:11Z</dcterms:created>
  <dcterms:modified xsi:type="dcterms:W3CDTF">2022-08-05T12:59:11Z</dcterms:modified>
</cp:coreProperties>
</file>