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line="218" w:lineRule="auto"/>
        <w:rPr>
          <w:sz w:val="20"/>
          <w:szCs w:val="20"/>
          <w:color w:val="auto"/>
        </w:rPr>
      </w:pPr>
      <w:r>
        <w:rPr>
          <w:rFonts w:ascii="Arial" w:cs="Arial" w:eastAsia="Arial" w:hAnsi="Arial"/>
          <w:sz w:val="16"/>
          <w:szCs w:val="16"/>
          <w:b w:val="1"/>
          <w:bCs w:val="1"/>
          <w:color w:val="auto"/>
        </w:rPr>
        <w:t>WASHINGTON, D.C. 20549</w:t>
      </w:r>
    </w:p>
    <w:p>
      <w:pPr>
        <w:ind w:left="4500"/>
        <w:spacing w:after="0"/>
        <w:rPr>
          <w:sz w:val="20"/>
          <w:szCs w:val="20"/>
          <w:color w:val="auto"/>
        </w:rPr>
      </w:pPr>
      <w:r>
        <w:rPr>
          <w:rFonts w:ascii="Arial" w:cs="Arial" w:eastAsia="Arial" w:hAnsi="Arial"/>
          <w:sz w:val="25"/>
          <w:szCs w:val="25"/>
          <w:b w:val="1"/>
          <w:bCs w:val="1"/>
          <w:color w:val="auto"/>
        </w:rPr>
        <w:t>__________________</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ind w:left="4500"/>
        <w:spacing w:after="0"/>
        <w:rPr>
          <w:sz w:val="20"/>
          <w:szCs w:val="20"/>
          <w:color w:val="auto"/>
        </w:rPr>
      </w:pPr>
      <w:r>
        <w:rPr>
          <w:rFonts w:ascii="Arial" w:cs="Arial" w:eastAsia="Arial" w:hAnsi="Arial"/>
          <w:sz w:val="25"/>
          <w:szCs w:val="25"/>
          <w:b w:val="1"/>
          <w:bCs w:val="1"/>
          <w:color w:val="auto"/>
        </w:rPr>
        <w:t>__________________</w:t>
      </w:r>
    </w:p>
    <w:p>
      <w:pPr>
        <w:spacing w:after="0" w:line="220" w:lineRule="exact"/>
        <w:rPr>
          <w:sz w:val="24"/>
          <w:szCs w:val="24"/>
          <w:color w:val="auto"/>
        </w:rPr>
      </w:pPr>
    </w:p>
    <w:p>
      <w:pPr>
        <w:jc w:val="center"/>
        <w:ind w:left="4000" w:right="1400" w:hanging="2596"/>
        <w:spacing w:after="0" w:line="284" w:lineRule="auto"/>
        <w:tabs>
          <w:tab w:leader="none" w:pos="1618"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2021</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jc w:val="center"/>
        <w:ind w:left="4040" w:right="1400" w:hanging="2640"/>
        <w:spacing w:after="0" w:line="292" w:lineRule="auto"/>
        <w:tabs>
          <w:tab w:leader="none" w:pos="1599"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 to _____</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1-39093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127635</wp:posOffset>
            </wp:positionV>
            <wp:extent cx="1362710"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2710"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BellRing Brands,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2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1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740" w:type="dxa"/>
            <w:vAlign w:val="bottom"/>
            <w:gridSpan w:val="2"/>
          </w:tcPr>
          <w:p>
            <w:pPr>
              <w:jc w:val="right"/>
              <w:ind w:right="1819"/>
              <w:spacing w:after="0"/>
              <w:rPr>
                <w:sz w:val="20"/>
                <w:szCs w:val="20"/>
                <w:color w:val="auto"/>
              </w:rPr>
            </w:pPr>
            <w:r>
              <w:rPr>
                <w:rFonts w:ascii="Arial" w:cs="Arial" w:eastAsia="Arial" w:hAnsi="Arial"/>
                <w:sz w:val="18"/>
                <w:szCs w:val="18"/>
                <w:b w:val="1"/>
                <w:bCs w:val="1"/>
                <w:color w:val="auto"/>
              </w:rPr>
              <w:t>83-4096323</w:t>
            </w:r>
          </w:p>
        </w:tc>
      </w:tr>
      <w:tr>
        <w:trPr>
          <w:trHeight w:val="210"/>
        </w:trPr>
        <w:tc>
          <w:tcPr>
            <w:tcW w:w="6820" w:type="dxa"/>
            <w:vAlign w:val="bottom"/>
            <w:gridSpan w:val="6"/>
          </w:tcPr>
          <w:p>
            <w:pPr>
              <w:jc w:val="center"/>
              <w:ind w:right="1400"/>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3740" w:type="dxa"/>
            <w:vAlign w:val="bottom"/>
            <w:gridSpan w:val="2"/>
          </w:tcPr>
          <w:p>
            <w:pPr>
              <w:jc w:val="center"/>
              <w:ind w:right="839"/>
              <w:spacing w:after="0"/>
              <w:rPr>
                <w:sz w:val="20"/>
                <w:szCs w:val="20"/>
                <w:color w:val="auto"/>
              </w:rPr>
            </w:pPr>
            <w:r>
              <w:rPr>
                <w:rFonts w:ascii="Arial" w:cs="Arial" w:eastAsia="Arial" w:hAnsi="Arial"/>
                <w:sz w:val="16"/>
                <w:szCs w:val="16"/>
                <w:color w:val="auto"/>
                <w:w w:val="94"/>
              </w:rPr>
              <w:t>(I.R.S. Employer Identification No.)</w:t>
            </w:r>
          </w:p>
        </w:tc>
      </w:tr>
      <w:tr>
        <w:trPr>
          <w:trHeight w:val="263"/>
        </w:trPr>
        <w:tc>
          <w:tcPr>
            <w:tcW w:w="15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940" w:type="dxa"/>
            <w:vAlign w:val="bottom"/>
            <w:gridSpan w:val="3"/>
          </w:tcPr>
          <w:p>
            <w:pPr>
              <w:jc w:val="center"/>
              <w:ind w:left="454"/>
              <w:spacing w:after="0"/>
              <w:rPr>
                <w:sz w:val="20"/>
                <w:szCs w:val="20"/>
                <w:color w:val="auto"/>
              </w:rPr>
            </w:pPr>
            <w:r>
              <w:rPr>
                <w:rFonts w:ascii="Arial" w:cs="Arial" w:eastAsia="Arial" w:hAnsi="Arial"/>
                <w:sz w:val="18"/>
                <w:szCs w:val="18"/>
                <w:b w:val="1"/>
                <w:bCs w:val="1"/>
                <w:color w:val="auto"/>
                <w:w w:val="90"/>
              </w:rPr>
              <w:t>2503 S. Hanley Road</w:t>
            </w:r>
          </w:p>
        </w:tc>
        <w:tc>
          <w:tcPr>
            <w:tcW w:w="860" w:type="dxa"/>
            <w:vAlign w:val="bottom"/>
          </w:tcPr>
          <w:p>
            <w:pPr>
              <w:spacing w:after="0"/>
              <w:rPr>
                <w:sz w:val="22"/>
                <w:szCs w:val="22"/>
                <w:color w:val="auto"/>
              </w:rPr>
            </w:pPr>
          </w:p>
        </w:tc>
        <w:tc>
          <w:tcPr>
            <w:tcW w:w="2880" w:type="dxa"/>
            <w:vAlign w:val="bottom"/>
          </w:tcPr>
          <w:p>
            <w:pPr>
              <w:spacing w:after="0"/>
              <w:rPr>
                <w:sz w:val="22"/>
                <w:szCs w:val="22"/>
                <w:color w:val="auto"/>
              </w:rPr>
            </w:pPr>
          </w:p>
        </w:tc>
      </w:tr>
      <w:tr>
        <w:trPr>
          <w:trHeight w:val="193"/>
        </w:trPr>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940" w:type="dxa"/>
            <w:vAlign w:val="bottom"/>
            <w:gridSpan w:val="3"/>
          </w:tcPr>
          <w:p>
            <w:pPr>
              <w:jc w:val="center"/>
              <w:ind w:left="474"/>
              <w:spacing w:after="0" w:line="193" w:lineRule="exact"/>
              <w:rPr>
                <w:sz w:val="20"/>
                <w:szCs w:val="20"/>
                <w:color w:val="auto"/>
              </w:rPr>
            </w:pPr>
            <w:r>
              <w:rPr>
                <w:rFonts w:ascii="Arial" w:cs="Arial" w:eastAsia="Arial" w:hAnsi="Arial"/>
                <w:sz w:val="18"/>
                <w:szCs w:val="18"/>
                <w:b w:val="1"/>
                <w:bCs w:val="1"/>
                <w:color w:val="auto"/>
                <w:w w:val="90"/>
              </w:rPr>
              <w:t>St. Louis, Missouri 63144</w:t>
            </w:r>
          </w:p>
        </w:tc>
        <w:tc>
          <w:tcPr>
            <w:tcW w:w="86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206"/>
        </w:trPr>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80" w:type="dxa"/>
            <w:vAlign w:val="bottom"/>
            <w:gridSpan w:val="5"/>
          </w:tcPr>
          <w:p>
            <w:pPr>
              <w:jc w:val="center"/>
              <w:ind w:right="3119"/>
              <w:spacing w:after="0"/>
              <w:rPr>
                <w:sz w:val="20"/>
                <w:szCs w:val="20"/>
                <w:color w:val="auto"/>
              </w:rPr>
            </w:pPr>
            <w:r>
              <w:rPr>
                <w:rFonts w:ascii="Arial" w:cs="Arial" w:eastAsia="Arial" w:hAnsi="Arial"/>
                <w:sz w:val="16"/>
                <w:szCs w:val="16"/>
                <w:color w:val="auto"/>
                <w:w w:val="93"/>
              </w:rPr>
              <w:t>(Address of principal executive offices) (Zip Code)</w:t>
            </w:r>
          </w:p>
        </w:tc>
      </w:tr>
      <w:tr>
        <w:trPr>
          <w:trHeight w:val="307"/>
        </w:trPr>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340" w:type="dxa"/>
            <w:vAlign w:val="bottom"/>
            <w:gridSpan w:val="2"/>
          </w:tcPr>
          <w:p>
            <w:pPr>
              <w:jc w:val="center"/>
              <w:ind w:left="1054"/>
              <w:spacing w:after="0"/>
              <w:rPr>
                <w:sz w:val="20"/>
                <w:szCs w:val="20"/>
                <w:color w:val="auto"/>
              </w:rPr>
            </w:pPr>
            <w:r>
              <w:rPr>
                <w:rFonts w:ascii="Arial" w:cs="Arial" w:eastAsia="Arial" w:hAnsi="Arial"/>
                <w:sz w:val="18"/>
                <w:szCs w:val="18"/>
                <w:b w:val="1"/>
                <w:bCs w:val="1"/>
                <w:color w:val="auto"/>
                <w:w w:val="90"/>
              </w:rPr>
              <w:t>(314) 644-7600</w:t>
            </w: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06"/>
        </w:trPr>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80" w:type="dxa"/>
            <w:vAlign w:val="bottom"/>
            <w:gridSpan w:val="5"/>
          </w:tcPr>
          <w:p>
            <w:pPr>
              <w:jc w:val="center"/>
              <w:ind w:right="3119"/>
              <w:spacing w:after="0"/>
              <w:rPr>
                <w:sz w:val="20"/>
                <w:szCs w:val="20"/>
                <w:color w:val="auto"/>
              </w:rPr>
            </w:pPr>
            <w:r>
              <w:rPr>
                <w:rFonts w:ascii="Arial" w:cs="Arial" w:eastAsia="Arial" w:hAnsi="Arial"/>
                <w:sz w:val="16"/>
                <w:szCs w:val="16"/>
                <w:color w:val="auto"/>
                <w:w w:val="91"/>
              </w:rPr>
              <w:t>(Registrant’s telephone number, including area code)</w:t>
            </w:r>
          </w:p>
        </w:tc>
      </w:tr>
      <w:tr>
        <w:trPr>
          <w:trHeight w:val="297"/>
        </w:trPr>
        <w:tc>
          <w:tcPr>
            <w:tcW w:w="3880" w:type="dxa"/>
            <w:vAlign w:val="bottom"/>
            <w:gridSpan w:val="3"/>
          </w:tcPr>
          <w:p>
            <w:pPr>
              <w:spacing w:after="0"/>
              <w:rPr>
                <w:sz w:val="20"/>
                <w:szCs w:val="20"/>
                <w:color w:val="auto"/>
              </w:rPr>
            </w:pPr>
            <w:r>
              <w:rPr>
                <w:rFonts w:ascii="Arial" w:cs="Arial" w:eastAsia="Arial" w:hAnsi="Arial"/>
                <w:sz w:val="16"/>
                <w:szCs w:val="16"/>
                <w:color w:val="auto"/>
                <w:w w:val="94"/>
              </w:rPr>
              <w:t>Securities registered pursuant to Section 12(b) of the Act:</w:t>
            </w: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95"/>
        </w:trPr>
        <w:tc>
          <w:tcPr>
            <w:tcW w:w="1540" w:type="dxa"/>
            <w:vAlign w:val="bottom"/>
          </w:tcPr>
          <w:p>
            <w:pPr>
              <w:spacing w:after="0"/>
              <w:rPr>
                <w:sz w:val="16"/>
                <w:szCs w:val="16"/>
                <w:color w:val="auto"/>
              </w:rPr>
            </w:pPr>
          </w:p>
        </w:tc>
        <w:tc>
          <w:tcPr>
            <w:tcW w:w="2340" w:type="dxa"/>
            <w:vAlign w:val="bottom"/>
            <w:gridSpan w:val="2"/>
          </w:tcPr>
          <w:p>
            <w:pPr>
              <w:jc w:val="center"/>
              <w:ind w:right="1180"/>
              <w:spacing w:after="0"/>
              <w:rPr>
                <w:sz w:val="20"/>
                <w:szCs w:val="20"/>
                <w:color w:val="auto"/>
              </w:rPr>
            </w:pPr>
            <w:r>
              <w:rPr>
                <w:rFonts w:ascii="Arial" w:cs="Arial" w:eastAsia="Arial" w:hAnsi="Arial"/>
                <w:sz w:val="16"/>
                <w:szCs w:val="16"/>
                <w:color w:val="auto"/>
                <w:w w:val="90"/>
              </w:rPr>
              <w:t>Title of each class</w:t>
            </w:r>
          </w:p>
        </w:tc>
        <w:tc>
          <w:tcPr>
            <w:tcW w:w="1120" w:type="dxa"/>
            <w:vAlign w:val="bottom"/>
          </w:tcPr>
          <w:p>
            <w:pPr>
              <w:spacing w:after="0"/>
              <w:rPr>
                <w:sz w:val="16"/>
                <w:szCs w:val="16"/>
                <w:color w:val="auto"/>
              </w:rPr>
            </w:pPr>
          </w:p>
        </w:tc>
        <w:tc>
          <w:tcPr>
            <w:tcW w:w="1820" w:type="dxa"/>
            <w:vAlign w:val="bottom"/>
            <w:gridSpan w:val="2"/>
          </w:tcPr>
          <w:p>
            <w:pPr>
              <w:jc w:val="center"/>
              <w:ind w:right="600"/>
              <w:spacing w:after="0"/>
              <w:rPr>
                <w:sz w:val="20"/>
                <w:szCs w:val="20"/>
                <w:color w:val="auto"/>
              </w:rPr>
            </w:pPr>
            <w:r>
              <w:rPr>
                <w:rFonts w:ascii="Arial" w:cs="Arial" w:eastAsia="Arial" w:hAnsi="Arial"/>
                <w:sz w:val="16"/>
                <w:szCs w:val="16"/>
                <w:color w:val="auto"/>
                <w:w w:val="93"/>
              </w:rPr>
              <w:t>Trading Symbol(s)</w:t>
            </w:r>
          </w:p>
        </w:tc>
        <w:tc>
          <w:tcPr>
            <w:tcW w:w="860" w:type="dxa"/>
            <w:vAlign w:val="bottom"/>
          </w:tcPr>
          <w:p>
            <w:pPr>
              <w:spacing w:after="0"/>
              <w:rPr>
                <w:sz w:val="16"/>
                <w:szCs w:val="16"/>
                <w:color w:val="auto"/>
              </w:rPr>
            </w:pPr>
          </w:p>
        </w:tc>
        <w:tc>
          <w:tcPr>
            <w:tcW w:w="288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30"/>
        </w:trPr>
        <w:tc>
          <w:tcPr>
            <w:tcW w:w="3880" w:type="dxa"/>
            <w:vAlign w:val="bottom"/>
            <w:gridSpan w:val="3"/>
          </w:tcPr>
          <w:p>
            <w:pPr>
              <w:jc w:val="center"/>
              <w:ind w:left="279"/>
              <w:spacing w:after="0"/>
              <w:rPr>
                <w:sz w:val="20"/>
                <w:szCs w:val="20"/>
                <w:color w:val="auto"/>
              </w:rPr>
            </w:pPr>
            <w:r>
              <w:rPr>
                <w:rFonts w:ascii="Arial" w:cs="Arial" w:eastAsia="Arial" w:hAnsi="Arial"/>
                <w:sz w:val="16"/>
                <w:szCs w:val="16"/>
                <w:b w:val="1"/>
                <w:bCs w:val="1"/>
                <w:color w:val="auto"/>
                <w:w w:val="91"/>
              </w:rPr>
              <w:t>Class A Common Stock, $0.01 par value per share</w:t>
            </w:r>
          </w:p>
        </w:tc>
        <w:tc>
          <w:tcPr>
            <w:tcW w:w="1120" w:type="dxa"/>
            <w:vAlign w:val="bottom"/>
          </w:tcPr>
          <w:p>
            <w:pPr>
              <w:spacing w:after="0"/>
              <w:rPr>
                <w:sz w:val="20"/>
                <w:szCs w:val="20"/>
                <w:color w:val="auto"/>
              </w:rPr>
            </w:pPr>
          </w:p>
        </w:tc>
        <w:tc>
          <w:tcPr>
            <w:tcW w:w="182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95"/>
              </w:rPr>
              <w:t>BRBR</w:t>
            </w:r>
          </w:p>
        </w:tc>
        <w:tc>
          <w:tcPr>
            <w:tcW w:w="86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Arial" w:cs="Arial" w:eastAsia="Arial" w:hAnsi="Arial"/>
                <w:sz w:val="16"/>
                <w:szCs w:val="16"/>
                <w:b w:val="1"/>
                <w:bCs w:val="1"/>
                <w:color w:val="auto"/>
                <w:w w:val="91"/>
              </w:rPr>
              <w:t>New York Stock Exchange</w:t>
            </w:r>
          </w:p>
        </w:tc>
      </w:tr>
    </w:tbl>
    <w:p>
      <w:pPr>
        <w:spacing w:after="0" w:line="104"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5" w:lineRule="exact"/>
        <w:rPr>
          <w:sz w:val="24"/>
          <w:szCs w:val="24"/>
          <w:color w:val="auto"/>
        </w:rPr>
      </w:pPr>
    </w:p>
    <w:tbl>
      <w:tblPr>
        <w:tblLayout w:type="fixed"/>
        <w:tblInd w:w="920" w:type="dxa"/>
        <w:tblCellMar>
          <w:top w:w="0" w:type="dxa"/>
          <w:left w:w="0" w:type="dxa"/>
          <w:bottom w:w="0" w:type="dxa"/>
          <w:right w:w="0" w:type="dxa"/>
        </w:tblCellMar>
      </w:tblPr>
      <w:tr>
        <w:trPr>
          <w:trHeight w:val="254"/>
        </w:trPr>
        <w:tc>
          <w:tcPr>
            <w:tcW w:w="24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60"/>
              <w:spacing w:after="0"/>
              <w:rPr>
                <w:sz w:val="20"/>
                <w:szCs w:val="20"/>
                <w:color w:val="auto"/>
              </w:rPr>
            </w:pPr>
            <w:r>
              <w:rPr>
                <w:rFonts w:ascii="Arial" w:cs="Arial" w:eastAsia="Arial" w:hAnsi="Arial"/>
                <w:sz w:val="16"/>
                <w:szCs w:val="16"/>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440" w:type="dxa"/>
            <w:vAlign w:val="bottom"/>
          </w:tcPr>
          <w:p>
            <w:pPr>
              <w:spacing w:after="0"/>
              <w:rPr>
                <w:sz w:val="20"/>
                <w:szCs w:val="20"/>
                <w:color w:val="auto"/>
              </w:rPr>
            </w:pPr>
            <w:r>
              <w:rPr>
                <w:rFonts w:ascii="Arial" w:cs="Arial" w:eastAsia="Arial" w:hAnsi="Arial"/>
                <w:sz w:val="16"/>
                <w:szCs w:val="16"/>
                <w:color w:val="auto"/>
              </w:rPr>
              <w:t>Non-accelerated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60"/>
              <w:spacing w:after="0"/>
              <w:rPr>
                <w:sz w:val="20"/>
                <w:szCs w:val="20"/>
                <w:color w:val="auto"/>
              </w:rPr>
            </w:pPr>
            <w:r>
              <w:rPr>
                <w:rFonts w:ascii="Arial" w:cs="Arial" w:eastAsia="Arial" w:hAnsi="Arial"/>
                <w:sz w:val="16"/>
                <w:szCs w:val="16"/>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180" w:type="dxa"/>
            <w:vAlign w:val="bottom"/>
          </w:tcPr>
          <w:p>
            <w:pPr>
              <w:ind w:left="560"/>
              <w:spacing w:after="0"/>
              <w:rPr>
                <w:sz w:val="20"/>
                <w:szCs w:val="20"/>
                <w:color w:val="auto"/>
              </w:rPr>
            </w:pPr>
            <w:r>
              <w:rPr>
                <w:rFonts w:ascii="Arial" w:cs="Arial" w:eastAsia="Arial" w:hAnsi="Arial"/>
                <w:sz w:val="16"/>
                <w:szCs w:val="16"/>
                <w:color w:val="auto"/>
              </w:rPr>
              <w:t>Emerging growth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94"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Class A Common Stock, $0.01 par value per share – 39,510,430 shares as of May 3, 2021</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Class B Common Stock, $0.01 par value per share - 1 share as of May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665480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920"/>
        </w:trPr>
        <w:tc>
          <w:tcPr>
            <w:tcW w:w="12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80" w:type="dxa"/>
            <w:vAlign w:val="bottom"/>
            <w:gridSpan w:val="9"/>
          </w:tcPr>
          <w:p>
            <w:pPr>
              <w:jc w:val="center"/>
              <w:ind w:right="2100"/>
              <w:spacing w:after="0"/>
              <w:rPr>
                <w:sz w:val="20"/>
                <w:szCs w:val="20"/>
                <w:color w:val="auto"/>
              </w:rPr>
            </w:pPr>
            <w:r>
              <w:rPr>
                <w:rFonts w:ascii="Arial" w:cs="Arial" w:eastAsia="Arial" w:hAnsi="Arial"/>
                <w:sz w:val="18"/>
                <w:szCs w:val="18"/>
                <w:b w:val="1"/>
                <w:bCs w:val="1"/>
                <w:color w:val="auto"/>
                <w:w w:val="99"/>
              </w:rPr>
              <w:t>BELLRING BRANDS, INC.</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380" w:type="dxa"/>
            <w:vAlign w:val="bottom"/>
            <w:gridSpan w:val="9"/>
          </w:tcPr>
          <w:p>
            <w:pPr>
              <w:jc w:val="center"/>
              <w:ind w:right="2100"/>
              <w:spacing w:after="0"/>
              <w:rPr>
                <w:sz w:val="20"/>
                <w:szCs w:val="20"/>
                <w:color w:val="auto"/>
              </w:rPr>
            </w:pPr>
            <w:r>
              <w:rPr>
                <w:rFonts w:ascii="Arial" w:cs="Arial" w:eastAsia="Arial" w:hAnsi="Arial"/>
                <w:sz w:val="18"/>
                <w:szCs w:val="18"/>
                <w:b w:val="1"/>
                <w:bCs w:val="1"/>
                <w:color w:val="auto"/>
                <w:w w:val="99"/>
              </w:rPr>
              <w:t>QUARTERLY REPORT ON FORM 10-Q</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380" w:type="dxa"/>
            <w:vAlign w:val="bottom"/>
            <w:gridSpan w:val="9"/>
          </w:tcPr>
          <w:p>
            <w:pPr>
              <w:jc w:val="center"/>
              <w:ind w:right="2100"/>
              <w:spacing w:after="0"/>
              <w:rPr>
                <w:sz w:val="20"/>
                <w:szCs w:val="20"/>
                <w:color w:val="auto"/>
              </w:rPr>
            </w:pPr>
            <w:r>
              <w:rPr>
                <w:rFonts w:ascii="Arial" w:cs="Arial" w:eastAsia="Arial" w:hAnsi="Arial"/>
                <w:sz w:val="18"/>
                <w:szCs w:val="18"/>
                <w:b w:val="1"/>
                <w:bCs w:val="1"/>
                <w:color w:val="auto"/>
                <w:w w:val="98"/>
              </w:rPr>
              <w:t>TABLE OF CONTENTS</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97"/>
        </w:trPr>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9"/>
        </w:trPr>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60" w:type="dxa"/>
            <w:vAlign w:val="bottom"/>
            <w:gridSpan w:val="5"/>
            <w:shd w:val="clear" w:color="auto" w:fill="CCEEFF"/>
          </w:tcPr>
          <w:p>
            <w:pPr>
              <w:ind w:left="1360"/>
              <w:spacing w:after="0" w:line="189" w:lineRule="exact"/>
              <w:rPr>
                <w:sz w:val="20"/>
                <w:szCs w:val="20"/>
                <w:color w:val="auto"/>
              </w:rPr>
            </w:pPr>
            <w:r>
              <w:rPr>
                <w:rFonts w:ascii="Arial" w:cs="Arial" w:eastAsia="Arial" w:hAnsi="Arial"/>
                <w:sz w:val="18"/>
                <w:szCs w:val="18"/>
                <w:b w:val="1"/>
                <w:bCs w:val="1"/>
                <w:color w:val="auto"/>
              </w:rPr>
              <w:t>Page</w:t>
            </w:r>
          </w:p>
        </w:tc>
      </w:tr>
      <w:tr>
        <w:trPr>
          <w:trHeight w:val="189"/>
        </w:trPr>
        <w:tc>
          <w:tcPr>
            <w:tcW w:w="1520" w:type="dxa"/>
            <w:vAlign w:val="bottom"/>
            <w:tcBorders>
              <w:top w:val="single" w:sz="8" w:color="CCEEFF"/>
            </w:tcBorders>
            <w:gridSpan w:val="2"/>
          </w:tcPr>
          <w:p>
            <w:pPr>
              <w:ind w:left="20"/>
              <w:spacing w:after="0" w:line="189" w:lineRule="exact"/>
              <w:rPr>
                <w:sz w:val="20"/>
                <w:szCs w:val="20"/>
                <w:color w:val="auto"/>
              </w:rPr>
            </w:pPr>
            <w:r>
              <w:rPr>
                <w:rFonts w:ascii="Arial" w:cs="Arial" w:eastAsia="Arial" w:hAnsi="Arial"/>
                <w:sz w:val="18"/>
                <w:szCs w:val="18"/>
                <w:b w:val="1"/>
                <w:bCs w:val="1"/>
                <w:color w:val="auto"/>
              </w:rPr>
              <w:t>PART I.</w:t>
            </w:r>
          </w:p>
        </w:tc>
        <w:tc>
          <w:tcPr>
            <w:tcW w:w="7840" w:type="dxa"/>
            <w:vAlign w:val="bottom"/>
            <w:tcBorders>
              <w:top w:val="single" w:sz="8" w:color="CCEEFF"/>
            </w:tcBorders>
            <w:gridSpan w:val="17"/>
          </w:tcPr>
          <w:p>
            <w:pPr>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FINANCIAL INFORMATION.</w:t>
              </w:r>
            </w:hyperlink>
          </w:p>
        </w:tc>
        <w:tc>
          <w:tcPr>
            <w:tcW w:w="13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21"/>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1520" w:type="dxa"/>
            <w:vAlign w:val="bottom"/>
            <w:gridSpan w:val="2"/>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152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Item 1.</w:t>
            </w:r>
          </w:p>
        </w:tc>
        <w:tc>
          <w:tcPr>
            <w:tcW w:w="7840" w:type="dxa"/>
            <w:vAlign w:val="bottom"/>
            <w:gridSpan w:val="17"/>
          </w:tcPr>
          <w:p>
            <w:pPr>
              <w:spacing w:after="0" w:line="189" w:lineRule="exact"/>
              <w:rPr>
                <w:rFonts w:ascii="Arial" w:cs="Arial" w:eastAsia="Arial" w:hAnsi="Arial"/>
                <w:sz w:val="18"/>
                <w:szCs w:val="18"/>
                <w:color w:val="0000FF"/>
              </w:rPr>
            </w:pPr>
            <w:hyperlink w:anchor="page2">
              <w:r>
                <w:rPr>
                  <w:rFonts w:ascii="Arial" w:cs="Arial" w:eastAsia="Arial" w:hAnsi="Arial"/>
                  <w:sz w:val="18"/>
                  <w:szCs w:val="18"/>
                  <w:color w:val="0000FF"/>
                </w:rPr>
                <w:t>Financial Statements (Unaudited).</w:t>
              </w:r>
            </w:hyperlink>
          </w:p>
        </w:tc>
        <w:tc>
          <w:tcPr>
            <w:tcW w:w="1640" w:type="dxa"/>
            <w:vAlign w:val="bottom"/>
            <w:gridSpan w:val="3"/>
          </w:tcPr>
          <w:p>
            <w:pPr>
              <w:jc w:val="center"/>
              <w:ind w:left="1370"/>
              <w:spacing w:after="0" w:line="189" w:lineRule="exact"/>
              <w:rPr>
                <w:rFonts w:ascii="Arial" w:cs="Arial" w:eastAsia="Arial" w:hAnsi="Arial"/>
                <w:sz w:val="18"/>
                <w:szCs w:val="18"/>
                <w:color w:val="0000FF"/>
                <w:w w:val="99"/>
              </w:rPr>
            </w:pPr>
            <w:hyperlink w:anchor="page2">
              <w:r>
                <w:rPr>
                  <w:rFonts w:ascii="Arial" w:cs="Arial" w:eastAsia="Arial" w:hAnsi="Arial"/>
                  <w:sz w:val="18"/>
                  <w:szCs w:val="18"/>
                  <w:color w:val="0000FF"/>
                  <w:w w:val="99"/>
                </w:rPr>
                <w:t>1</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12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40" w:type="dxa"/>
            <w:vAlign w:val="bottom"/>
            <w:gridSpan w:val="17"/>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(Unaudited).</w:t>
              </w:r>
            </w:hyperlink>
          </w:p>
        </w:tc>
        <w:tc>
          <w:tcPr>
            <w:tcW w:w="1640" w:type="dxa"/>
            <w:vAlign w:val="bottom"/>
            <w:gridSpan w:val="3"/>
          </w:tcPr>
          <w:p>
            <w:pPr>
              <w:jc w:val="center"/>
              <w:ind w:left="1370"/>
              <w:spacing w:after="0" w:line="189"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1</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12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40" w:type="dxa"/>
            <w:vAlign w:val="bottom"/>
            <w:gridSpan w:val="17"/>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Income (Unaudited).</w:t>
              </w:r>
            </w:hyperlink>
          </w:p>
        </w:tc>
        <w:tc>
          <w:tcPr>
            <w:tcW w:w="1640" w:type="dxa"/>
            <w:vAlign w:val="bottom"/>
            <w:gridSpan w:val="3"/>
          </w:tcPr>
          <w:p>
            <w:pPr>
              <w:jc w:val="center"/>
              <w:ind w:left="1370"/>
              <w:spacing w:after="0" w:line="189"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2</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12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40" w:type="dxa"/>
            <w:vAlign w:val="bottom"/>
            <w:gridSpan w:val="17"/>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 (Unaudited).</w:t>
              </w:r>
            </w:hyperlink>
          </w:p>
        </w:tc>
        <w:tc>
          <w:tcPr>
            <w:tcW w:w="1640" w:type="dxa"/>
            <w:vAlign w:val="bottom"/>
            <w:gridSpan w:val="3"/>
          </w:tcPr>
          <w:p>
            <w:pPr>
              <w:jc w:val="center"/>
              <w:ind w:left="1370"/>
              <w:spacing w:after="0" w:line="189"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3</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12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40" w:type="dxa"/>
            <w:vAlign w:val="bottom"/>
            <w:gridSpan w:val="17"/>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 (Unaudited).</w:t>
              </w:r>
            </w:hyperlink>
          </w:p>
        </w:tc>
        <w:tc>
          <w:tcPr>
            <w:tcW w:w="1640" w:type="dxa"/>
            <w:vAlign w:val="bottom"/>
            <w:gridSpan w:val="3"/>
          </w:tcPr>
          <w:p>
            <w:pPr>
              <w:jc w:val="center"/>
              <w:ind w:left="1370"/>
              <w:spacing w:after="0" w:line="189"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4</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12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40" w:type="dxa"/>
            <w:vAlign w:val="bottom"/>
            <w:gridSpan w:val="17"/>
          </w:tcPr>
          <w:p>
            <w:pPr>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Stockholders’ Equity (Unaudited).</w:t>
              </w:r>
            </w:hyperlink>
          </w:p>
        </w:tc>
        <w:tc>
          <w:tcPr>
            <w:tcW w:w="1640" w:type="dxa"/>
            <w:vAlign w:val="bottom"/>
            <w:gridSpan w:val="3"/>
          </w:tcPr>
          <w:p>
            <w:pPr>
              <w:jc w:val="center"/>
              <w:ind w:left="1370"/>
              <w:spacing w:after="0" w:line="189"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5</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12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40" w:type="dxa"/>
            <w:vAlign w:val="bottom"/>
            <w:gridSpan w:val="17"/>
          </w:tcPr>
          <w:p>
            <w:pPr>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 (Unaudited).</w:t>
              </w:r>
            </w:hyperlink>
          </w:p>
        </w:tc>
        <w:tc>
          <w:tcPr>
            <w:tcW w:w="1640" w:type="dxa"/>
            <w:vAlign w:val="bottom"/>
            <w:gridSpan w:val="3"/>
          </w:tcPr>
          <w:p>
            <w:pPr>
              <w:jc w:val="center"/>
              <w:ind w:left="1370"/>
              <w:spacing w:after="0" w:line="189" w:lineRule="exact"/>
              <w:rPr>
                <w:rFonts w:ascii="Arial" w:cs="Arial" w:eastAsia="Arial" w:hAnsi="Arial"/>
                <w:sz w:val="18"/>
                <w:szCs w:val="18"/>
                <w:color w:val="0000FF"/>
                <w:w w:val="99"/>
              </w:rPr>
            </w:pPr>
            <w:hyperlink w:anchor="page7">
              <w:r>
                <w:rPr>
                  <w:rFonts w:ascii="Arial" w:cs="Arial" w:eastAsia="Arial" w:hAnsi="Arial"/>
                  <w:sz w:val="18"/>
                  <w:szCs w:val="18"/>
                  <w:color w:val="0000FF"/>
                  <w:w w:val="99"/>
                </w:rPr>
                <w:t>6</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1520" w:type="dxa"/>
            <w:vAlign w:val="bottom"/>
            <w:gridSpan w:val="2"/>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152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Item 2.</w:t>
            </w:r>
          </w:p>
        </w:tc>
        <w:tc>
          <w:tcPr>
            <w:tcW w:w="7840" w:type="dxa"/>
            <w:vAlign w:val="bottom"/>
            <w:gridSpan w:val="17"/>
          </w:tcPr>
          <w:p>
            <w:pPr>
              <w:spacing w:after="0" w:line="189" w:lineRule="exact"/>
              <w:rPr>
                <w:rFonts w:ascii="Arial" w:cs="Arial" w:eastAsia="Arial" w:hAnsi="Arial"/>
                <w:sz w:val="18"/>
                <w:szCs w:val="18"/>
                <w:color w:val="0000FF"/>
              </w:rPr>
            </w:pPr>
            <w:hyperlink w:anchor="page18">
              <w:r>
                <w:rPr>
                  <w:rFonts w:ascii="Arial" w:cs="Arial" w:eastAsia="Arial" w:hAnsi="Arial"/>
                  <w:sz w:val="18"/>
                  <w:szCs w:val="18"/>
                  <w:color w:val="0000FF"/>
                </w:rPr>
                <w:t>Management’s Discussion and Analysis of Financial Condition and Results of Operations.</w:t>
              </w:r>
            </w:hyperlink>
          </w:p>
        </w:tc>
        <w:tc>
          <w:tcPr>
            <w:tcW w:w="1740" w:type="dxa"/>
            <w:vAlign w:val="bottom"/>
            <w:gridSpan w:val="4"/>
          </w:tcPr>
          <w:p>
            <w:pPr>
              <w:jc w:val="center"/>
              <w:ind w:left="1270"/>
              <w:spacing w:after="0" w:line="189" w:lineRule="exact"/>
              <w:rPr>
                <w:rFonts w:ascii="Arial" w:cs="Arial" w:eastAsia="Arial" w:hAnsi="Arial"/>
                <w:sz w:val="18"/>
                <w:szCs w:val="18"/>
                <w:color w:val="0000FF"/>
                <w:w w:val="89"/>
              </w:rPr>
            </w:pPr>
            <w:hyperlink w:anchor="page18">
              <w:r>
                <w:rPr>
                  <w:rFonts w:ascii="Arial" w:cs="Arial" w:eastAsia="Arial" w:hAnsi="Arial"/>
                  <w:sz w:val="18"/>
                  <w:szCs w:val="18"/>
                  <w:color w:val="0000FF"/>
                  <w:w w:val="89"/>
                </w:rPr>
                <w:t>16</w:t>
              </w:r>
            </w:hyperlink>
          </w:p>
        </w:tc>
        <w:tc>
          <w:tcPr>
            <w:tcW w:w="120" w:type="dxa"/>
            <w:vAlign w:val="bottom"/>
          </w:tcPr>
          <w:p>
            <w:pPr>
              <w:spacing w:after="0"/>
              <w:rPr>
                <w:sz w:val="16"/>
                <w:szCs w:val="16"/>
                <w:color w:val="auto"/>
              </w:rPr>
            </w:pPr>
          </w:p>
        </w:tc>
      </w:tr>
      <w:tr>
        <w:trPr>
          <w:trHeight w:val="21"/>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1520" w:type="dxa"/>
            <w:vAlign w:val="bottom"/>
            <w:gridSpan w:val="2"/>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152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Item 3.</w:t>
            </w:r>
          </w:p>
        </w:tc>
        <w:tc>
          <w:tcPr>
            <w:tcW w:w="7840" w:type="dxa"/>
            <w:vAlign w:val="bottom"/>
            <w:gridSpan w:val="17"/>
          </w:tcPr>
          <w:p>
            <w:pPr>
              <w:spacing w:after="0" w:line="189" w:lineRule="exact"/>
              <w:rPr>
                <w:rFonts w:ascii="Arial" w:cs="Arial" w:eastAsia="Arial" w:hAnsi="Arial"/>
                <w:sz w:val="18"/>
                <w:szCs w:val="18"/>
                <w:color w:val="0000FF"/>
              </w:rPr>
            </w:pPr>
            <w:hyperlink w:anchor="page24">
              <w:r>
                <w:rPr>
                  <w:rFonts w:ascii="Arial" w:cs="Arial" w:eastAsia="Arial" w:hAnsi="Arial"/>
                  <w:sz w:val="18"/>
                  <w:szCs w:val="18"/>
                  <w:color w:val="0000FF"/>
                </w:rPr>
                <w:t>Quantitative and Qualitative Disclosures About Market Risk.</w:t>
              </w:r>
            </w:hyperlink>
          </w:p>
        </w:tc>
        <w:tc>
          <w:tcPr>
            <w:tcW w:w="1740" w:type="dxa"/>
            <w:vAlign w:val="bottom"/>
            <w:gridSpan w:val="4"/>
          </w:tcPr>
          <w:p>
            <w:pPr>
              <w:jc w:val="center"/>
              <w:ind w:left="1270"/>
              <w:spacing w:after="0" w:line="189" w:lineRule="exact"/>
              <w:rPr>
                <w:rFonts w:ascii="Arial" w:cs="Arial" w:eastAsia="Arial" w:hAnsi="Arial"/>
                <w:sz w:val="18"/>
                <w:szCs w:val="18"/>
                <w:color w:val="0000FF"/>
                <w:w w:val="89"/>
              </w:rPr>
            </w:pPr>
            <w:hyperlink w:anchor="page24">
              <w:r>
                <w:rPr>
                  <w:rFonts w:ascii="Arial" w:cs="Arial" w:eastAsia="Arial" w:hAnsi="Arial"/>
                  <w:sz w:val="18"/>
                  <w:szCs w:val="18"/>
                  <w:color w:val="0000FF"/>
                  <w:w w:val="89"/>
                </w:rPr>
                <w:t>22</w:t>
              </w:r>
            </w:hyperlink>
          </w:p>
        </w:tc>
        <w:tc>
          <w:tcPr>
            <w:tcW w:w="120" w:type="dxa"/>
            <w:vAlign w:val="bottom"/>
          </w:tcPr>
          <w:p>
            <w:pPr>
              <w:spacing w:after="0"/>
              <w:rPr>
                <w:sz w:val="16"/>
                <w:szCs w:val="16"/>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1520" w:type="dxa"/>
            <w:vAlign w:val="bottom"/>
            <w:gridSpan w:val="2"/>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152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Item 4.</w:t>
            </w:r>
          </w:p>
        </w:tc>
        <w:tc>
          <w:tcPr>
            <w:tcW w:w="7840" w:type="dxa"/>
            <w:vAlign w:val="bottom"/>
            <w:gridSpan w:val="17"/>
          </w:tcPr>
          <w:p>
            <w:pPr>
              <w:spacing w:after="0" w:line="189" w:lineRule="exact"/>
              <w:rPr>
                <w:rFonts w:ascii="Arial" w:cs="Arial" w:eastAsia="Arial" w:hAnsi="Arial"/>
                <w:sz w:val="18"/>
                <w:szCs w:val="18"/>
                <w:color w:val="0000FF"/>
              </w:rPr>
            </w:pPr>
            <w:hyperlink w:anchor="page24">
              <w:r>
                <w:rPr>
                  <w:rFonts w:ascii="Arial" w:cs="Arial" w:eastAsia="Arial" w:hAnsi="Arial"/>
                  <w:sz w:val="18"/>
                  <w:szCs w:val="18"/>
                  <w:color w:val="0000FF"/>
                </w:rPr>
                <w:t>Controls and Procedures.</w:t>
              </w:r>
            </w:hyperlink>
          </w:p>
        </w:tc>
        <w:tc>
          <w:tcPr>
            <w:tcW w:w="1740" w:type="dxa"/>
            <w:vAlign w:val="bottom"/>
            <w:gridSpan w:val="4"/>
          </w:tcPr>
          <w:p>
            <w:pPr>
              <w:jc w:val="center"/>
              <w:ind w:left="1270"/>
              <w:spacing w:after="0" w:line="189" w:lineRule="exact"/>
              <w:rPr>
                <w:rFonts w:ascii="Arial" w:cs="Arial" w:eastAsia="Arial" w:hAnsi="Arial"/>
                <w:sz w:val="18"/>
                <w:szCs w:val="18"/>
                <w:color w:val="0000FF"/>
                <w:w w:val="89"/>
              </w:rPr>
            </w:pPr>
            <w:hyperlink w:anchor="page24">
              <w:r>
                <w:rPr>
                  <w:rFonts w:ascii="Arial" w:cs="Arial" w:eastAsia="Arial" w:hAnsi="Arial"/>
                  <w:sz w:val="18"/>
                  <w:szCs w:val="18"/>
                  <w:color w:val="0000FF"/>
                  <w:w w:val="89"/>
                </w:rPr>
                <w:t>22</w:t>
              </w:r>
            </w:hyperlink>
          </w:p>
        </w:tc>
        <w:tc>
          <w:tcPr>
            <w:tcW w:w="120" w:type="dxa"/>
            <w:vAlign w:val="bottom"/>
          </w:tcPr>
          <w:p>
            <w:pPr>
              <w:spacing w:after="0"/>
              <w:rPr>
                <w:sz w:val="16"/>
                <w:szCs w:val="16"/>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1520" w:type="dxa"/>
            <w:vAlign w:val="bottom"/>
            <w:gridSpan w:val="2"/>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1520" w:type="dxa"/>
            <w:vAlign w:val="bottom"/>
            <w:gridSpan w:val="2"/>
          </w:tcPr>
          <w:p>
            <w:pPr>
              <w:ind w:left="20"/>
              <w:spacing w:after="0" w:line="189" w:lineRule="exact"/>
              <w:rPr>
                <w:sz w:val="20"/>
                <w:szCs w:val="20"/>
                <w:color w:val="auto"/>
              </w:rPr>
            </w:pPr>
            <w:r>
              <w:rPr>
                <w:rFonts w:ascii="Arial" w:cs="Arial" w:eastAsia="Arial" w:hAnsi="Arial"/>
                <w:sz w:val="18"/>
                <w:szCs w:val="18"/>
                <w:b w:val="1"/>
                <w:bCs w:val="1"/>
                <w:color w:val="auto"/>
              </w:rPr>
              <w:t>PART II.</w:t>
            </w:r>
          </w:p>
        </w:tc>
        <w:tc>
          <w:tcPr>
            <w:tcW w:w="7840" w:type="dxa"/>
            <w:vAlign w:val="bottom"/>
            <w:gridSpan w:val="17"/>
          </w:tcPr>
          <w:p>
            <w:pPr>
              <w:spacing w:after="0" w:line="189" w:lineRule="exact"/>
              <w:rPr>
                <w:rFonts w:ascii="Arial" w:cs="Arial" w:eastAsia="Arial" w:hAnsi="Arial"/>
                <w:sz w:val="18"/>
                <w:szCs w:val="18"/>
                <w:b w:val="1"/>
                <w:bCs w:val="1"/>
                <w:color w:val="0000FF"/>
              </w:rPr>
            </w:pPr>
            <w:hyperlink w:anchor="page24">
              <w:r>
                <w:rPr>
                  <w:rFonts w:ascii="Arial" w:cs="Arial" w:eastAsia="Arial" w:hAnsi="Arial"/>
                  <w:sz w:val="18"/>
                  <w:szCs w:val="18"/>
                  <w:b w:val="1"/>
                  <w:bCs w:val="1"/>
                  <w:color w:val="0000FF"/>
                </w:rPr>
                <w:t>OTHER INFORMATION.</w:t>
              </w:r>
            </w:hyperlink>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1520" w:type="dxa"/>
            <w:vAlign w:val="bottom"/>
            <w:gridSpan w:val="2"/>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152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Item 1.</w:t>
            </w:r>
          </w:p>
        </w:tc>
        <w:tc>
          <w:tcPr>
            <w:tcW w:w="7840" w:type="dxa"/>
            <w:vAlign w:val="bottom"/>
            <w:gridSpan w:val="17"/>
          </w:tcPr>
          <w:p>
            <w:pPr>
              <w:spacing w:after="0" w:line="189" w:lineRule="exact"/>
              <w:rPr>
                <w:rFonts w:ascii="Arial" w:cs="Arial" w:eastAsia="Arial" w:hAnsi="Arial"/>
                <w:sz w:val="18"/>
                <w:szCs w:val="18"/>
                <w:color w:val="0000FF"/>
              </w:rPr>
            </w:pPr>
            <w:hyperlink w:anchor="page25">
              <w:r>
                <w:rPr>
                  <w:rFonts w:ascii="Arial" w:cs="Arial" w:eastAsia="Arial" w:hAnsi="Arial"/>
                  <w:sz w:val="18"/>
                  <w:szCs w:val="18"/>
                  <w:color w:val="0000FF"/>
                </w:rPr>
                <w:t>Legal Proceedings.</w:t>
              </w:r>
            </w:hyperlink>
          </w:p>
        </w:tc>
        <w:tc>
          <w:tcPr>
            <w:tcW w:w="1740" w:type="dxa"/>
            <w:vAlign w:val="bottom"/>
            <w:gridSpan w:val="4"/>
          </w:tcPr>
          <w:p>
            <w:pPr>
              <w:jc w:val="center"/>
              <w:ind w:left="1270"/>
              <w:spacing w:after="0" w:line="189" w:lineRule="exact"/>
              <w:rPr>
                <w:rFonts w:ascii="Arial" w:cs="Arial" w:eastAsia="Arial" w:hAnsi="Arial"/>
                <w:sz w:val="18"/>
                <w:szCs w:val="18"/>
                <w:color w:val="0000FF"/>
                <w:w w:val="89"/>
              </w:rPr>
            </w:pPr>
            <w:hyperlink w:anchor="page25">
              <w:r>
                <w:rPr>
                  <w:rFonts w:ascii="Arial" w:cs="Arial" w:eastAsia="Arial" w:hAnsi="Arial"/>
                  <w:sz w:val="18"/>
                  <w:szCs w:val="18"/>
                  <w:color w:val="0000FF"/>
                  <w:w w:val="89"/>
                </w:rPr>
                <w:t>23</w:t>
              </w:r>
            </w:hyperlink>
          </w:p>
        </w:tc>
        <w:tc>
          <w:tcPr>
            <w:tcW w:w="120" w:type="dxa"/>
            <w:vAlign w:val="bottom"/>
          </w:tcPr>
          <w:p>
            <w:pPr>
              <w:spacing w:after="0"/>
              <w:rPr>
                <w:sz w:val="16"/>
                <w:szCs w:val="16"/>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1520" w:type="dxa"/>
            <w:vAlign w:val="bottom"/>
            <w:gridSpan w:val="2"/>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152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Item 1A.</w:t>
            </w:r>
          </w:p>
        </w:tc>
        <w:tc>
          <w:tcPr>
            <w:tcW w:w="7840" w:type="dxa"/>
            <w:vAlign w:val="bottom"/>
            <w:gridSpan w:val="17"/>
          </w:tcPr>
          <w:p>
            <w:pPr>
              <w:spacing w:after="0" w:line="189" w:lineRule="exact"/>
              <w:rPr>
                <w:rFonts w:ascii="Arial" w:cs="Arial" w:eastAsia="Arial" w:hAnsi="Arial"/>
                <w:sz w:val="18"/>
                <w:szCs w:val="18"/>
                <w:color w:val="0000FF"/>
              </w:rPr>
            </w:pPr>
            <w:hyperlink w:anchor="page25">
              <w:r>
                <w:rPr>
                  <w:rFonts w:ascii="Arial" w:cs="Arial" w:eastAsia="Arial" w:hAnsi="Arial"/>
                  <w:sz w:val="18"/>
                  <w:szCs w:val="18"/>
                  <w:color w:val="0000FF"/>
                </w:rPr>
                <w:t>Risk Factors.</w:t>
              </w:r>
            </w:hyperlink>
          </w:p>
        </w:tc>
        <w:tc>
          <w:tcPr>
            <w:tcW w:w="1740" w:type="dxa"/>
            <w:vAlign w:val="bottom"/>
            <w:gridSpan w:val="4"/>
          </w:tcPr>
          <w:p>
            <w:pPr>
              <w:jc w:val="center"/>
              <w:ind w:left="1270"/>
              <w:spacing w:after="0" w:line="189" w:lineRule="exact"/>
              <w:rPr>
                <w:rFonts w:ascii="Arial" w:cs="Arial" w:eastAsia="Arial" w:hAnsi="Arial"/>
                <w:sz w:val="18"/>
                <w:szCs w:val="18"/>
                <w:color w:val="0000FF"/>
                <w:w w:val="89"/>
              </w:rPr>
            </w:pPr>
            <w:hyperlink w:anchor="page25">
              <w:r>
                <w:rPr>
                  <w:rFonts w:ascii="Arial" w:cs="Arial" w:eastAsia="Arial" w:hAnsi="Arial"/>
                  <w:sz w:val="18"/>
                  <w:szCs w:val="18"/>
                  <w:color w:val="0000FF"/>
                  <w:w w:val="89"/>
                </w:rPr>
                <w:t>23</w:t>
              </w:r>
            </w:hyperlink>
          </w:p>
        </w:tc>
        <w:tc>
          <w:tcPr>
            <w:tcW w:w="120" w:type="dxa"/>
            <w:vAlign w:val="bottom"/>
          </w:tcPr>
          <w:p>
            <w:pPr>
              <w:spacing w:after="0"/>
              <w:rPr>
                <w:sz w:val="16"/>
                <w:szCs w:val="16"/>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1520" w:type="dxa"/>
            <w:vAlign w:val="bottom"/>
            <w:gridSpan w:val="2"/>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152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Item 6.</w:t>
            </w:r>
          </w:p>
        </w:tc>
        <w:tc>
          <w:tcPr>
            <w:tcW w:w="7840" w:type="dxa"/>
            <w:vAlign w:val="bottom"/>
            <w:gridSpan w:val="17"/>
          </w:tcPr>
          <w:p>
            <w:pPr>
              <w:spacing w:after="0" w:line="189" w:lineRule="exact"/>
              <w:rPr>
                <w:rFonts w:ascii="Arial" w:cs="Arial" w:eastAsia="Arial" w:hAnsi="Arial"/>
                <w:sz w:val="18"/>
                <w:szCs w:val="18"/>
                <w:color w:val="0000FF"/>
              </w:rPr>
            </w:pPr>
            <w:hyperlink w:anchor="page25">
              <w:r>
                <w:rPr>
                  <w:rFonts w:ascii="Arial" w:cs="Arial" w:eastAsia="Arial" w:hAnsi="Arial"/>
                  <w:sz w:val="18"/>
                  <w:szCs w:val="18"/>
                  <w:color w:val="0000FF"/>
                </w:rPr>
                <w:t>Exhibits.</w:t>
              </w:r>
            </w:hyperlink>
          </w:p>
        </w:tc>
        <w:tc>
          <w:tcPr>
            <w:tcW w:w="1740" w:type="dxa"/>
            <w:vAlign w:val="bottom"/>
            <w:gridSpan w:val="4"/>
          </w:tcPr>
          <w:p>
            <w:pPr>
              <w:jc w:val="center"/>
              <w:ind w:left="1270"/>
              <w:spacing w:after="0" w:line="189" w:lineRule="exact"/>
              <w:rPr>
                <w:rFonts w:ascii="Arial" w:cs="Arial" w:eastAsia="Arial" w:hAnsi="Arial"/>
                <w:sz w:val="18"/>
                <w:szCs w:val="18"/>
                <w:color w:val="0000FF"/>
                <w:w w:val="89"/>
              </w:rPr>
            </w:pPr>
            <w:hyperlink w:anchor="page25">
              <w:r>
                <w:rPr>
                  <w:rFonts w:ascii="Arial" w:cs="Arial" w:eastAsia="Arial" w:hAnsi="Arial"/>
                  <w:sz w:val="18"/>
                  <w:szCs w:val="18"/>
                  <w:color w:val="0000FF"/>
                  <w:w w:val="89"/>
                </w:rPr>
                <w:t>24</w:t>
              </w:r>
            </w:hyperlink>
          </w:p>
        </w:tc>
        <w:tc>
          <w:tcPr>
            <w:tcW w:w="120" w:type="dxa"/>
            <w:vAlign w:val="bottom"/>
          </w:tcPr>
          <w:p>
            <w:pPr>
              <w:spacing w:after="0"/>
              <w:rPr>
                <w:sz w:val="16"/>
                <w:szCs w:val="16"/>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12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40" w:type="dxa"/>
            <w:vAlign w:val="bottom"/>
            <w:gridSpan w:val="17"/>
          </w:tcPr>
          <w:p>
            <w:pPr>
              <w:spacing w:after="0" w:line="189" w:lineRule="exact"/>
              <w:rPr>
                <w:rFonts w:ascii="Arial" w:cs="Arial" w:eastAsia="Arial" w:hAnsi="Arial"/>
                <w:sz w:val="18"/>
                <w:szCs w:val="18"/>
                <w:color w:val="0000FF"/>
              </w:rPr>
            </w:pPr>
            <w:hyperlink w:anchor="page26">
              <w:r>
                <w:rPr>
                  <w:rFonts w:ascii="Arial" w:cs="Arial" w:eastAsia="Arial" w:hAnsi="Arial"/>
                  <w:sz w:val="18"/>
                  <w:szCs w:val="18"/>
                  <w:color w:val="0000FF"/>
                </w:rPr>
                <w:t>SIGNATURES</w:t>
              </w:r>
            </w:hyperlink>
            <w:r>
              <w:rPr>
                <w:rFonts w:ascii="Arial" w:cs="Arial" w:eastAsia="Arial" w:hAnsi="Arial"/>
                <w:sz w:val="18"/>
                <w:szCs w:val="18"/>
                <w:color w:val="000000"/>
              </w:rPr>
              <w:t>.</w:t>
            </w:r>
          </w:p>
        </w:tc>
        <w:tc>
          <w:tcPr>
            <w:tcW w:w="1740" w:type="dxa"/>
            <w:vAlign w:val="bottom"/>
            <w:gridSpan w:val="4"/>
          </w:tcPr>
          <w:p>
            <w:pPr>
              <w:jc w:val="center"/>
              <w:ind w:left="1270"/>
              <w:spacing w:after="0" w:line="189" w:lineRule="exact"/>
              <w:rPr>
                <w:rFonts w:ascii="Arial" w:cs="Arial" w:eastAsia="Arial" w:hAnsi="Arial"/>
                <w:sz w:val="18"/>
                <w:szCs w:val="18"/>
                <w:color w:val="0000FF"/>
                <w:w w:val="89"/>
              </w:rPr>
            </w:pPr>
            <w:hyperlink w:anchor="page26">
              <w:r>
                <w:rPr>
                  <w:rFonts w:ascii="Arial" w:cs="Arial" w:eastAsia="Arial" w:hAnsi="Arial"/>
                  <w:sz w:val="18"/>
                  <w:szCs w:val="18"/>
                  <w:color w:val="0000FF"/>
                  <w:w w:val="89"/>
                </w:rPr>
                <w:t>25</w:t>
              </w:r>
            </w:hyperlink>
          </w:p>
        </w:tc>
        <w:tc>
          <w:tcPr>
            <w:tcW w:w="120" w:type="dxa"/>
            <w:vAlign w:val="bottom"/>
          </w:tcPr>
          <w:p>
            <w:pPr>
              <w:spacing w:after="0"/>
              <w:rPr>
                <w:sz w:val="16"/>
                <w:szCs w:val="16"/>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PART I.</w:t>
        <w:tab/>
        <w:t>FINANCIAL INFORMATION.</w:t>
      </w:r>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 (UNAUDITED).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100" w:type="dxa"/>
            <w:vAlign w:val="bottom"/>
            <w:gridSpan w:val="4"/>
          </w:tcPr>
          <w:p>
            <w:pPr>
              <w:jc w:val="right"/>
              <w:ind w:right="450"/>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6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r>
      <w:tr>
        <w:trPr>
          <w:trHeight w:val="209"/>
        </w:trPr>
        <w:tc>
          <w:tcPr>
            <w:tcW w:w="6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w w:val="95"/>
              </w:rPr>
              <w:t>2020</w:t>
            </w:r>
          </w:p>
        </w:tc>
      </w:tr>
      <w:tr>
        <w:trPr>
          <w:trHeight w:val="226"/>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w:t>
            </w:r>
          </w:p>
        </w:tc>
      </w:tr>
      <w:tr>
        <w:trPr>
          <w:trHeight w:val="229"/>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385.6</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w:t>
            </w:r>
          </w:p>
        </w:tc>
      </w:tr>
      <w:tr>
        <w:trPr>
          <w:trHeight w:val="223"/>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84.0</w:t>
            </w: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Other operating income, net</w:t>
            </w: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refinancing of debt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Earnings before Income Taxes</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w:t>
            </w: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3"/>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Net Earnings Including Redeemable Noncontrolling Interest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50.4</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earnings attributable to redeemable 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23"/>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Net Earnings Available to Class A Common Stockholders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37"/>
        </w:trPr>
        <w:tc>
          <w:tcPr>
            <w:tcW w:w="6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Earnings per share of Class A Common Stock:</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0.11</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0.21</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0.26</w:t>
            </w:r>
          </w:p>
        </w:tc>
      </w:tr>
      <w:tr>
        <w:trPr>
          <w:trHeight w:val="270"/>
        </w:trPr>
        <w:tc>
          <w:tcPr>
            <w:tcW w:w="6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of Class A Common Stock Outstanding:</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39.7</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39.6</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39.4</w:t>
            </w:r>
          </w:p>
        </w:tc>
      </w:tr>
    </w:tbl>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20" w:type="dxa"/>
            <w:vAlign w:val="bottom"/>
          </w:tcPr>
          <w:p>
            <w:pPr>
              <w:spacing w:after="0"/>
              <w:rPr>
                <w:sz w:val="16"/>
                <w:szCs w:val="16"/>
                <w:color w:val="auto"/>
              </w:rPr>
            </w:pPr>
          </w:p>
        </w:tc>
        <w:tc>
          <w:tcPr>
            <w:tcW w:w="2580" w:type="dxa"/>
            <w:vAlign w:val="bottom"/>
            <w:gridSpan w:val="6"/>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100" w:type="dxa"/>
            <w:vAlign w:val="bottom"/>
            <w:gridSpan w:val="4"/>
          </w:tcPr>
          <w:p>
            <w:pPr>
              <w:jc w:val="right"/>
              <w:ind w:right="45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3"/>
        </w:trPr>
        <w:tc>
          <w:tcPr>
            <w:tcW w:w="63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22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Including Redeemable Noncontrolling Interest</w:t>
            </w: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Hedging adjustments:</w:t>
            </w: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 on derivatives</w:t>
            </w:r>
          </w:p>
        </w:tc>
        <w:tc>
          <w:tcPr>
            <w:tcW w:w="7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9"/>
        </w:trPr>
        <w:tc>
          <w:tcPr>
            <w:tcW w:w="6320" w:type="dxa"/>
            <w:vAlign w:val="bottom"/>
          </w:tcPr>
          <w:p>
            <w:pPr>
              <w:ind w:left="240"/>
              <w:spacing w:after="0"/>
              <w:rPr>
                <w:sz w:val="20"/>
                <w:szCs w:val="20"/>
                <w:color w:val="auto"/>
              </w:rPr>
            </w:pPr>
            <w:r>
              <w:rPr>
                <w:rFonts w:ascii="Arial" w:cs="Arial" w:eastAsia="Arial" w:hAnsi="Arial"/>
                <w:sz w:val="18"/>
                <w:szCs w:val="18"/>
                <w:color w:val="auto"/>
              </w:rPr>
              <w:t>Reclassifications to net earnings</w:t>
            </w:r>
          </w:p>
        </w:tc>
        <w:tc>
          <w:tcPr>
            <w:tcW w:w="7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Foreign currency translation adjustments:</w:t>
            </w:r>
          </w:p>
        </w:tc>
        <w:tc>
          <w:tcPr>
            <w:tcW w:w="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240"/>
              <w:spacing w:after="0"/>
              <w:rPr>
                <w:sz w:val="20"/>
                <w:szCs w:val="20"/>
                <w:color w:val="auto"/>
              </w:rPr>
            </w:pPr>
            <w:r>
              <w:rPr>
                <w:rFonts w:ascii="Arial" w:cs="Arial" w:eastAsia="Arial" w:hAnsi="Arial"/>
                <w:sz w:val="18"/>
                <w:szCs w:val="18"/>
                <w:color w:val="auto"/>
              </w:rPr>
              <w:t>Unrealized foreign currency translation adjustments</w:t>
            </w:r>
          </w:p>
        </w:tc>
        <w:tc>
          <w:tcPr>
            <w:tcW w:w="7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1"/>
              </w:rPr>
              <w:t>(0.9)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Tax benefit on other comprehensive loss:</w:t>
            </w:r>
          </w:p>
        </w:tc>
        <w:tc>
          <w:tcPr>
            <w:tcW w:w="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40"/>
              <w:spacing w:after="0"/>
              <w:rPr>
                <w:sz w:val="20"/>
                <w:szCs w:val="20"/>
                <w:color w:val="auto"/>
              </w:rPr>
            </w:pPr>
            <w:r>
              <w:rPr>
                <w:rFonts w:ascii="Arial" w:cs="Arial" w:eastAsia="Arial" w:hAnsi="Arial"/>
                <w:sz w:val="18"/>
                <w:szCs w:val="18"/>
                <w:color w:val="auto"/>
              </w:rPr>
              <w:t>Net loss on derivatives</w:t>
            </w:r>
          </w:p>
        </w:tc>
        <w:tc>
          <w:tcPr>
            <w:tcW w:w="70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155"/>
        </w:trPr>
        <w:tc>
          <w:tcPr>
            <w:tcW w:w="63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0"/>
              </w:rPr>
              <w:t>Total Other Comprehensive (Loss) Income Including Redeemable Noncontrolling</w:t>
            </w:r>
          </w:p>
        </w:tc>
        <w:tc>
          <w:tcPr>
            <w:tcW w:w="7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(0.3)</w:t>
            </w:r>
          </w:p>
        </w:tc>
        <w:tc>
          <w:tcPr>
            <w:tcW w:w="14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w:t>
            </w:r>
          </w:p>
        </w:tc>
        <w:tc>
          <w:tcPr>
            <w:tcW w:w="7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9"/>
              </w:rPr>
              <w:t>Less: Comprehensive income attributable to redeemable noncontrolling interest</w:t>
            </w:r>
          </w:p>
        </w:tc>
        <w:tc>
          <w:tcPr>
            <w:tcW w:w="7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Total Comprehensive Income Available to Class A Common Stockholders</w:t>
            </w:r>
          </w:p>
        </w:tc>
        <w:tc>
          <w:tcPr>
            <w:tcW w:w="70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6"/>
                <w:szCs w:val="16"/>
                <w:color w:val="auto"/>
              </w:rPr>
            </w:pPr>
          </w:p>
        </w:tc>
        <w:tc>
          <w:tcPr>
            <w:tcW w:w="1260" w:type="dxa"/>
            <w:vAlign w:val="bottom"/>
          </w:tcPr>
          <w:p>
            <w:pPr>
              <w:jc w:val="right"/>
              <w:ind w:right="131"/>
              <w:spacing w:after="0"/>
              <w:rPr>
                <w:sz w:val="20"/>
                <w:szCs w:val="20"/>
                <w:color w:val="auto"/>
              </w:rPr>
            </w:pPr>
            <w:r>
              <w:rPr>
                <w:rFonts w:ascii="Arial" w:cs="Arial" w:eastAsia="Arial" w:hAnsi="Arial"/>
                <w:sz w:val="16"/>
                <w:szCs w:val="16"/>
                <w:b w:val="1"/>
                <w:bCs w:val="1"/>
                <w:color w:val="auto"/>
                <w:w w:val="93"/>
              </w:rPr>
              <w:t>September 30,</w:t>
            </w:r>
          </w:p>
        </w:tc>
      </w:tr>
      <w:tr>
        <w:trPr>
          <w:trHeight w:val="213"/>
        </w:trPr>
        <w:tc>
          <w:tcPr>
            <w:tcW w:w="8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r>
      <w:tr>
        <w:trPr>
          <w:trHeight w:val="212"/>
        </w:trPr>
        <w:tc>
          <w:tcPr>
            <w:tcW w:w="8240" w:type="dxa"/>
            <w:vAlign w:val="bottom"/>
            <w:shd w:val="clear" w:color="auto" w:fill="CCEEFF"/>
          </w:tcPr>
          <w:p>
            <w:pPr>
              <w:ind w:left="528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83.1</w:t>
            </w: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r>
      <w:tr>
        <w:trPr>
          <w:trHeight w:val="229"/>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23"/>
        </w:trPr>
        <w:tc>
          <w:tcPr>
            <w:tcW w:w="82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Property,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274.3</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3"/>
        </w:trPr>
        <w:tc>
          <w:tcPr>
            <w:tcW w:w="8240" w:type="dxa"/>
            <w:vAlign w:val="bottom"/>
          </w:tcPr>
          <w:p>
            <w:pPr>
              <w:ind w:left="5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653.5</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8240" w:type="dxa"/>
            <w:vAlign w:val="bottom"/>
          </w:tcPr>
          <w:p>
            <w:pPr>
              <w:ind w:left="366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73.2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63.8</w:t>
            </w: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r>
      <w:tr>
        <w:trPr>
          <w:trHeight w:val="230"/>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r>
      <w:tr>
        <w:trPr>
          <w:trHeight w:val="223"/>
        </w:trPr>
        <w:tc>
          <w:tcPr>
            <w:tcW w:w="82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622.6</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r>
      <w:tr>
        <w:trPr>
          <w:trHeight w:val="223"/>
        </w:trPr>
        <w:tc>
          <w:tcPr>
            <w:tcW w:w="82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814.5</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Redeemable noncontrolling interest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2,021.6</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2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(2,431.9)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(2,179.0)</w:t>
            </w: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8240" w:type="dxa"/>
            <w:vAlign w:val="bottom"/>
            <w:tcBorders>
              <w:bottom w:val="single" w:sz="8" w:color="CCEEFF"/>
            </w:tcBorders>
          </w:tcPr>
          <w:p>
            <w:pPr>
              <w:ind w:left="520"/>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(2,182.6)</w:t>
            </w:r>
          </w:p>
        </w:tc>
      </w:tr>
      <w:tr>
        <w:trPr>
          <w:trHeight w:val="248"/>
        </w:trPr>
        <w:tc>
          <w:tcPr>
            <w:tcW w:w="8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48"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Six Months Ended</w:t>
      </w:r>
    </w:p>
    <w:p>
      <w:pPr>
        <w:jc w:val="center"/>
        <w:ind w:left="822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2020</w:t>
            </w: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earnings including redeemable noncontrolling interest</w:t>
            </w:r>
          </w:p>
        </w:tc>
        <w:tc>
          <w:tcPr>
            <w:tcW w:w="920" w:type="dxa"/>
            <w:vAlign w:val="bottom"/>
          </w:tcPr>
          <w:p>
            <w:pPr>
              <w:jc w:val="right"/>
              <w:ind w:right="713"/>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50.4</w:t>
            </w:r>
          </w:p>
        </w:tc>
      </w:tr>
      <w:tr>
        <w:trPr>
          <w:trHeight w:val="175"/>
        </w:trPr>
        <w:tc>
          <w:tcPr>
            <w:tcW w:w="8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Adjustments to reconcile net earnings including redeemable noncontrolling interest to net cash provided by (used</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operating activities: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on interest rate swaps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Loss on refinancing of debt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stock-based compensation expense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Other changes in operating assets and liabilities: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receivables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Decrease (increase) in inventories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prepaid expenses and other current assets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Decrease in other assets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(decrease) in accounts payable and other current liabilities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3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Increase in non-current liabilities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(Used in) Operating Activities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50"/>
        </w:trPr>
        <w:tc>
          <w:tcPr>
            <w:tcW w:w="8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Additions to property</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50"/>
        </w:trPr>
        <w:tc>
          <w:tcPr>
            <w:tcW w:w="8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Proceeds from issuance of long-term debt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871.0</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common stock, net of issuance costs</w:t>
            </w:r>
          </w:p>
        </w:tc>
        <w:tc>
          <w:tcPr>
            <w:tcW w:w="9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Repayments of long-term debt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(96.3)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(1,298.7)</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of debt issuance costs and deferred financing fees</w:t>
            </w:r>
          </w:p>
        </w:tc>
        <w:tc>
          <w:tcPr>
            <w:tcW w:w="9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Payment of debt refinancing fees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 Post Holdings, Inc., net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(Used in) Provided by Financing Activities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(89.4)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r>
        <w:rPr>
          <w:rFonts w:ascii="Arial" w:cs="Arial" w:eastAsia="Arial" w:hAnsi="Arial"/>
          <w:sz w:val="18"/>
          <w:szCs w:val="18"/>
          <w:color w:val="auto"/>
        </w:rPr>
        <w: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jc w:val="center"/>
              <w:ind w:right="480"/>
              <w:spacing w:after="0"/>
              <w:rPr>
                <w:sz w:val="20"/>
                <w:szCs w:val="20"/>
                <w:color w:val="auto"/>
              </w:rPr>
            </w:pPr>
            <w:r>
              <w:rPr>
                <w:rFonts w:ascii="Arial" w:cs="Arial" w:eastAsia="Arial" w:hAnsi="Arial"/>
                <w:sz w:val="16"/>
                <w:szCs w:val="16"/>
                <w:b w:val="1"/>
                <w:bCs w:val="1"/>
                <w:color w:val="auto"/>
                <w:w w:val="93"/>
              </w:rPr>
              <w:t>As Of and For The</w:t>
            </w:r>
          </w:p>
        </w:tc>
        <w:tc>
          <w:tcPr>
            <w:tcW w:w="280" w:type="dxa"/>
            <w:vAlign w:val="bottom"/>
          </w:tcPr>
          <w:p>
            <w:pPr>
              <w:spacing w:after="0"/>
              <w:rPr>
                <w:sz w:val="16"/>
                <w:szCs w:val="16"/>
                <w:color w:val="auto"/>
              </w:rPr>
            </w:pPr>
          </w:p>
        </w:tc>
        <w:tc>
          <w:tcPr>
            <w:tcW w:w="2160" w:type="dxa"/>
            <w:vAlign w:val="bottom"/>
            <w:gridSpan w:val="4"/>
          </w:tcPr>
          <w:p>
            <w:pPr>
              <w:jc w:val="center"/>
              <w:ind w:right="170"/>
              <w:spacing w:after="0"/>
              <w:rPr>
                <w:sz w:val="20"/>
                <w:szCs w:val="20"/>
                <w:color w:val="auto"/>
              </w:rPr>
            </w:pPr>
            <w:r>
              <w:rPr>
                <w:rFonts w:ascii="Arial" w:cs="Arial" w:eastAsia="Arial" w:hAnsi="Arial"/>
                <w:sz w:val="16"/>
                <w:szCs w:val="16"/>
                <w:b w:val="1"/>
                <w:bCs w:val="1"/>
                <w:color w:val="auto"/>
                <w:w w:val="93"/>
              </w:rPr>
              <w:t>As Of and For The</w:t>
            </w:r>
          </w:p>
        </w:tc>
      </w:tr>
      <w:tr>
        <w:trPr>
          <w:trHeight w:val="162"/>
        </w:trPr>
        <w:tc>
          <w:tcPr>
            <w:tcW w:w="6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5"/>
          </w:tcPr>
          <w:p>
            <w:pPr>
              <w:jc w:val="center"/>
              <w:ind w:right="500"/>
              <w:spacing w:after="0" w:line="162" w:lineRule="exact"/>
              <w:rPr>
                <w:sz w:val="20"/>
                <w:szCs w:val="20"/>
                <w:color w:val="auto"/>
              </w:rPr>
            </w:pPr>
            <w:r>
              <w:rPr>
                <w:rFonts w:ascii="Arial" w:cs="Arial" w:eastAsia="Arial" w:hAnsi="Arial"/>
                <w:sz w:val="16"/>
                <w:szCs w:val="16"/>
                <w:b w:val="1"/>
                <w:bCs w:val="1"/>
                <w:color w:val="auto"/>
                <w:w w:val="93"/>
              </w:rPr>
              <w:t>Three Months Ended</w:t>
            </w:r>
          </w:p>
        </w:tc>
        <w:tc>
          <w:tcPr>
            <w:tcW w:w="280" w:type="dxa"/>
            <w:vAlign w:val="bottom"/>
          </w:tcPr>
          <w:p>
            <w:pPr>
              <w:spacing w:after="0"/>
              <w:rPr>
                <w:sz w:val="14"/>
                <w:szCs w:val="14"/>
                <w:color w:val="auto"/>
              </w:rPr>
            </w:pPr>
          </w:p>
        </w:tc>
        <w:tc>
          <w:tcPr>
            <w:tcW w:w="2160" w:type="dxa"/>
            <w:vAlign w:val="bottom"/>
            <w:gridSpan w:val="4"/>
          </w:tcPr>
          <w:p>
            <w:pPr>
              <w:jc w:val="center"/>
              <w:ind w:right="190"/>
              <w:spacing w:after="0" w:line="162" w:lineRule="exact"/>
              <w:rPr>
                <w:sz w:val="20"/>
                <w:szCs w:val="20"/>
                <w:color w:val="auto"/>
              </w:rPr>
            </w:pPr>
            <w:r>
              <w:rPr>
                <w:rFonts w:ascii="Arial" w:cs="Arial" w:eastAsia="Arial" w:hAnsi="Arial"/>
                <w:sz w:val="16"/>
                <w:szCs w:val="16"/>
                <w:b w:val="1"/>
                <w:bCs w:val="1"/>
                <w:color w:val="auto"/>
                <w:w w:val="92"/>
              </w:rPr>
              <w:t>Six Months Ended</w:t>
            </w:r>
          </w:p>
        </w:tc>
      </w:tr>
      <w:tr>
        <w:trPr>
          <w:trHeight w:val="213"/>
        </w:trPr>
        <w:tc>
          <w:tcPr>
            <w:tcW w:w="6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center"/>
              <w:ind w:left="491"/>
              <w:spacing w:after="0"/>
              <w:rPr>
                <w:sz w:val="20"/>
                <w:szCs w:val="20"/>
                <w:color w:val="auto"/>
              </w:rPr>
            </w:pPr>
            <w:r>
              <w:rPr>
                <w:rFonts w:ascii="Arial" w:cs="Arial" w:eastAsia="Arial" w:hAnsi="Arial"/>
                <w:sz w:val="16"/>
                <w:szCs w:val="16"/>
                <w:b w:val="1"/>
                <w:bCs w:val="1"/>
                <w:color w:val="auto"/>
                <w:w w:val="94"/>
              </w:rPr>
              <w:t>March 31,</w:t>
            </w:r>
          </w:p>
        </w:tc>
        <w:tc>
          <w:tcPr>
            <w:tcW w:w="8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left="431"/>
              <w:spacing w:after="0"/>
              <w:rPr>
                <w:sz w:val="20"/>
                <w:szCs w:val="20"/>
                <w:color w:val="auto"/>
              </w:rPr>
            </w:pPr>
            <w:r>
              <w:rPr>
                <w:rFonts w:ascii="Arial" w:cs="Arial" w:eastAsia="Arial" w:hAnsi="Arial"/>
                <w:sz w:val="16"/>
                <w:szCs w:val="16"/>
                <w:b w:val="1"/>
                <w:bCs w:val="1"/>
                <w:color w:val="auto"/>
                <w:w w:val="94"/>
              </w:rPr>
              <w:t>March 31,</w:t>
            </w:r>
          </w:p>
        </w:tc>
        <w:tc>
          <w:tcPr>
            <w:tcW w:w="780" w:type="dxa"/>
            <w:vAlign w:val="bottom"/>
            <w:tcBorders>
              <w:bottom w:val="single" w:sz="8" w:color="auto"/>
            </w:tcBorders>
          </w:tcPr>
          <w:p>
            <w:pPr>
              <w:spacing w:after="0"/>
              <w:rPr>
                <w:sz w:val="18"/>
                <w:szCs w:val="18"/>
                <w:color w:val="auto"/>
              </w:rPr>
            </w:pPr>
          </w:p>
        </w:tc>
      </w:tr>
      <w:tr>
        <w:trPr>
          <w:trHeight w:val="209"/>
        </w:trPr>
        <w:tc>
          <w:tcPr>
            <w:tcW w:w="60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2020</w:t>
            </w:r>
          </w:p>
        </w:tc>
      </w:tr>
      <w:tr>
        <w:trPr>
          <w:trHeight w:val="212"/>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Preferred Stock</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Beginning and end of period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common stock</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608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2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Activity under stock and deferred compensation plans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80" w:type="dxa"/>
            <w:vAlign w:val="bottom"/>
          </w:tcPr>
          <w:p>
            <w:pPr>
              <w:ind w:left="140"/>
              <w:spacing w:after="0"/>
              <w:rPr>
                <w:sz w:val="20"/>
                <w:szCs w:val="20"/>
                <w:color w:val="auto"/>
              </w:rPr>
            </w:pPr>
            <w:r>
              <w:rPr>
                <w:rFonts w:ascii="Arial" w:cs="Arial" w:eastAsia="Arial" w:hAnsi="Arial"/>
                <w:sz w:val="18"/>
                <w:szCs w:val="18"/>
                <w:color w:val="auto"/>
              </w:rPr>
              <w:t>Non-cash stock-based compensation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Redemption value adjustment to redeemable noncontrolling interest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608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Deficit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(2,496.5)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(2,276.9)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(2,179.0)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earnings available to Class A Common Stockholders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6080" w:type="dxa"/>
            <w:vAlign w:val="bottom"/>
          </w:tcPr>
          <w:p>
            <w:pPr>
              <w:ind w:left="140"/>
              <w:spacing w:after="0"/>
              <w:rPr>
                <w:sz w:val="20"/>
                <w:szCs w:val="20"/>
                <w:color w:val="auto"/>
              </w:rPr>
            </w:pPr>
            <w:r>
              <w:rPr>
                <w:rFonts w:ascii="Arial" w:cs="Arial" w:eastAsia="Arial" w:hAnsi="Arial"/>
                <w:sz w:val="18"/>
                <w:szCs w:val="18"/>
                <w:color w:val="auto"/>
              </w:rPr>
              <w:t>Distribution to Post Holdings, Inc.</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common stock</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6080" w:type="dxa"/>
            <w:vAlign w:val="bottom"/>
          </w:tcPr>
          <w:p>
            <w:pPr>
              <w:ind w:left="140"/>
              <w:spacing w:after="0"/>
              <w:rPr>
                <w:sz w:val="20"/>
                <w:szCs w:val="20"/>
                <w:color w:val="auto"/>
              </w:rPr>
            </w:pPr>
            <w:r>
              <w:rPr>
                <w:rFonts w:ascii="Arial" w:cs="Arial" w:eastAsia="Arial" w:hAnsi="Arial"/>
                <w:sz w:val="18"/>
                <w:szCs w:val="18"/>
                <w:color w:val="auto"/>
              </w:rPr>
              <w:t>Impact of initial public offering</w:t>
            </w:r>
          </w:p>
        </w:tc>
        <w:tc>
          <w:tcPr>
            <w:tcW w:w="2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(2,112.4)</w:t>
            </w:r>
          </w:p>
        </w:tc>
      </w:tr>
      <w:tr>
        <w:trPr>
          <w:trHeight w:val="230"/>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Reclassification of net investment of Post Holdings, Inc.</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w:t>
            </w:r>
          </w:p>
        </w:tc>
      </w:tr>
      <w:tr>
        <w:trPr>
          <w:trHeight w:val="229"/>
        </w:trPr>
        <w:tc>
          <w:tcPr>
            <w:tcW w:w="6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Redemption value adjustment to redeemable noncontrolling interest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420.6</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w:t>
            </w:r>
          </w:p>
        </w:tc>
      </w:tr>
      <w:tr>
        <w:trPr>
          <w:trHeight w:val="223"/>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(1,859.1)</w:t>
            </w: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b w:val="1"/>
                <w:bCs w:val="1"/>
                <w:color w:val="auto"/>
              </w:rPr>
              <w:t>Net Investment of Post</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w:t>
            </w:r>
          </w:p>
        </w:tc>
      </w:tr>
      <w:tr>
        <w:trPr>
          <w:trHeight w:val="230"/>
        </w:trPr>
        <w:tc>
          <w:tcPr>
            <w:tcW w:w="6080" w:type="dxa"/>
            <w:vAlign w:val="bottom"/>
          </w:tcPr>
          <w:p>
            <w:pPr>
              <w:ind w:left="140"/>
              <w:spacing w:after="0"/>
              <w:rPr>
                <w:sz w:val="20"/>
                <w:szCs w:val="20"/>
                <w:color w:val="auto"/>
              </w:rPr>
            </w:pPr>
            <w:r>
              <w:rPr>
                <w:rFonts w:ascii="Arial" w:cs="Arial" w:eastAsia="Arial" w:hAnsi="Arial"/>
                <w:sz w:val="18"/>
                <w:szCs w:val="18"/>
                <w:color w:val="auto"/>
              </w:rPr>
              <w:t>Net earnings attributable to Post Holdings, Inc.</w:t>
            </w:r>
          </w:p>
        </w:tc>
        <w:tc>
          <w:tcPr>
            <w:tcW w:w="2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Impact of initial public offering</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29"/>
        </w:trPr>
        <w:tc>
          <w:tcPr>
            <w:tcW w:w="6080" w:type="dxa"/>
            <w:vAlign w:val="bottom"/>
          </w:tcPr>
          <w:p>
            <w:pPr>
              <w:ind w:left="140"/>
              <w:spacing w:after="0"/>
              <w:rPr>
                <w:sz w:val="20"/>
                <w:szCs w:val="20"/>
                <w:color w:val="auto"/>
              </w:rPr>
            </w:pPr>
            <w:r>
              <w:rPr>
                <w:rFonts w:ascii="Arial" w:cs="Arial" w:eastAsia="Arial" w:hAnsi="Arial"/>
                <w:sz w:val="18"/>
                <w:szCs w:val="18"/>
                <w:color w:val="auto"/>
              </w:rPr>
              <w:t>Reclassification of net investment of Post Holdings, Inc.</w:t>
            </w:r>
          </w:p>
        </w:tc>
        <w:tc>
          <w:tcPr>
            <w:tcW w:w="2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(524.4)</w:t>
            </w:r>
          </w:p>
        </w:tc>
      </w:tr>
      <w:tr>
        <w:trPr>
          <w:trHeight w:val="223"/>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b w:val="1"/>
                <w:bCs w:val="1"/>
                <w:i w:val="1"/>
                <w:iCs w:val="1"/>
                <w:color w:val="auto"/>
              </w:rPr>
              <w:t>Hedging Adjustments, net of tax</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080" w:type="dxa"/>
            <w:vAlign w:val="bottom"/>
          </w:tcPr>
          <w:p>
            <w:pPr>
              <w:ind w:left="360"/>
              <w:spacing w:after="0"/>
              <w:rPr>
                <w:sz w:val="20"/>
                <w:szCs w:val="20"/>
                <w:color w:val="auto"/>
              </w:rPr>
            </w:pPr>
            <w:r>
              <w:rPr>
                <w:rFonts w:ascii="Arial" w:cs="Arial" w:eastAsia="Arial" w:hAnsi="Arial"/>
                <w:sz w:val="18"/>
                <w:szCs w:val="18"/>
                <w:color w:val="auto"/>
              </w:rPr>
              <w:t>Beginning of period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change in hedges, net of tax</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6080" w:type="dxa"/>
            <w:vAlign w:val="bottom"/>
          </w:tcPr>
          <w:p>
            <w:pPr>
              <w:ind w:left="360"/>
              <w:spacing w:after="0"/>
              <w:rPr>
                <w:sz w:val="20"/>
                <w:szCs w:val="20"/>
                <w:color w:val="auto"/>
              </w:rPr>
            </w:pPr>
            <w:r>
              <w:rPr>
                <w:rFonts w:ascii="Arial" w:cs="Arial" w:eastAsia="Arial" w:hAnsi="Arial"/>
                <w:sz w:val="18"/>
                <w:szCs w:val="18"/>
                <w:color w:val="auto"/>
              </w:rPr>
              <w:t>End of period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b w:val="1"/>
                <w:bCs w:val="1"/>
                <w:i w:val="1"/>
                <w:iCs w:val="1"/>
                <w:color w:val="auto"/>
              </w:rPr>
              <w:t>Foreign Currency Translation Adjustments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080" w:type="dxa"/>
            <w:vAlign w:val="bottom"/>
          </w:tcPr>
          <w:p>
            <w:pPr>
              <w:ind w:left="360"/>
              <w:spacing w:after="0"/>
              <w:rPr>
                <w:sz w:val="20"/>
                <w:szCs w:val="20"/>
                <w:color w:val="auto"/>
              </w:rPr>
            </w:pPr>
            <w:r>
              <w:rPr>
                <w:rFonts w:ascii="Arial" w:cs="Arial" w:eastAsia="Arial" w:hAnsi="Arial"/>
                <w:sz w:val="18"/>
                <w:szCs w:val="18"/>
                <w:color w:val="auto"/>
              </w:rPr>
              <w:t>Beginning of period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6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6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End of period</w:t>
            </w: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48"/>
        </w:trPr>
        <w:tc>
          <w:tcPr>
            <w:tcW w:w="6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(2,435.2)</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(1,863.2)</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(2,435.2)</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(1,863.2)</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in millions, except per share information and where indicated otherwise)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BACKGROUND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BellRing Brands, Inc. (along with its consolidated subsidiaries, “BellRing” or “the Company”) is a consumer products holding company operating in the global convenient nutrition category and is a provider of ready-to-drink (“RTD”) protein shakes, other RTD beverages, powders, nutrition bars and nutritional supplements. The Company has a single operating and reportable segment, with its principal products being protein-based consumer goods. The Company’s primary brands are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and </w:t>
      </w:r>
      <w:r>
        <w:rPr>
          <w:rFonts w:ascii="Arial" w:cs="Arial" w:eastAsia="Arial" w:hAnsi="Arial"/>
          <w:sz w:val="18"/>
          <w:szCs w:val="18"/>
          <w:i w:val="1"/>
          <w:iCs w:val="1"/>
          <w:color w:val="auto"/>
        </w:rPr>
        <w:t>Dymatize.</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21, 2019, BellRing Brands, Inc. (“BellRing Inc.”) closed its initial public offering (the “IPO”) of 39.4 million shares of its Class A common stock, $0.01 par value per share (the “Class A Common Stock”), and contributed the net proceeds from the IPO to BellRing Brands, LLC, a Delaware limited liability company and subsidiary of BellRing Inc. (“BellRing LLC”), in exchange for 39.4 million BellRing LLC non-voting membership units (the “BellRing LLC units”).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result of the IPO and certain other transactions completed in connection with the IPO (the “formation transactions”), BellRing LLC became the holder of the active nutrition business of Post Holdings, Inc. (“Post”). BellRing Inc., as a holding company, has no material assets other than its ownership of BellRing LLC units and its indirect interests in the subsidiaries of BellRing LLC and has no independent means of generating revenue or cash flow. The members of BellRing LLC are Post and BellRing Inc.</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March 31, 2021, Post held 97.5 million BellRing LLC units, equal to 71.2% of the economic interest in BellRing LLC, and one share of Class B common stock of BellRing Inc., $0.01 par value per share (the “Class B Common Stock”), which represented 67% of the combined voting power of the common stock of BellRing Inc. The Class B Common Stock has no dividend or other economic rights.</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March 31, 2021, the public stockholders of BellRing Inc. (i) owned 39.5 million shares of Class A Common Stock, which represented 33% of the combined voting power of BellRing Inc. common stock and 100% of the economic interest in BellRing Inc., and (ii) through BellRing Inc.’s ownership of BellRing LLC units, indirectly held 28.8% of the economic interest in BellRing LLC.</w:t>
      </w:r>
    </w:p>
    <w:p>
      <w:pPr>
        <w:spacing w:after="0" w:line="7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BellRing Inc. and BellRing LLC will at all times maintain, subject to certain exceptions, a one-to-one ratio between the number of shares of Class A Common Stock issued by BellRing Inc. and the number of BellRing LLC units owned by BellRing Inc. BellRing Inc. holds the voting membership unit of BellRing LLC (which represents the power to appoint and remove the members of the Board of Managers of, and no economic interest in, BellRing LLC). BellRing Inc. has the right to appoint the members of the BellRing LLC Board of Managers, and therefore, controls BellRing LLC. The Board of Managers is responsible for the oversight of BellRing LLC’s operations and overall performance and strategy, while the management of the day-to-day operations of the business of BellRing LLC and the execution of business strategy are the responsibility of the officers and employees of BellRing LLC and its subsidiaries. Post, in its capacity as a member of BellRing LLC, does not have the power to appoint any members of the Board of Managers or voting rights with respect to BellRing LLC. Post controls BellRing Inc. through its ownership of the share of Class B Common Stock.</w:t>
      </w:r>
    </w:p>
    <w:p>
      <w:pPr>
        <w:spacing w:after="0" w:line="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financial results of BellRing LLC and its subsidiaries are consolidated with BellRing Inc., and a portion of the consolidated net earnings of BellRing LLC are allocated to the redeemable noncontrolling interest (the “NCI”). The calculation of the NCI is based on Post’s ownership percentage of BellRing LLC units during each period, and reflects the entitlement of Post to a portion of the consolidated net earnings of BellRing LLC.</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These unaudited condensed consolidated financial statements have been prepared in accordance with accounting principles generally accepted in the United States of America (“GAAP”), under the rules and regulations of the United States Securities and Exchange Commission (the “SEC”), and on a basis substantially consistent with the audited consolidated financial statements of the Company as of and for the year ended September 30, 2020. These unaudited condensed consolidated financial statements should be read in conjunction with such audited consolidated financial statements, which are included in the Company’s Annual Report on Form 10-K for the fiscal year ended September 30, 2020, filed with the SEC on November 20, 2020.</w:t>
      </w:r>
    </w:p>
    <w:p>
      <w:pPr>
        <w:spacing w:after="0" w:line="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These unaudited condensed consolidated financial statements include all adjustments (consisting of normal recurring adjustments and accruals) that management considers necessary for a fair statement of the Company’s results of operations,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comprehensive income, financial position, cash flows and stockholders’ equity for the interim periods presented. Interim results are not necessarily indicative of the results for any other interim period or for the entire fiscal year.</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period prior to the IPO included in the six months ended March 31, 2020, these unaudited condensed consolidated financial statements present the combined results of operations, comprehensive income, financial position, cash flows and stockholders’ equity of the active nutrition business of Post, including allocations of certain Post corporate expenses related to various services that were provided to the Company by Post. All intercompany balances and transactions have been eliminated. Transactions between the Company and Post are included in these financial statements. See Note 5 for further information on transactions with Post.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RECENTLY ISSUED AND ADOPTED ACCOUNTING STANDARDS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considered all new accounting pronouncements and has concluded there are no new pronouncements (other than the ones described below) that had or will have a material impact on the Company’s results of operations, comprehensive income, financial condition, cash flows, stockholders’ equity or disclosures based on current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March 2020, the Financial Accounting Standards Board (the “FASB”) issued Accounting Standards Update (“ASU”) 2020-04, “Reference Rate Reform (Topic 848): Facilitation of the Effects of Reference Rate Reform on Financial Reporting.” This ASU provides optional expedients and exceptions for contracts, hedging relationships and other transactions that reference the London Interbank Offered Rate (“LIBOR”) or another reference rate expected to be discontinued because of reference rate reform. The expedients and exceptions provided by this ASU do not apply to contract modifications made and hedging relationships entered into or evaluated after December 31, 2022. This ASU is elective and effective for all entities as of March 12, 2020, the date this ASU was issued. An entity may elect to apply the amendments for contract modifications provided by this ASU as of any date from the beginning of an interim period that includes or is subsequent to March 12, 2020, or prospectively from a date within an interim period that includes or is subsequent to March 12, 2020. Once elected, this ASU must be applied prospectively for all eligible contract modifications. The Company is currently evaluating the impact of this ASU as it relates to its debt and hedging relationships.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June 2016, the FASB issued ASU 2016-13, “Financial Instruments - Credit Losses (Topic 326): Measurement of Credit Losses on Financial Instruments.” This ASU provides guidance on the measurement of credit losses for most financial assets and certain other instruments. This ASU replaced the prior incurred loss impairment approach with a methodology to reflect expected credit losses and requires consideration of a broader range of reasonable and supportable information to explain credit loss estimates. The Company adopted this ASU on October 1, 2020. In conjunction with the adoption of this ASU, the Company updated its methodology for calculating its allowance for doubtful accounts. The adoption of this ASU did not have a material impact on the Company’s consolidated financial statements and related disclosures.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net sales by product.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100" w:type="dxa"/>
            <w:vAlign w:val="bottom"/>
            <w:gridSpan w:val="4"/>
          </w:tcPr>
          <w:p>
            <w:pPr>
              <w:jc w:val="right"/>
              <w:ind w:right="452"/>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6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r>
      <w:tr>
        <w:trPr>
          <w:trHeight w:val="209"/>
        </w:trPr>
        <w:tc>
          <w:tcPr>
            <w:tcW w:w="6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w w:val="95"/>
              </w:rPr>
              <w:t>2020</w:t>
            </w:r>
          </w:p>
        </w:tc>
      </w:tr>
      <w:tr>
        <w:trPr>
          <w:trHeight w:val="226"/>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Shakes and other beverages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Powders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59.6</w:t>
            </w: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Nutrition bars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3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48"/>
        </w:trPr>
        <w:tc>
          <w:tcPr>
            <w:tcW w:w="6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564.5</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501.5</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RESTRUCTURING</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October 2020, the Company announced its plan to strategically realign its business, resulting in the closing of its Dallas, Texas office and the downsizing of its Munich, Germany location. These actions are expected to be completed by June 30, 2021.</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97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938"/>
        </w:trPr>
        <w:tc>
          <w:tcPr>
            <w:tcW w:w="9740" w:type="dxa"/>
            <w:vAlign w:val="bottom"/>
            <w:gridSpan w:val="2"/>
          </w:tcPr>
          <w:p>
            <w:pPr>
              <w:ind w:left="340"/>
              <w:spacing w:after="0"/>
              <w:rPr>
                <w:sz w:val="20"/>
                <w:szCs w:val="20"/>
                <w:color w:val="auto"/>
              </w:rPr>
            </w:pPr>
            <w:r>
              <w:rPr>
                <w:rFonts w:ascii="Arial" w:cs="Arial" w:eastAsia="Arial" w:hAnsi="Arial"/>
                <w:sz w:val="18"/>
                <w:szCs w:val="18"/>
                <w:color w:val="auto"/>
              </w:rPr>
              <w:t>Restructuring charges and the associated liabilities for employee-related costs are shown in the following table.</w:t>
            </w: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35"/>
        </w:trPr>
        <w:tc>
          <w:tcPr>
            <w:tcW w:w="9740" w:type="dxa"/>
            <w:vAlign w:val="bottom"/>
            <w:gridSpan w:val="2"/>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30"/>
        </w:trPr>
        <w:tc>
          <w:tcPr>
            <w:tcW w:w="9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September 30, 2020</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740" w:type="dxa"/>
            <w:vAlign w:val="bottom"/>
            <w:gridSpan w:val="2"/>
          </w:tcPr>
          <w:p>
            <w:pPr>
              <w:ind w:left="140"/>
              <w:spacing w:after="0"/>
              <w:rPr>
                <w:sz w:val="20"/>
                <w:szCs w:val="20"/>
                <w:color w:val="auto"/>
              </w:rPr>
            </w:pPr>
            <w:r>
              <w:rPr>
                <w:rFonts w:ascii="Arial" w:cs="Arial" w:eastAsia="Arial" w:hAnsi="Arial"/>
                <w:sz w:val="18"/>
                <w:szCs w:val="18"/>
                <w:color w:val="auto"/>
              </w:rPr>
              <w:t>Charge to expense</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9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payments</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97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Non-cash charges</w:t>
            </w: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2021</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974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9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expected restructuring charges</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9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Cumulative restructuring charges incurred to date</w:t>
            </w: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48"/>
        </w:trPr>
        <w:tc>
          <w:tcPr>
            <w:tcW w:w="9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Remaining expected restructuring charges</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84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three and six months ended March 31, 2021, the Company incurred total restructuring charges of $0.3 and $4.8, respectively. Restructuring charges were included in “Selling, general and administrative expenses” in the Condensed Consolidated Statements of Operations. No restructuring charges were incurred during the three or six months ended March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RELATED PARTY TRANSACTIONS</w:t>
      </w:r>
    </w:p>
    <w:p>
      <w:pPr>
        <w:spacing w:after="0" w:line="1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uses certain functions and services performed by Post. These functions and services include legal, finance, internal audit, treasury, information technology support, insurance and tax matters, the use of office and/or data center space, payroll processing services and tax compliance services. These functions and services are provided by Post under a master services agreement (“MSA”). In addition to charges for these services, the Company also incurs certain pass-through charges from Post, primarily relating to stock-based compensation for employees participating in Post’s stock-based compensation plans. For the three and six months ended March 31, 2021, MSA fees were $0.5 and $1.1, respectively, and stock-based compensation expense related to Post’s stock-based compensation plans was $0.6 and $1.4, respectively. For the three and six months ended March 31, 2020, MSA fees were $0.5 and $1.0, respectively, and stock-based compensation expense related to Post’s stock-based compensation plans was $0.8 and $1.9, respectively. MSA fees and stock-based compensation expense were reported in “Selling, general and administrative expenses” in the Condensed Consolidated Statements of Operations.</w:t>
      </w:r>
    </w:p>
    <w:p>
      <w:pPr>
        <w:spacing w:after="0" w:line="7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 sells certain products to and licenses certain intellectual property to and from Post and its subsidiaries based upon pricing governed by agreements between the Company and Post and its subsidiaries, consistent with pricing of similar arm's-length transactions. During each of the three and six months ended March 31, 2021 and 2020, net sales to, purchases from and royalties paid to and received from Post and its subsidiaries were immaterial.</w:t>
      </w:r>
    </w:p>
    <w:p>
      <w:pPr>
        <w:spacing w:after="0" w:line="4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has a series of agreements with Post which govern the ongoing relationship between the Company and Post. These agreements include the amended and restated limited liability company agreement of BellRing LLC (the “LLC Agreement”), an employee matters agreement, an investor rights agreement, a tax matters agreement, a tax receivable agreement and the MSA, among others. Under certain of these agreements, the Company incurs expenses payable to Post in connection with certain administrative services provided for varying lengths of time. The Company had immaterial receivables with Post at both March 31, 2021 and September 30, 2020 related to sales with Post and its subsidiaries. The Company had $2.0 and $1.3 of payables with Post at March 31, 2021 and September 30, 2020, respectively, related to MSA fees and pass-through charges owed by the Company to Post, as well as related party purchases. The receivables and payables were included in “Receivables, net” and “Accounts payable,” respectively, on the Condensed Consolidated Balance Sheets. During the six months ended March 31, 2021, BellRing LLC paid $9.3 to Post related to quarterly tax distributions from BellRing LLC to Post made pursuant to the terms of the LLC Agreement and $1.4 for state corporate tax withholdings on behalf of Post. During the six months ended March 31, 2020, BellRing LLC paid $6.4 to Post related to quarterly tax distributions from BellRing LLC to Post made pursuant to the terms of the LLC Agreement and no payments for state corporate tax withholdings on behalf of Post.</w:t>
      </w:r>
    </w:p>
    <w:p>
      <w:pPr>
        <w:spacing w:after="0" w:line="7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Based on the provisions of the tax receivable agreement, BellRing Inc. must pay to Post (or certain of its transferees or other assignees) 85% of the amount of cash savings, if any, in United States (“U.S.”) federal income tax, as well as state and local income tax and franchise tax (using an assumed tax rate) and foreign tax that BellRing Inc. realizes (or, in some circumstances, is deemed to realize) as a result of (a) the increase in the tax basis of assets of BellRing LLC attributable to (i) the redemption of Post’s (or certain transferees’ or assignees’) BellRing LLC units for shares of Class A Common Stock or cash, (ii) deemed sales by Post (or certain of its transferees or assignees) of BellRing LLC units or assets to BellRing Inc., (iii) certain actual or deemed distributions from BellRing LLC to Post (or certain transferees or assignees) and (iv) certain formation transactions, (b) disproportionate allocations of tax benefits to BellRing Inc. as a result of Section 704(c) of the Internal Revenue Code and (c) certain tax benefits (e.g., imputed interest, basis adjustments, etc.) attributable to payments under the tax</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receivable agreement. Amounts payable to Post related to the tax receivable agreement were $10.9 at both March 31, 2021 and September 30, 2020 and were recorded in “Other liabilities” on the Condensed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REDEEMABLE NONCONTROLLING INTEREST</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both March 31, 2021 and September 30, 2020, Post held 97.5 million BellRing LLC units, equal to 71.2% of the economic interest in BellRing LLC. Post may redeem BellRing LLC units for, at BellRing LLC’s option (as determined by its Board of Managers), (i) shares of Class A Common Stock or (ii) cash (based on the market price of the shares of Class A Common Stock). The redemption of BellRing LLC units for shares of Class A Common Stock will be at an initial redemption rate of one share of Class A Common Stock for one BellRing LLC unit, subject to customary redemption rate adjustments for stock splits, stock dividends and reclassifications.</w:t>
      </w:r>
    </w:p>
    <w:p>
      <w:pPr>
        <w:spacing w:after="0" w:line="8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Post’s ownership of BellRing LLC units represents a NCI to the Company, which is classified outside of permanent stockholders’ equity as the BellRing LLC units are redeemable at the option of Post, through Post’s ownership of the Company’s Class B Common Stock (see Note 1). The carrying amount of the NCI is the greater of (i) the initial carrying amount, increased or decreased for the NCI’s share of net income or loss, other comprehensive income or loss (“OCI”) or loss and distributions or dividends or (ii) the redemption value. As of March 31, 2021 and September 30, 2020, the carrying amount of the NCI was recorded at its redemption value of $2,301.4 and $2,021.6, respectively. Changes in the redemption value of the NCI are recorded to additional paid-in capital, to the extent available, and “Accumulated deficit” on the Condensed Consolidated Balance Sheets.</w:t>
      </w:r>
    </w:p>
    <w:p>
      <w:pPr>
        <w:spacing w:after="0" w:line="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both March 31, 2021 and September 30, 2020, BellRing Inc. owned 28.8% of the outstanding BellRing LLC units. For the three and six months ended March 31, 2021 and 2020, the financial results of BellRing LLC and its subsidiaries were consolidated with BellRing Inc., and the portion of the consolidated net earnings of BellRing LLC to which Post was entitled was allocated to the NCI during each period.</w:t>
      </w:r>
    </w:p>
    <w:p>
      <w:pPr>
        <w:spacing w:after="0" w:line="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the changes to the Company’s NCI. The period as of and for the six months ended March 31, 2020 represents the period beginning October 21, 2019, the effective date of the IPO, and ending March 31, 2020 (see Note 1).</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jc w:val="center"/>
              <w:ind w:right="500"/>
              <w:spacing w:after="0"/>
              <w:rPr>
                <w:sz w:val="20"/>
                <w:szCs w:val="20"/>
                <w:color w:val="auto"/>
              </w:rPr>
            </w:pPr>
            <w:r>
              <w:rPr>
                <w:rFonts w:ascii="Arial" w:cs="Arial" w:eastAsia="Arial" w:hAnsi="Arial"/>
                <w:sz w:val="16"/>
                <w:szCs w:val="16"/>
                <w:b w:val="1"/>
                <w:bCs w:val="1"/>
                <w:color w:val="auto"/>
                <w:w w:val="93"/>
              </w:rPr>
              <w:t>As Of and For The</w:t>
            </w:r>
          </w:p>
        </w:tc>
        <w:tc>
          <w:tcPr>
            <w:tcW w:w="240" w:type="dxa"/>
            <w:vAlign w:val="bottom"/>
          </w:tcPr>
          <w:p>
            <w:pPr>
              <w:spacing w:after="0"/>
              <w:rPr>
                <w:sz w:val="16"/>
                <w:szCs w:val="16"/>
                <w:color w:val="auto"/>
              </w:rPr>
            </w:pPr>
          </w:p>
        </w:tc>
        <w:tc>
          <w:tcPr>
            <w:tcW w:w="2100" w:type="dxa"/>
            <w:vAlign w:val="bottom"/>
            <w:gridSpan w:val="4"/>
          </w:tcPr>
          <w:p>
            <w:pPr>
              <w:jc w:val="center"/>
              <w:ind w:right="151"/>
              <w:spacing w:after="0"/>
              <w:rPr>
                <w:sz w:val="20"/>
                <w:szCs w:val="20"/>
                <w:color w:val="auto"/>
              </w:rPr>
            </w:pPr>
            <w:r>
              <w:rPr>
                <w:rFonts w:ascii="Arial" w:cs="Arial" w:eastAsia="Arial" w:hAnsi="Arial"/>
                <w:sz w:val="16"/>
                <w:szCs w:val="16"/>
                <w:b w:val="1"/>
                <w:bCs w:val="1"/>
                <w:color w:val="auto"/>
                <w:w w:val="93"/>
              </w:rPr>
              <w:t>As Of and For The</w:t>
            </w:r>
          </w:p>
        </w:tc>
      </w:tr>
      <w:tr>
        <w:trPr>
          <w:trHeight w:val="162"/>
        </w:trPr>
        <w:tc>
          <w:tcPr>
            <w:tcW w:w="6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5"/>
          </w:tcPr>
          <w:p>
            <w:pPr>
              <w:jc w:val="center"/>
              <w:ind w:right="480"/>
              <w:spacing w:after="0" w:line="162" w:lineRule="exact"/>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4"/>
                <w:szCs w:val="14"/>
                <w:color w:val="auto"/>
              </w:rPr>
            </w:pPr>
          </w:p>
        </w:tc>
        <w:tc>
          <w:tcPr>
            <w:tcW w:w="2100" w:type="dxa"/>
            <w:vAlign w:val="bottom"/>
            <w:gridSpan w:val="4"/>
          </w:tcPr>
          <w:p>
            <w:pPr>
              <w:jc w:val="center"/>
              <w:ind w:right="171"/>
              <w:spacing w:after="0" w:line="162" w:lineRule="exact"/>
              <w:rPr>
                <w:sz w:val="20"/>
                <w:szCs w:val="20"/>
                <w:color w:val="auto"/>
              </w:rPr>
            </w:pPr>
            <w:r>
              <w:rPr>
                <w:rFonts w:ascii="Arial" w:cs="Arial" w:eastAsia="Arial" w:hAnsi="Arial"/>
                <w:sz w:val="16"/>
                <w:szCs w:val="16"/>
                <w:b w:val="1"/>
                <w:bCs w:val="1"/>
                <w:color w:val="auto"/>
                <w:w w:val="92"/>
              </w:rPr>
              <w:t>Six Months Ended</w:t>
            </w:r>
          </w:p>
        </w:tc>
      </w:tr>
      <w:tr>
        <w:trPr>
          <w:trHeight w:val="213"/>
        </w:trPr>
        <w:tc>
          <w:tcPr>
            <w:tcW w:w="6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left="433"/>
              <w:spacing w:after="0"/>
              <w:rPr>
                <w:sz w:val="20"/>
                <w:szCs w:val="20"/>
                <w:color w:val="auto"/>
              </w:rPr>
            </w:pPr>
            <w:r>
              <w:rPr>
                <w:rFonts w:ascii="Arial" w:cs="Arial" w:eastAsia="Arial" w:hAnsi="Arial"/>
                <w:sz w:val="16"/>
                <w:szCs w:val="16"/>
                <w:b w:val="1"/>
                <w:bCs w:val="1"/>
                <w:color w:val="auto"/>
                <w:w w:val="94"/>
              </w:rPr>
              <w:t>March 31,</w:t>
            </w:r>
          </w:p>
        </w:tc>
        <w:tc>
          <w:tcPr>
            <w:tcW w:w="7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left="433"/>
              <w:spacing w:after="0"/>
              <w:rPr>
                <w:sz w:val="20"/>
                <w:szCs w:val="20"/>
                <w:color w:val="auto"/>
              </w:rPr>
            </w:pPr>
            <w:r>
              <w:rPr>
                <w:rFonts w:ascii="Arial" w:cs="Arial" w:eastAsia="Arial" w:hAnsi="Arial"/>
                <w:sz w:val="16"/>
                <w:szCs w:val="16"/>
                <w:b w:val="1"/>
                <w:bCs w:val="1"/>
                <w:color w:val="auto"/>
                <w:w w:val="94"/>
              </w:rPr>
              <w:t>March 31,</w:t>
            </w:r>
          </w:p>
        </w:tc>
        <w:tc>
          <w:tcPr>
            <w:tcW w:w="760" w:type="dxa"/>
            <w:vAlign w:val="bottom"/>
            <w:tcBorders>
              <w:bottom w:val="single" w:sz="8" w:color="auto"/>
            </w:tcBorders>
          </w:tcPr>
          <w:p>
            <w:pPr>
              <w:spacing w:after="0"/>
              <w:rPr>
                <w:sz w:val="18"/>
                <w:szCs w:val="18"/>
                <w:color w:val="auto"/>
              </w:rPr>
            </w:pPr>
          </w:p>
        </w:tc>
      </w:tr>
      <w:tr>
        <w:trPr>
          <w:trHeight w:val="209"/>
        </w:trPr>
        <w:tc>
          <w:tcPr>
            <w:tcW w:w="6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w w:val="95"/>
              </w:rPr>
              <w:t>2020</w:t>
            </w:r>
          </w:p>
        </w:tc>
      </w:tr>
      <w:tr>
        <w:trPr>
          <w:trHeight w:val="226"/>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2,075.2</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tcPr>
          <w:p>
            <w:pPr>
              <w:ind w:left="140"/>
              <w:spacing w:after="0"/>
              <w:rPr>
                <w:sz w:val="20"/>
                <w:szCs w:val="20"/>
                <w:color w:val="auto"/>
              </w:rPr>
            </w:pPr>
            <w:r>
              <w:rPr>
                <w:rFonts w:ascii="Arial" w:cs="Arial" w:eastAsia="Arial" w:hAnsi="Arial"/>
                <w:sz w:val="18"/>
                <w:szCs w:val="18"/>
                <w:color w:val="auto"/>
              </w:rPr>
              <w:t>Net earnings attributable to NCI after IPO</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34.7</w:t>
            </w:r>
          </w:p>
        </w:tc>
      </w:tr>
      <w:tr>
        <w:trPr>
          <w:trHeight w:val="230"/>
        </w:trPr>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hedges, net of tax</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630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Impact of initial public offering</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1,364.6</w:t>
            </w:r>
          </w:p>
        </w:tc>
      </w:tr>
      <w:tr>
        <w:trPr>
          <w:trHeight w:val="230"/>
        </w:trPr>
        <w:tc>
          <w:tcPr>
            <w:tcW w:w="6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Redemption value adjustment to NCI</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(419.5)</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w:t>
            </w:r>
          </w:p>
        </w:tc>
      </w:tr>
      <w:tr>
        <w:trPr>
          <w:trHeight w:val="248"/>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2,301.4</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1,661.9</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2,301.4</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1,661.9</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following table summarizes the effects of changes in ownership in BellRing LLC on BellRing Inc.’s equity. The period for the six months ended March 31, 2020 represents the period beginning October 21, 2019, the effective date of the IPO, and ending March 31, 2020 (see Note 1).</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100" w:type="dxa"/>
            <w:vAlign w:val="bottom"/>
            <w:gridSpan w:val="4"/>
          </w:tcPr>
          <w:p>
            <w:pPr>
              <w:jc w:val="right"/>
              <w:ind w:right="45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3"/>
        </w:trPr>
        <w:tc>
          <w:tcPr>
            <w:tcW w:w="6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226"/>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available to Class A Common Stockholders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6300" w:type="dxa"/>
            <w:vAlign w:val="bottom"/>
          </w:tcPr>
          <w:p>
            <w:pPr>
              <w:ind w:left="40"/>
              <w:spacing w:after="0"/>
              <w:rPr>
                <w:sz w:val="20"/>
                <w:szCs w:val="20"/>
                <w:color w:val="auto"/>
              </w:rPr>
            </w:pPr>
            <w:r>
              <w:rPr>
                <w:rFonts w:ascii="Arial" w:cs="Arial" w:eastAsia="Arial" w:hAnsi="Arial"/>
                <w:sz w:val="18"/>
                <w:szCs w:val="18"/>
                <w:color w:val="auto"/>
              </w:rPr>
              <w:t>Transfers to NCI:</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Impact of initial public offering</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1,364.6</w:t>
            </w:r>
          </w:p>
        </w:tc>
        <w:tc>
          <w:tcPr>
            <w:tcW w:w="0" w:type="dxa"/>
            <w:vAlign w:val="bottom"/>
          </w:tcPr>
          <w:p>
            <w:pPr>
              <w:spacing w:after="0"/>
              <w:rPr>
                <w:sz w:val="1"/>
                <w:szCs w:val="1"/>
                <w:color w:val="auto"/>
              </w:rPr>
            </w:pPr>
          </w:p>
        </w:tc>
      </w:tr>
      <w:tr>
        <w:trPr>
          <w:trHeight w:val="229"/>
        </w:trPr>
        <w:tc>
          <w:tcPr>
            <w:tcW w:w="6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Redemption value adjustment to NCI</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(419.5)</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156"/>
        </w:trPr>
        <w:tc>
          <w:tcPr>
            <w:tcW w:w="6300" w:type="dxa"/>
            <w:vAlign w:val="bottom"/>
            <w:shd w:val="clear" w:color="auto" w:fill="CCEEFF"/>
          </w:tcPr>
          <w:p>
            <w:pPr>
              <w:ind w:left="40"/>
              <w:spacing w:after="0" w:line="156" w:lineRule="exact"/>
              <w:rPr>
                <w:sz w:val="20"/>
                <w:szCs w:val="20"/>
                <w:color w:val="auto"/>
              </w:rPr>
            </w:pPr>
            <w:r>
              <w:rPr>
                <w:rFonts w:ascii="Arial" w:cs="Arial" w:eastAsia="Arial" w:hAnsi="Arial"/>
                <w:sz w:val="18"/>
                <w:szCs w:val="18"/>
                <w:color w:val="auto"/>
                <w:w w:val="92"/>
              </w:rPr>
              <w:t>Changes from net earnings available to Class A Common Stockholders and transfers</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4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(415.3)</w:t>
            </w:r>
          </w:p>
        </w:tc>
        <w:tc>
          <w:tcPr>
            <w:tcW w:w="26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14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1,645.1</w:t>
            </w:r>
          </w:p>
        </w:tc>
        <w:tc>
          <w:tcPr>
            <w:tcW w:w="0" w:type="dxa"/>
            <w:vAlign w:val="bottom"/>
          </w:tcPr>
          <w:p>
            <w:pPr>
              <w:spacing w:after="0"/>
              <w:rPr>
                <w:sz w:val="1"/>
                <w:szCs w:val="1"/>
                <w:color w:val="auto"/>
              </w:rPr>
            </w:pPr>
          </w:p>
        </w:tc>
      </w:tr>
      <w:tr>
        <w:trPr>
          <w:trHeight w:val="222"/>
        </w:trPr>
        <w:tc>
          <w:tcPr>
            <w:tcW w:w="63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to NCI</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both March 31, 2021 and 2020, BellRing Inc. held 28.8% of the economic interest in BellRing LLC (see Note 1), which, as a result of the IPO and formation transactions, is treated as a partnership for U.S. federal income tax purposes. As a partnership, BellRing LLC itself is generally not subject to U.S. federal income tax under current U.S. tax laws.</w:t>
      </w:r>
    </w:p>
    <w:p>
      <w:pPr>
        <w:spacing w:after="0" w:line="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effective income tax rate was 10.7% and 6.3% for the three and six months ended March 31, 2021, respectively, and 10.6% and 13.8% for the three and six months ended March 31, 2020, respectively. The decrease in the effective income tax rate for the six months ended March 31, 2021 compared to the prior year period was primarily due to the Company taking into account for U.S. federal, state and local income tax purposes its 28.8% distributive share of the items of income, gain, loss and deduction of BellRing LLC in the period subsequent to the IPO. Prior to the IPO and formation transactions, the Company reported 100% of the income, gain, loss and deduction of BellRing LLC.</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SHARE</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Basic earnings per share is based on the average number of shares of Class A Common Stock outstanding during each period. Diluted earnings per share is based on the average number of shares of Class A Common Stock used for the basic earnings per share calculation, adjusted for the dilutive effect of stock options and restricted stock units using the “treasury stock” method. In addition, “Net earnings available to Class A Common Stockholders for diluted earnings per share” in the table below has been adjusted for diluted net earnings per share attributable to NCI, to the extent it is dilutive.</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BellRing Inc.’s Class B Common Stock does not have economic rights, including rights to dividends or distributions upon liquidation, and is therefore not a participating security. As such, separate presentation of basic and diluted earnings per share of Class B Common Stock under the two-class method has not been presented.</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share. The period for the six months ended March 31, 2020 represents the period beginning October 21, 2019, the effective date of the IPO, and ending March 31, 2020 (see Note 1).</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19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4"/>
          </w:tcPr>
          <w:p>
            <w:pPr>
              <w:jc w:val="right"/>
              <w:ind w:right="45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3"/>
        </w:trPr>
        <w:tc>
          <w:tcPr>
            <w:tcW w:w="63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6"/>
                <w:szCs w:val="16"/>
                <w:b w:val="1"/>
                <w:bCs w:val="1"/>
                <w:color w:val="auto"/>
              </w:rPr>
              <w:t>March 31,</w:t>
            </w:r>
          </w:p>
        </w:tc>
        <w:tc>
          <w:tcPr>
            <w:tcW w:w="3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226"/>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Net earnings available to Class A Common Stockholders for basic earnings per share</w:t>
            </w: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Dilutive impact of net earnings attributable to NCI</w:t>
            </w:r>
          </w:p>
        </w:tc>
        <w:tc>
          <w:tcPr>
            <w:tcW w:w="72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630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7"/>
              </w:rPr>
              <w:t>Net earnings available to Class A Common Stockholders for diluted earnings per</w:t>
            </w:r>
          </w:p>
        </w:tc>
        <w:tc>
          <w:tcPr>
            <w:tcW w:w="720" w:type="dxa"/>
            <w:vAlign w:val="bottom"/>
            <w:tcBorders>
              <w:top w:val="single" w:sz="8" w:color="auto"/>
            </w:tcBorders>
            <w:vMerge w:val="restart"/>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vMerge w:val="restart"/>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w:t>
            </w:r>
          </w:p>
        </w:tc>
        <w:tc>
          <w:tcPr>
            <w:tcW w:w="72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for basic earnings per share (in millions)</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39.5</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39.4</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29"/>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dilutive restricted stock units (in millions)</w:t>
            </w: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for diluted earnings per share (in millions)</w:t>
            </w:r>
          </w:p>
        </w:tc>
        <w:tc>
          <w:tcPr>
            <w:tcW w:w="7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39.7</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39.5</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 of Class A Common Stock</w:t>
            </w:r>
          </w:p>
        </w:tc>
        <w:tc>
          <w:tcPr>
            <w:tcW w:w="72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0.02</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0.11</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00" w:type="dxa"/>
            <w:vAlign w:val="bottom"/>
          </w:tcPr>
          <w:p>
            <w:pPr>
              <w:ind w:left="20"/>
              <w:spacing w:after="0" w:line="203" w:lineRule="exact"/>
              <w:rPr>
                <w:sz w:val="20"/>
                <w:szCs w:val="20"/>
                <w:color w:val="auto"/>
              </w:rPr>
            </w:pPr>
            <w:r>
              <w:rPr>
                <w:rFonts w:ascii="Arial" w:cs="Arial" w:eastAsia="Arial" w:hAnsi="Arial"/>
                <w:sz w:val="18"/>
                <w:szCs w:val="18"/>
                <w:color w:val="auto"/>
              </w:rPr>
              <w:t>Diluted earnings per share of Class A Common Stock</w:t>
            </w:r>
          </w:p>
        </w:tc>
        <w:tc>
          <w:tcPr>
            <w:tcW w:w="720" w:type="dxa"/>
            <w:vAlign w:val="bottom"/>
            <w:tcBorders>
              <w:bottom w:val="single" w:sz="8" w:color="auto"/>
            </w:tcBorders>
          </w:tcPr>
          <w:p>
            <w:pPr>
              <w:jc w:val="right"/>
              <w:ind w:right="533"/>
              <w:spacing w:after="0" w:line="203" w:lineRule="exact"/>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5"/>
              </w:rPr>
              <w:t>0.02</w:t>
            </w:r>
          </w:p>
        </w:tc>
        <w:tc>
          <w:tcPr>
            <w:tcW w:w="140" w:type="dxa"/>
            <w:vAlign w:val="bottom"/>
          </w:tcPr>
          <w:p>
            <w:pPr>
              <w:spacing w:after="0"/>
              <w:rPr>
                <w:sz w:val="17"/>
                <w:szCs w:val="17"/>
                <w:color w:val="auto"/>
              </w:rPr>
            </w:pPr>
          </w:p>
        </w:tc>
        <w:tc>
          <w:tcPr>
            <w:tcW w:w="720" w:type="dxa"/>
            <w:vAlign w:val="bottom"/>
            <w:tcBorders>
              <w:bottom w:val="single" w:sz="8" w:color="auto"/>
            </w:tcBorders>
          </w:tcPr>
          <w:p>
            <w:pPr>
              <w:jc w:val="right"/>
              <w:ind w:right="532"/>
              <w:spacing w:after="0" w:line="203" w:lineRule="exact"/>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5"/>
              </w:rPr>
              <w:t>0.11</w:t>
            </w:r>
          </w:p>
        </w:tc>
        <w:tc>
          <w:tcPr>
            <w:tcW w:w="26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0.21</w:t>
            </w:r>
          </w:p>
        </w:tc>
        <w:tc>
          <w:tcPr>
            <w:tcW w:w="14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Weighted average shares for diluted earnings per share excluded equity awards of 0.2 million and 0.3 million for the three and six months ended March 31, 2021, respectively, and 0.1 million for each of the three and six months ended March 31, 2020, as they were anti-dilutive.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INVENTORIES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6"/>
                <w:szCs w:val="16"/>
                <w:color w:val="auto"/>
              </w:rPr>
            </w:pPr>
          </w:p>
        </w:tc>
        <w:tc>
          <w:tcPr>
            <w:tcW w:w="1260" w:type="dxa"/>
            <w:vAlign w:val="bottom"/>
          </w:tcPr>
          <w:p>
            <w:pPr>
              <w:jc w:val="right"/>
              <w:ind w:right="133"/>
              <w:spacing w:after="0"/>
              <w:rPr>
                <w:sz w:val="20"/>
                <w:szCs w:val="20"/>
                <w:color w:val="auto"/>
              </w:rPr>
            </w:pPr>
            <w:r>
              <w:rPr>
                <w:rFonts w:ascii="Arial" w:cs="Arial" w:eastAsia="Arial" w:hAnsi="Arial"/>
                <w:sz w:val="16"/>
                <w:szCs w:val="16"/>
                <w:b w:val="1"/>
                <w:bCs w:val="1"/>
                <w:color w:val="auto"/>
                <w:w w:val="93"/>
              </w:rPr>
              <w:t>September 30,</w:t>
            </w:r>
          </w:p>
        </w:tc>
      </w:tr>
      <w:tr>
        <w:trPr>
          <w:trHeight w:val="213"/>
        </w:trPr>
        <w:tc>
          <w:tcPr>
            <w:tcW w:w="8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products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r>
      <w:tr>
        <w:trPr>
          <w:trHeight w:val="223"/>
        </w:trPr>
        <w:tc>
          <w:tcPr>
            <w:tcW w:w="8240" w:type="dxa"/>
            <w:vAlign w:val="bottom"/>
          </w:tcPr>
          <w:p>
            <w:pPr>
              <w:ind w:left="160"/>
              <w:spacing w:after="0"/>
              <w:rPr>
                <w:sz w:val="20"/>
                <w:szCs w:val="20"/>
                <w:color w:val="auto"/>
              </w:rPr>
            </w:pPr>
            <w:r>
              <w:rPr>
                <w:rFonts w:ascii="Arial" w:cs="Arial" w:eastAsia="Arial" w:hAnsi="Arial"/>
                <w:sz w:val="18"/>
                <w:szCs w:val="18"/>
                <w:b w:val="1"/>
                <w:bCs w:val="1"/>
                <w:color w:val="auto"/>
              </w:rPr>
              <w:t>Inventories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w:t>
            </w: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PROPERTY, NET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6"/>
                <w:szCs w:val="16"/>
                <w:color w:val="auto"/>
              </w:rPr>
            </w:pPr>
          </w:p>
        </w:tc>
        <w:tc>
          <w:tcPr>
            <w:tcW w:w="1260" w:type="dxa"/>
            <w:vAlign w:val="bottom"/>
          </w:tcPr>
          <w:p>
            <w:pPr>
              <w:jc w:val="center"/>
              <w:ind w:right="94"/>
              <w:spacing w:after="0"/>
              <w:rPr>
                <w:sz w:val="20"/>
                <w:szCs w:val="20"/>
                <w:color w:val="auto"/>
              </w:rPr>
            </w:pPr>
            <w:r>
              <w:rPr>
                <w:rFonts w:ascii="Arial" w:cs="Arial" w:eastAsia="Arial" w:hAnsi="Arial"/>
                <w:sz w:val="16"/>
                <w:szCs w:val="16"/>
                <w:b w:val="1"/>
                <w:bCs w:val="1"/>
                <w:color w:val="auto"/>
                <w:w w:val="91"/>
              </w:rPr>
              <w:t>September 30,</w:t>
            </w:r>
          </w:p>
        </w:tc>
      </w:tr>
      <w:tr>
        <w:trPr>
          <w:trHeight w:val="213"/>
        </w:trPr>
        <w:tc>
          <w:tcPr>
            <w:tcW w:w="8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2020</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at cost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ind w:left="714"/>
              <w:spacing w:after="0"/>
              <w:rPr>
                <w:sz w:val="20"/>
                <w:szCs w:val="20"/>
                <w:color w:val="auto"/>
              </w:rPr>
            </w:pPr>
            <w:r>
              <w:rPr>
                <w:rFonts w:ascii="Arial" w:cs="Arial" w:eastAsia="Arial" w:hAnsi="Arial"/>
                <w:sz w:val="18"/>
                <w:szCs w:val="18"/>
                <w:color w:val="auto"/>
                <w:w w:val="85"/>
              </w:rPr>
              <w:t>22.6</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694"/>
              <w:spacing w:after="0"/>
              <w:rPr>
                <w:sz w:val="20"/>
                <w:szCs w:val="20"/>
                <w:color w:val="auto"/>
              </w:rPr>
            </w:pPr>
            <w:r>
              <w:rPr>
                <w:rFonts w:ascii="Arial" w:cs="Arial" w:eastAsia="Arial" w:hAnsi="Arial"/>
                <w:sz w:val="18"/>
                <w:szCs w:val="18"/>
                <w:color w:val="auto"/>
                <w:w w:val="93"/>
              </w:rPr>
              <w:t>(12.4)</w:t>
            </w:r>
          </w:p>
        </w:tc>
      </w:tr>
      <w:tr>
        <w:trPr>
          <w:trHeight w:val="248"/>
        </w:trPr>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Property,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center"/>
              <w:ind w:left="714"/>
              <w:spacing w:after="0"/>
              <w:rPr>
                <w:sz w:val="20"/>
                <w:szCs w:val="20"/>
                <w:color w:val="auto"/>
              </w:rPr>
            </w:pPr>
            <w:r>
              <w:rPr>
                <w:rFonts w:ascii="Arial" w:cs="Arial" w:eastAsia="Arial" w:hAnsi="Arial"/>
                <w:sz w:val="18"/>
                <w:szCs w:val="18"/>
                <w:color w:val="auto"/>
                <w:w w:val="85"/>
              </w:rPr>
              <w:t>10.2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GOODWILL</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components of “Goodwill” on the Condensed Consolidated Balance Sheets at both March 31, 2021 and September 30, 2020 are presented in the following table.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gross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29"/>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impairment losses</w:t>
            </w:r>
          </w:p>
        </w:tc>
        <w:tc>
          <w:tcPr>
            <w:tcW w:w="2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48"/>
        </w:trPr>
        <w:tc>
          <w:tcPr>
            <w:tcW w:w="2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b w:val="1"/>
                <w:bCs w:val="1"/>
                <w:color w:val="auto"/>
              </w:rPr>
              <w:t>NOTE 12 — INTANGIBLE ASSETS, NET</w:t>
            </w: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404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40" w:type="dxa"/>
            <w:vAlign w:val="bottom"/>
            <w:gridSpan w:val="4"/>
          </w:tcPr>
          <w:p>
            <w:pPr>
              <w:ind w:left="340"/>
              <w:spacing w:after="0"/>
              <w:rPr>
                <w:sz w:val="20"/>
                <w:szCs w:val="20"/>
                <w:color w:val="auto"/>
              </w:rPr>
            </w:pPr>
            <w:r>
              <w:rPr>
                <w:rFonts w:ascii="Arial" w:cs="Arial" w:eastAsia="Arial" w:hAnsi="Arial"/>
                <w:sz w:val="18"/>
                <w:szCs w:val="18"/>
                <w:color w:val="auto"/>
              </w:rPr>
              <w:t>Total intangible assets are as follows: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4"/>
              </w:rPr>
              <w:t>March 31, 2021</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ind w:left="39"/>
              <w:spacing w:after="0"/>
              <w:rPr>
                <w:sz w:val="20"/>
                <w:szCs w:val="20"/>
                <w:color w:val="auto"/>
              </w:rPr>
            </w:pPr>
            <w:r>
              <w:rPr>
                <w:rFonts w:ascii="Arial" w:cs="Arial" w:eastAsia="Arial" w:hAnsi="Arial"/>
                <w:sz w:val="16"/>
                <w:szCs w:val="16"/>
                <w:b w:val="1"/>
                <w:bCs w:val="1"/>
                <w:color w:val="auto"/>
                <w:w w:val="90"/>
              </w:rPr>
              <w:t>September 30, 2020</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7"/>
              </w:rPr>
              <w:t>Carrying</w:t>
            </w:r>
          </w:p>
        </w:tc>
        <w:tc>
          <w:tcPr>
            <w:tcW w:w="12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13"/>
                <w:szCs w:val="13"/>
                <w:color w:val="auto"/>
              </w:rPr>
            </w:pPr>
          </w:p>
        </w:tc>
        <w:tc>
          <w:tcPr>
            <w:tcW w:w="1060" w:type="dxa"/>
            <w:vAlign w:val="bottom"/>
          </w:tcPr>
          <w:p>
            <w:pPr>
              <w:jc w:val="center"/>
              <w:ind w:right="133"/>
              <w:spacing w:after="0" w:line="158" w:lineRule="exact"/>
              <w:rPr>
                <w:sz w:val="20"/>
                <w:szCs w:val="20"/>
                <w:color w:val="auto"/>
              </w:rPr>
            </w:pPr>
            <w:r>
              <w:rPr>
                <w:rFonts w:ascii="Arial" w:cs="Arial" w:eastAsia="Arial" w:hAnsi="Arial"/>
                <w:sz w:val="16"/>
                <w:szCs w:val="16"/>
                <w:b w:val="1"/>
                <w:bCs w:val="1"/>
                <w:color w:val="auto"/>
                <w:w w:val="92"/>
              </w:rPr>
              <w:t>Net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53"/>
              <w:spacing w:after="0" w:line="158" w:lineRule="exact"/>
              <w:rPr>
                <w:sz w:val="20"/>
                <w:szCs w:val="20"/>
                <w:color w:val="auto"/>
              </w:rPr>
            </w:pPr>
            <w:r>
              <w:rPr>
                <w:rFonts w:ascii="Arial" w:cs="Arial" w:eastAsia="Arial" w:hAnsi="Arial"/>
                <w:sz w:val="16"/>
                <w:szCs w:val="16"/>
                <w:b w:val="1"/>
                <w:bCs w:val="1"/>
                <w:color w:val="auto"/>
              </w:rPr>
              <w:t>Carrying</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16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452"/>
              <w:spacing w:after="0" w:line="158" w:lineRule="exact"/>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Amortization</w:t>
            </w:r>
          </w:p>
        </w:tc>
        <w:tc>
          <w:tcPr>
            <w:tcW w:w="24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2"/>
              </w:rPr>
              <w:t>Amount</w:t>
            </w:r>
          </w:p>
        </w:tc>
        <w:tc>
          <w:tcPr>
            <w:tcW w:w="220" w:type="dxa"/>
            <w:vAlign w:val="bottom"/>
          </w:tcPr>
          <w:p>
            <w:pPr>
              <w:spacing w:after="0"/>
              <w:rPr>
                <w:sz w:val="18"/>
                <w:szCs w:val="18"/>
                <w:color w:val="auto"/>
              </w:rPr>
            </w:pPr>
          </w:p>
        </w:tc>
        <w:tc>
          <w:tcPr>
            <w:tcW w:w="1100" w:type="dxa"/>
            <w:vAlign w:val="bottom"/>
          </w:tcPr>
          <w:p>
            <w:pPr>
              <w:jc w:val="right"/>
              <w:ind w:right="293"/>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Amortization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292"/>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26"/>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Trademarks and brands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213.4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620" w:type="dxa"/>
            <w:vAlign w:val="bottom"/>
          </w:tcPr>
          <w:p>
            <w:pPr>
              <w:ind w:left="160"/>
              <w:spacing w:after="0"/>
              <w:rPr>
                <w:sz w:val="20"/>
                <w:szCs w:val="20"/>
                <w:color w:val="auto"/>
              </w:rPr>
            </w:pPr>
            <w:r>
              <w:rPr>
                <w:rFonts w:ascii="Arial" w:cs="Arial" w:eastAsia="Arial" w:hAnsi="Arial"/>
                <w:sz w:val="18"/>
                <w:szCs w:val="18"/>
                <w:b w:val="1"/>
                <w:bCs w:val="1"/>
                <w:color w:val="auto"/>
              </w:rPr>
              <w:t>Intangible assets,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425.9</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(180.7)</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245.2</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425.9</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In December 2020, the Company finalized its plan to discontinue the </w:t>
      </w:r>
      <w:r>
        <w:rPr>
          <w:rFonts w:ascii="Arial" w:cs="Arial" w:eastAsia="Arial" w:hAnsi="Arial"/>
          <w:sz w:val="18"/>
          <w:szCs w:val="18"/>
          <w:i w:val="1"/>
          <w:iCs w:val="1"/>
          <w:color w:val="auto"/>
        </w:rPr>
        <w:t>Supreme Protein</w:t>
      </w:r>
      <w:r>
        <w:rPr>
          <w:rFonts w:ascii="Arial" w:cs="Arial" w:eastAsia="Arial" w:hAnsi="Arial"/>
          <w:sz w:val="18"/>
          <w:szCs w:val="18"/>
          <w:color w:val="auto"/>
        </w:rPr>
        <w:t xml:space="preserve"> brand and related sales of </w:t>
      </w:r>
      <w:r>
        <w:rPr>
          <w:rFonts w:ascii="Arial" w:cs="Arial" w:eastAsia="Arial" w:hAnsi="Arial"/>
          <w:sz w:val="18"/>
          <w:szCs w:val="18"/>
          <w:i w:val="1"/>
          <w:iCs w:val="1"/>
          <w:color w:val="auto"/>
        </w:rPr>
        <w:t>Supreme Protein</w:t>
      </w:r>
      <w:r>
        <w:rPr>
          <w:rFonts w:ascii="Arial" w:cs="Arial" w:eastAsia="Arial" w:hAnsi="Arial"/>
          <w:sz w:val="18"/>
          <w:szCs w:val="18"/>
          <w:color w:val="auto"/>
        </w:rPr>
        <w:t xml:space="preserve"> products. In connection with the discontinuance, the Company updated the useful lives of the customer relationships and trademarks associated with the </w:t>
      </w:r>
      <w:r>
        <w:rPr>
          <w:rFonts w:ascii="Arial" w:cs="Arial" w:eastAsia="Arial" w:hAnsi="Arial"/>
          <w:sz w:val="18"/>
          <w:szCs w:val="18"/>
          <w:i w:val="1"/>
          <w:iCs w:val="1"/>
          <w:color w:val="auto"/>
        </w:rPr>
        <w:t>Supreme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Protein </w:t>
      </w:r>
      <w:r>
        <w:rPr>
          <w:rFonts w:ascii="Arial" w:cs="Arial" w:eastAsia="Arial" w:hAnsi="Arial"/>
          <w:sz w:val="18"/>
          <w:szCs w:val="18"/>
          <w:color w:val="auto"/>
        </w:rPr>
        <w:t>brand to reflect the remaining period in which the Company expects to continue to sell existing</w:t>
      </w:r>
      <w:r>
        <w:rPr>
          <w:rFonts w:ascii="Arial" w:cs="Arial" w:eastAsia="Arial" w:hAnsi="Arial"/>
          <w:sz w:val="18"/>
          <w:szCs w:val="18"/>
          <w:i w:val="1"/>
          <w:iCs w:val="1"/>
          <w:color w:val="auto"/>
        </w:rPr>
        <w:t xml:space="preserve"> Supreme Protein </w:t>
      </w:r>
      <w:r>
        <w:rPr>
          <w:rFonts w:ascii="Arial" w:cs="Arial" w:eastAsia="Arial" w:hAnsi="Arial"/>
          <w:sz w:val="18"/>
          <w:szCs w:val="18"/>
          <w:color w:val="auto"/>
        </w:rPr>
        <w:t>product inventory. Accelerated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amortization of $17.7 and $18.1 was recorded during the three and six months ended March 31, 2021, respectively, resulting from the updated useful lives of the customer relationships and trademarks associated with the </w:t>
      </w:r>
      <w:r>
        <w:rPr>
          <w:rFonts w:ascii="Arial" w:cs="Arial" w:eastAsia="Arial" w:hAnsi="Arial"/>
          <w:sz w:val="18"/>
          <w:szCs w:val="18"/>
          <w:i w:val="1"/>
          <w:iCs w:val="1"/>
          <w:color w:val="auto"/>
        </w:rPr>
        <w:t>Supreme Protein</w:t>
      </w:r>
      <w:r>
        <w:rPr>
          <w:rFonts w:ascii="Arial" w:cs="Arial" w:eastAsia="Arial" w:hAnsi="Arial"/>
          <w:sz w:val="18"/>
          <w:szCs w:val="18"/>
          <w:color w:val="auto"/>
        </w:rPr>
        <w:t xml:space="preserve"> brand. The net carrying values of the customer relationships and trademarks associated with the </w:t>
      </w:r>
      <w:r>
        <w:rPr>
          <w:rFonts w:ascii="Arial" w:cs="Arial" w:eastAsia="Arial" w:hAnsi="Arial"/>
          <w:sz w:val="18"/>
          <w:szCs w:val="18"/>
          <w:i w:val="1"/>
          <w:iCs w:val="1"/>
          <w:color w:val="auto"/>
        </w:rPr>
        <w:t>Supreme Protein</w:t>
      </w:r>
      <w:r>
        <w:rPr>
          <w:rFonts w:ascii="Arial" w:cs="Arial" w:eastAsia="Arial" w:hAnsi="Arial"/>
          <w:sz w:val="18"/>
          <w:szCs w:val="18"/>
          <w:color w:val="auto"/>
        </w:rPr>
        <w:t xml:space="preserve"> brand were $7.5 and $4.7 as of March 31, 2021, respectively, which are expected to be fully amortized by June 1, 2021.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LEASES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leases office space, certain warehouses and equipment primarily through operating lease agreements. The Company has no material finance lease agreements. Leases have remaining terms which range from less than 1 year to 6 years and most leases provide the Company with the option to exercise one or more renewal terms.</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Operating lease expense is recognized on a straight-line basis over the lease term and is included in “Selling, general and administrative expenses” in the Condensed Consolidated Statements of Operations. Costs associated with finance leases and lease income do not have a material impact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balance sheet location of the Company’s operating leases.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6"/>
                <w:szCs w:val="16"/>
                <w:color w:val="auto"/>
              </w:rPr>
            </w:pPr>
          </w:p>
        </w:tc>
        <w:tc>
          <w:tcPr>
            <w:tcW w:w="1260" w:type="dxa"/>
            <w:vAlign w:val="bottom"/>
          </w:tcPr>
          <w:p>
            <w:pPr>
              <w:jc w:val="center"/>
              <w:ind w:right="92"/>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The following table presents maturities of the Company’s operating lease 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ind w:right="72"/>
              <w:spacing w:after="0"/>
              <w:rPr>
                <w:sz w:val="20"/>
                <w:szCs w:val="20"/>
                <w:color w:val="auto"/>
              </w:rPr>
            </w:pPr>
            <w:r>
              <w:rPr>
                <w:rFonts w:ascii="Arial" w:cs="Arial" w:eastAsia="Arial" w:hAnsi="Arial"/>
                <w:sz w:val="16"/>
                <w:szCs w:val="16"/>
                <w:b w:val="1"/>
                <w:bCs w:val="1"/>
                <w:color w:val="auto"/>
                <w:w w:val="94"/>
              </w:rPr>
              <w:t>March 31,</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89"/>
              </w:rPr>
              <w:t>2021</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Fiscal 2021</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Fiscal 2022</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future minimum payments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Less: Implied interest</w:t>
            </w:r>
          </w:p>
        </w:tc>
        <w:tc>
          <w:tcPr>
            <w:tcW w:w="2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supplemental operations statement information related to the Company’s operating leases.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200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4"/>
          </w:tcPr>
          <w:p>
            <w:pPr>
              <w:jc w:val="right"/>
              <w:ind w:right="453"/>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63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March 31,</w:t>
            </w:r>
          </w:p>
        </w:tc>
        <w:tc>
          <w:tcPr>
            <w:tcW w:w="3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580"/>
              <w:spacing w:after="0"/>
              <w:rPr>
                <w:sz w:val="20"/>
                <w:szCs w:val="20"/>
                <w:color w:val="auto"/>
              </w:rPr>
            </w:pPr>
            <w:r>
              <w:rPr>
                <w:rFonts w:ascii="Arial" w:cs="Arial" w:eastAsia="Arial" w:hAnsi="Arial"/>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r>
      <w:tr>
        <w:trPr>
          <w:trHeight w:val="210"/>
        </w:trPr>
        <w:tc>
          <w:tcPr>
            <w:tcW w:w="63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w w:val="95"/>
              </w:rPr>
              <w:t>2020</w:t>
            </w:r>
          </w:p>
        </w:tc>
      </w:tr>
      <w:tr>
        <w:trPr>
          <w:trHeight w:val="226"/>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76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Variable lease expense</w:t>
            </w:r>
          </w:p>
        </w:tc>
        <w:tc>
          <w:tcPr>
            <w:tcW w:w="76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0.3</w:t>
            </w:r>
          </w:p>
        </w:tc>
      </w:tr>
    </w:tbl>
    <w:p>
      <w:pPr>
        <w:spacing w:after="0" w:line="20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Short-term lease expense during each of the three and six months ended March 31, 2021 and 2020 was immaterial. Operating cash flows for amounts included in the measurement of the Company’s operating lease liabilities were $1.6 and $1.8 for the six months ended March 31, 2021 and 2020, respectively. Right-of-use assets obtained in exchange for operating lease liabilities during the six months ended March 31, 2021 and 2020 were immaterial.</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weighted average remaining lease term of the Company’s operating leases was approximately 5 years and 6 years as of March 31, 2021 and September 30, 2020, respectively. The weighted average incremental borrowing rate was 4.3% and 4.2% as of March 31, 2021 and September 30, 2020,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DERIVATIVE FINANCIAL INSTRUMENTS</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ordinary course of business, the Company is exposed to commodity price risks relating to the acquisition of raw materials and supplies, interest rate risks relating to floating rate debt and foreign currency exchange rate risks. The Company utilizes swaps to manage certain of these exposures by hedging when it is practical to do so. The Company does not hold or issue financial instruments for speculative or trading purposes.</w:t>
      </w:r>
    </w:p>
    <w:p>
      <w:pPr>
        <w:spacing w:after="0" w:line="5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At both March 31, 2021 and September 30, 2020, the Company had pay-fixed, receive-variable interest rate swaps with a notional amount of $350.0. The interest rate swaps mature in December 2022 and require monthly settlements, which began on January 31, 2020, and are used to hedge forecasted interest payments on the Company’s variable rate debt (see Note 16). On April 1, 2020, the Company changed the designation of the interest rate swaps from cash flow hedges to non-designated hedging instruments as the swaps were no longer effective (as defined by GAAP). In connection with the new designation, the Company started reclassifying losses previously recorded in accumulated OCI to “Interest expense, net” in the Condensed Consolidated Statements of Operations on a straight-line basis over the term of the related debt.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At March 31, 2021, accumulated OCI, including amounts reported as NCI, included an $8.3 net hedging loss before taxes ($7.7 after taxes). At September 30, 2020, accumulated OCI, including amounts reported as NCI, included a $9.4 net hedging loss before taxes ($8.8 after taxes). Approximately $2.3 of the net hedging loss reported in accumulated OCI at March 31, 2021 is expected to be reclassified into earnings within the next 12 months.</w:t>
      </w:r>
    </w:p>
    <w:p>
      <w:pPr>
        <w:spacing w:after="0" w:line="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balance sheet location and fair value of the Company’s derivative instruments on a gross basis. The Company does not offset derivative assets and liabilities within the Condensed Consolidated Balance Sheets.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134"/>
              <w:spacing w:after="0"/>
              <w:rPr>
                <w:sz w:val="20"/>
                <w:szCs w:val="20"/>
                <w:color w:val="auto"/>
              </w:rPr>
            </w:pPr>
            <w:r>
              <w:rPr>
                <w:rFonts w:ascii="Arial" w:cs="Arial" w:eastAsia="Arial" w:hAnsi="Arial"/>
                <w:sz w:val="16"/>
                <w:szCs w:val="16"/>
                <w:b w:val="1"/>
                <w:bCs w:val="1"/>
                <w:color w:val="auto"/>
                <w:w w:val="93"/>
              </w:rPr>
              <w:t>September 30,</w:t>
            </w:r>
          </w:p>
        </w:tc>
      </w:tr>
      <w:tr>
        <w:trPr>
          <w:trHeight w:val="213"/>
        </w:trPr>
        <w:tc>
          <w:tcPr>
            <w:tcW w:w="82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2020</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100" w:type="dxa"/>
            <w:vAlign w:val="bottom"/>
            <w:shd w:val="clear" w:color="auto" w:fill="CCEEFF"/>
          </w:tcPr>
          <w:p>
            <w:pPr>
              <w:jc w:val="right"/>
              <w:ind w:right="895"/>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1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48"/>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liabilities</w:t>
            </w:r>
          </w:p>
        </w:tc>
        <w:tc>
          <w:tcPr>
            <w:tcW w:w="1100" w:type="dxa"/>
            <w:vAlign w:val="bottom"/>
            <w:tcBorders>
              <w:bottom w:val="single" w:sz="8" w:color="auto"/>
            </w:tcBorders>
            <w:shd w:val="clear" w:color="auto" w:fill="CCEEFF"/>
          </w:tcPr>
          <w:p>
            <w:pPr>
              <w:jc w:val="right"/>
              <w:ind w:right="895"/>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following table presents the components of the Company’s net hedging losses (gains) on interest rate swaps which were included in “Interest expense, net” in the Condensed Consolidated Statements of Operations and the net cash settlements (paid) received on interest rate swaps.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19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4"/>
          </w:tcPr>
          <w:p>
            <w:pPr>
              <w:jc w:val="right"/>
              <w:ind w:right="452"/>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63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6"/>
                <w:szCs w:val="16"/>
                <w:b w:val="1"/>
                <w:bCs w:val="1"/>
                <w:color w:val="auto"/>
              </w:rPr>
              <w:t>March 31,</w:t>
            </w:r>
          </w:p>
        </w:tc>
        <w:tc>
          <w:tcPr>
            <w:tcW w:w="3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r>
      <w:tr>
        <w:trPr>
          <w:trHeight w:val="210"/>
        </w:trPr>
        <w:tc>
          <w:tcPr>
            <w:tcW w:w="63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w w:val="95"/>
              </w:rPr>
              <w:t>2020</w:t>
            </w:r>
          </w:p>
        </w:tc>
      </w:tr>
      <w:tr>
        <w:trPr>
          <w:trHeight w:val="226"/>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adjustments</w:t>
            </w:r>
          </w:p>
        </w:tc>
        <w:tc>
          <w:tcPr>
            <w:tcW w:w="72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(0.1)</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(0.2)</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center"/>
              <w:ind w:left="374"/>
              <w:spacing w:after="0"/>
              <w:rPr>
                <w:sz w:val="20"/>
                <w:szCs w:val="20"/>
                <w:color w:val="auto"/>
              </w:rPr>
            </w:pPr>
            <w:r>
              <w:rPr>
                <w:rFonts w:ascii="Arial" w:cs="Arial" w:eastAsia="Arial" w:hAnsi="Arial"/>
                <w:sz w:val="18"/>
                <w:szCs w:val="18"/>
                <w:color w:val="auto"/>
                <w:w w:val="97"/>
              </w:rPr>
              <w:t>(0.1)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Net loss amortized from accumulated OCI</w:t>
            </w:r>
          </w:p>
        </w:tc>
        <w:tc>
          <w:tcPr>
            <w:tcW w:w="72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5"/>
              </w:rPr>
              <w:t>0.6</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center"/>
              <w:ind w:left="394"/>
              <w:spacing w:after="0"/>
              <w:rPr>
                <w:sz w:val="20"/>
                <w:szCs w:val="20"/>
                <w:color w:val="auto"/>
              </w:rPr>
            </w:pPr>
            <w:r>
              <w:rPr>
                <w:rFonts w:ascii="Arial" w:cs="Arial" w:eastAsia="Arial" w:hAnsi="Arial"/>
                <w:sz w:val="18"/>
                <w:szCs w:val="18"/>
                <w:color w:val="auto"/>
                <w:w w:val="87"/>
              </w:rPr>
              <w:t>1.1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3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net hedging losses (gains)</w:t>
            </w:r>
          </w:p>
        </w:tc>
        <w:tc>
          <w:tcPr>
            <w:tcW w:w="720" w:type="dxa"/>
            <w:vAlign w:val="bottom"/>
            <w:tcBorders>
              <w:top w:val="single" w:sz="8" w:color="auto"/>
              <w:bottom w:val="single" w:sz="8" w:color="auto"/>
            </w:tcBorders>
            <w:shd w:val="clear" w:color="auto" w:fill="CCEEFF"/>
          </w:tcPr>
          <w:p>
            <w:pPr>
              <w:jc w:val="right"/>
              <w:ind w:right="53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0.5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(0.2)</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center"/>
              <w:ind w:left="394"/>
              <w:spacing w:after="0"/>
              <w:rPr>
                <w:sz w:val="20"/>
                <w:szCs w:val="20"/>
                <w:color w:val="auto"/>
              </w:rPr>
            </w:pPr>
            <w:r>
              <w:rPr>
                <w:rFonts w:ascii="Arial" w:cs="Arial" w:eastAsia="Arial" w:hAnsi="Arial"/>
                <w:sz w:val="18"/>
                <w:szCs w:val="18"/>
                <w:color w:val="auto"/>
                <w:w w:val="87"/>
              </w:rPr>
              <w:t>1.0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settlements (paid) received, net</w:t>
            </w:r>
          </w:p>
        </w:tc>
        <w:tc>
          <w:tcPr>
            <w:tcW w:w="72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center"/>
              <w:ind w:left="374"/>
              <w:spacing w:after="0"/>
              <w:rPr>
                <w:sz w:val="20"/>
                <w:szCs w:val="20"/>
                <w:color w:val="auto"/>
              </w:rPr>
            </w:pPr>
            <w:r>
              <w:rPr>
                <w:rFonts w:ascii="Arial" w:cs="Arial" w:eastAsia="Arial" w:hAnsi="Arial"/>
                <w:sz w:val="18"/>
                <w:szCs w:val="18"/>
                <w:color w:val="auto"/>
                <w:w w:val="97"/>
              </w:rPr>
              <w:t>(2.4)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FAIR VALUE MEASUREMENTS</w:t>
      </w:r>
    </w:p>
    <w:p>
      <w:pPr>
        <w:spacing w:after="0" w:line="12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following table represents the Company’s liabilities and NCI measured at fair value on a recurring basis and the basis for that measurement according to the levels in the fair value hierarchy in Accounting Standards Codification (“ASC”) Topic 820, “Fair Value Measurement.”</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4"/>
              </w:rPr>
              <w:t>March 31, 2021</w:t>
            </w:r>
          </w:p>
        </w:tc>
        <w:tc>
          <w:tcPr>
            <w:tcW w:w="9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0"/>
              </w:rPr>
              <w:t>September 30, 2020</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0"/>
        </w:trPr>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1</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393"/>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Level 1</w:t>
            </w:r>
          </w:p>
        </w:tc>
        <w:tc>
          <w:tcPr>
            <w:tcW w:w="240" w:type="dxa"/>
            <w:vAlign w:val="bottom"/>
          </w:tcPr>
          <w:p>
            <w:pPr>
              <w:spacing w:after="0"/>
              <w:rPr>
                <w:sz w:val="18"/>
                <w:szCs w:val="18"/>
                <w:color w:val="auto"/>
              </w:rPr>
            </w:pPr>
          </w:p>
        </w:tc>
        <w:tc>
          <w:tcPr>
            <w:tcW w:w="1060" w:type="dxa"/>
            <w:vAlign w:val="bottom"/>
          </w:tcPr>
          <w:p>
            <w:pPr>
              <w:jc w:val="right"/>
              <w:ind w:right="313"/>
              <w:spacing w:after="0"/>
              <w:rPr>
                <w:sz w:val="20"/>
                <w:szCs w:val="20"/>
                <w:color w:val="auto"/>
              </w:rPr>
            </w:pPr>
            <w:r>
              <w:rPr>
                <w:rFonts w:ascii="Arial" w:cs="Arial" w:eastAsia="Arial" w:hAnsi="Arial"/>
                <w:sz w:val="16"/>
                <w:szCs w:val="16"/>
                <w:b w:val="1"/>
                <w:bCs w:val="1"/>
                <w:color w:val="auto"/>
              </w:rPr>
              <w:t>Level 2</w:t>
            </w:r>
          </w:p>
        </w:tc>
      </w:tr>
      <w:tr>
        <w:trPr>
          <w:trHeight w:val="226"/>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liabilities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7.9</w:t>
            </w:r>
          </w:p>
        </w:tc>
        <w:tc>
          <w:tcPr>
            <w:tcW w:w="2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2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NCI</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2,301.4</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2,021.6</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calculation of the fair value of interest rate swaps is derived from a discounted cash flow analysis based on the terms of the contract and the interest rate curve on a recurring basis. The fair value of the NCI is calculated as its redemption value based on the Class A Common Stock price and number of BellRing LLC units owned by Post as of the end of each period (see Note 6).</w:t>
      </w:r>
    </w:p>
    <w:p>
      <w:pPr>
        <w:spacing w:after="0" w:line="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Company’s financial assets and liabilities include cash and cash equivalents, receivables and accounts payable for which the carrying value approximates fair value due to their short maturities (less than 12 months). The Company does not record its short-term and long-term debt at fair value on the Condensed Consolidated Balance Sheets. The fair value of any outstanding borrowings under the Revolving Credit Facility (as defined in Note 16) as of March 31, 2021 and September 30, 2020 approximated their carrying values. Based on current market rates, the fair value (Level 2) of the Term B Facility (as defined in Note 16) was $629.8 and $674.0 as of March 31, 2021 and September 30, 2020, respectively.</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assets and liabilities, including property, plant and equipment, goodwill and other intangible assets, are measured at fair value on a non-recurring basis.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LONG-TERM DEBT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“Long-term debt” on the Condensed Consolidated Balance Sheets.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6"/>
                <w:szCs w:val="16"/>
                <w:color w:val="auto"/>
              </w:rPr>
            </w:pPr>
          </w:p>
        </w:tc>
        <w:tc>
          <w:tcPr>
            <w:tcW w:w="1260" w:type="dxa"/>
            <w:vAlign w:val="bottom"/>
          </w:tcPr>
          <w:p>
            <w:pPr>
              <w:jc w:val="right"/>
              <w:ind w:right="132"/>
              <w:spacing w:after="0"/>
              <w:rPr>
                <w:sz w:val="20"/>
                <w:szCs w:val="20"/>
                <w:color w:val="auto"/>
              </w:rPr>
            </w:pPr>
            <w:r>
              <w:rPr>
                <w:rFonts w:ascii="Arial" w:cs="Arial" w:eastAsia="Arial" w:hAnsi="Arial"/>
                <w:sz w:val="16"/>
                <w:szCs w:val="16"/>
                <w:b w:val="1"/>
                <w:bCs w:val="1"/>
                <w:color w:val="auto"/>
                <w:w w:val="93"/>
              </w:rPr>
              <w:t>September 30,</w:t>
            </w:r>
          </w:p>
        </w:tc>
      </w:tr>
      <w:tr>
        <w:trPr>
          <w:trHeight w:val="213"/>
        </w:trPr>
        <w:tc>
          <w:tcPr>
            <w:tcW w:w="8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B Facility</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2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23"/>
        </w:trPr>
        <w:tc>
          <w:tcPr>
            <w:tcW w:w="82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principal amount of debt</w:t>
            </w:r>
          </w:p>
        </w:tc>
        <w:tc>
          <w:tcPr>
            <w:tcW w:w="2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703.7</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Less: Current portion of long-term debt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63.8</w:t>
            </w:r>
          </w:p>
        </w:tc>
      </w:tr>
      <w:tr>
        <w:trPr>
          <w:trHeight w:val="229"/>
        </w:trPr>
        <w:tc>
          <w:tcPr>
            <w:tcW w:w="8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Debt issuance costs,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8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Unamortized discount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48"/>
        </w:trPr>
        <w:tc>
          <w:tcPr>
            <w:tcW w:w="8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Long-term debt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21, 2019, BellRing LLC entered into a credit agreement (as amended, the “Credit Agreement”) which provides for a term B loan facility in an aggregate principal amount of $700.0 (the “Term B Facility”) and a revolving credit facility in an aggregate principal amount of $200.0 (the “Revolving Credit Facility”), with the commitments under the Revolving Credit Facility to be made available to BellRing LLC in U.S. Dollars, Euros and Pounds Sterling. Letters of credit are available under the Credit Agreement in an aggregate amount of up to $20.0. Any outstanding amounts under the Revolving Credit Facility and Term B Facility must be repaid on or before October 21, 2024.</w:t>
      </w:r>
    </w:p>
    <w:p>
      <w:pPr>
        <w:spacing w:after="0" w:line="8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February 26, 2021, BellRing LLC entered into a second amendment to its Credit Agreement (the “Amendment”). The Amendment provided for the refinancing of the Term B Facility on substantially the same terms as in effect prior to the Amendment, except that it (i) reduced the interest rate margin by 100 basis points resulting in (A) for Eurodollar rate loans, an interest rate of the Eurodollar rate plus a margin of 4.00% and (B) for base rate loans, an interest rate of the base rate plus a margin of 3.00%, (ii) reduced the floor for the Eurodollar rate to 0.75%, (iii) modified the Credit Agreement to address the anticipated unavailability of LIBOR as a reference interest rate and (iv) provided that if on or before August 26, 2021 BellRing LLC repays the Term B Facility in whole or in part with the proceeds of new or replacement debt at a lower effective interest rate, or further amends the Credit Agreement to reduce the effective interest rate applicable to the Term B Facility, BellRing LLC must pay a 1.00% premium on the amount repaid or subject to the interest rate reduction. In connection with the Amendment, BellRing LLC paid debt refinancing fees of $1.5 in the three and six months ended March 31, 2021, which were included in “Loss on refinancing of debt” in the Condensed Consolidated Statements of Operations.</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Subsequent to the Amendment, borrowings under the Term B Facility bear interest, at the option of BellRing LLC, at an annual rate equal to either</w:t>
      </w:r>
    </w:p>
    <w:p>
      <w:pPr>
        <w:spacing w:after="0" w:line="46" w:lineRule="exact"/>
        <w:rPr>
          <w:sz w:val="20"/>
          <w:szCs w:val="20"/>
          <w:color w:val="auto"/>
        </w:rPr>
      </w:pPr>
    </w:p>
    <w:p>
      <w:pPr>
        <w:jc w:val="both"/>
        <w:ind w:firstLine="8"/>
        <w:spacing w:after="0" w:line="255" w:lineRule="auto"/>
        <w:tabs>
          <w:tab w:leader="none" w:pos="25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Eurodollar rate or (b) the base rate determined by reference to the greatest of (i) the prime rate, (ii) the federal funds effective rate plus 0.50% per annum and (iii) the one-month Eurodollar rate plus 1.00% per annum, in each case plus an applicable margin of 4.00% for Eurodollar rate-based loans and 3.00% for base rate-based loans.</w:t>
      </w:r>
    </w:p>
    <w:p>
      <w:pPr>
        <w:spacing w:after="0" w:line="8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Term B Facility requires quarterly scheduled amortization payments of $8.75 which began on March 31, 2020, with the balance to be paid at maturity on October 21, 2024. Interest was paid on each Interest Payment Date (as defined in the Credit Agreement) during each of the six months ended March 31, 2021 and 2020. The Term B Facility contains customary mandatory prepayment provisions, including provisions for mandatory prepayment</w:t>
      </w:r>
    </w:p>
    <w:p>
      <w:pPr>
        <w:spacing w:after="0" w:line="2" w:lineRule="exact"/>
        <w:rPr>
          <w:sz w:val="20"/>
          <w:szCs w:val="20"/>
          <w:color w:val="auto"/>
        </w:rPr>
      </w:pPr>
    </w:p>
    <w:p>
      <w:pPr>
        <w:jc w:val="both"/>
        <w:ind w:firstLine="8"/>
        <w:spacing w:after="0" w:line="269" w:lineRule="auto"/>
        <w:tabs>
          <w:tab w:leader="none" w:pos="275" w:val="left"/>
        </w:tabs>
        <w:numPr>
          <w:ilvl w:val="0"/>
          <w:numId w:val="4"/>
        </w:numPr>
        <w:rPr>
          <w:rFonts w:ascii="Arial" w:cs="Arial" w:eastAsia="Arial" w:hAnsi="Arial"/>
          <w:sz w:val="17"/>
          <w:szCs w:val="17"/>
          <w:color w:val="auto"/>
        </w:rPr>
      </w:pPr>
      <w:r>
        <w:rPr>
          <w:rFonts w:ascii="Arial" w:cs="Arial" w:eastAsia="Arial" w:hAnsi="Arial"/>
          <w:sz w:val="17"/>
          <w:szCs w:val="17"/>
          <w:color w:val="auto"/>
        </w:rPr>
        <w:t>from the net cash proceeds of certain asset sales and (b) of 75% of consolidated excess cash flow (as defined in the Credit Agreement) (which percentage will be reduced to 50% if the secured net leverage ratio (as defined in the Credit Agreement) is less than or equal to 3.35:1.00 as of a fiscal year end). During the six months ended March 31, 2021, the Company repaid $28.8 on its Term B Facility as a mandatory prepayment from fiscal 2020 excess cash flow, which was in addition to the scheduled amortization payments. The Company classified $38.2 related to the estimated mandatory prepayment of fiscal 2021 excess cash flow in “Current portion of long-term debt” on the Condensed Consolidated Balance Sheet at March 31, 2021. The Company may prepay the Term B Facility at its option without penalty or premium, except as restricted by the Amendment. The interest rate on the Term B Facility was 4.75% and 6.00% as of March 31, 2021 and September 30, 2020, respectively.</w:t>
      </w:r>
    </w:p>
    <w:p>
      <w:pPr>
        <w:spacing w:after="0" w:line="7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Borrowings under the Revolving Credit Facility bear interest, at the option of BellRing LLC, at an annual rate equal to either the Eurodollar rate or the base rate (determined as described above) plus a margin, which initially was 4.25% for Eurodollar rate-based loans and 3.25% for base rate-based loans, and thereafter, will be determined by reference to the secured net leverage ratio, with the applicable margin for Eurodollar rate-based loans and base rate-based loans being (i) 4.25% and 3.25%, respectively, if the secured net leverage ratio is greater than or equal to 3.50:1.00, (ii) 4.00% and 3.00%, respectively, if the secured net leverage ratio is less than 3.50:1.00 and greater than or equal to 2.50:1.00 or (iii) 3.75% and 2.75%, respectively, if the secured net leverage ratio is less than 2.50:1.00. Facility fees on the daily unused amount of commitments under the Revolving Credit Facility were initially accrued at the rate of 0.50% per annum and thereafter, depending on BellRing LLC’s secured net leverage ratio, will accrue at rates ranging from 0.25% to 0.50% per annum. There were no amounts drawn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Revolving Credit Facility as of March 31, 2021. The interest rate on the drawn portion of the Revolving Credit Facility was 5.25% as of September 30, 2020.</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six months ended March 31, 2021 and 2020, BellRing LLC borrowed $20.0 and $185.0 under the Revolving Credit Facility, respectively, and repaid $50.0 and $65.0 on the Revolving Credit Facility, respectively. The available borrowing capacity under the Revolving Credit Facility was $200.0 and $170.0 as of March 31, 2021 and September 30, 2020, respectively. There were no outstanding letters of credit as of March 31, 2021 or September 30, 2020.</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terms of the Credit Agreement, BellRing LLC is required to comply with a financial covenant requiring it to maintain a total net leverage ratio not to exceed 6.00 to 1.00, measured as of the last day of each fiscal quarter. The total net leverage ratio of BellRing LLC did not exceed this threshold as of March 31, 2021.</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Credit Agreement provides for incremental revolving and term facilities, and also permits other secured or unsecured debt, if, among other conditions, certain financial ratios are met, as defined and specified in the Credit Agreement.</w:t>
      </w:r>
    </w:p>
    <w:p>
      <w:pPr>
        <w:spacing w:after="0" w:line="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Credit Agreement provides for customary events of default, including material breach of representations and warranties, failure to make required payments, failure to comply with certain agreements or covenants, failure to pay or default under certain other material indebtedness, certain events of bankruptcy and insolvency, inability to pay debts, the occurrence of one or more unstayed or undischarged judgments in excess of $65.0, certain events under the Employee Retirement Income Security Act of 1974, the invalidity of any loan document, a change in control, and the failure of the collateral documents to create a valid and perfected first priority lien. Upon the occurrence and during the continuance of an event of default, the maturity of the loans under the Credit Agreement may accelerate and the agent and lenders under the Credit Agreement may exercise other rights and remedies available at law or under the loan documents, including with respect to the collateral and guarantees of BellRing LLC’s obligations under the Credit Agreement.</w:t>
      </w:r>
    </w:p>
    <w:p>
      <w:pPr>
        <w:spacing w:after="0" w:line="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BellRing LLC’s obligations under the Credit Agreement are unconditionally guaranteed by its existing and subsequently acquired or organized domestic subsidiaries (other than immaterial domestic subsidiaries, certain excluded subsidiaries and subsidiaries BellRing LLC designates as unrestricted subsidiaries) and are secured by security interests in substantially all of BellRing LLC’s assets and the assets of its subsidiary guarantors, but excluding, in each case, real property (subject to limited exceptions).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Juice Litigation</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March 2013, a complaint was filed on behalf of a putative, nationwide class of consumers against Premier Nutrition Company, LLC (“Premier Nutrition”) in the U.S. District Court for the Northern District of California seeking monetary damages and injunctive relief. The case asserted that some of Premier Nutrition’s advertising claims regarding its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line of glucosamine and chondroitin dietary supplements were false and misleading. In April 2016, the district court certified a California-only class of consumers in this lawsuit (this lawsuit is hereinafter referred to as the “California Federal Class Lawsuit”).</w:t>
      </w:r>
    </w:p>
    <w:p>
      <w:pPr>
        <w:spacing w:after="0" w:line="8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2016 and 2017, the lead plaintiff’s counsel in the California Federal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These additional complaints contain factual allegations similar to the California Federal Class Lawsuit, also seeking monetary damages and injunctive relief. The New Jersey case was voluntarily dismissed.</w:t>
      </w:r>
    </w:p>
    <w:p>
      <w:pPr>
        <w:spacing w:after="0" w:line="6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April 2018, the district court dismissed the California Federal Class Lawsuit with prejudice. This dismissal was upheld on appeal by the U.S. Court of Appeals for the Ninth Circuit and Plaintiff’s petition for an en banc rehearing by the Ninth Circuit was denied. The other complaints remain pending in the U.S. District Court for the Northern District of California, and the court has certified individual state classes in each of those cases.</w:t>
      </w:r>
    </w:p>
    <w:p>
      <w:pPr>
        <w:spacing w:after="0" w:line="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January 2019, the same lead counsel filed an additional class action complaint against Premier Nutrition in California Superior Court for the County of Alameda, alleging claims similar to the above actions and seeking monetary damages and injunctive relief on behalf of a putative class of California consumers, beginning after the California Federal Class Lawsuit class period.</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September 2020, the same lead counsel filed another class action complaint against Premier Nutrition in California Superior Court for the County of Alameda, alleging identical claims and seeking restitution and injunctive relief on behalf of the same putative class of California consumers as the California Federal Class Lawsuit.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continues to vigorously defend these cases. The Company does not believe that the resolution of these cases will have a material adverse effect on its financial condition, results of operations or cash flows.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than legal fees, no expense related to this litigation was incurred during the three or six months ended March 31, 2021 or 2020. At both March 31, 2021 and September 30, 2020, the Company had accrued $8.5 related to this matter that was included in “Other current liabilities” on the Condensed Consolidated Balance Sheets.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financial condition,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financial condition, results of operations or cash flows of the Company.</w:t>
      </w:r>
    </w:p>
    <w:p>
      <w:pPr>
        <w:spacing w:after="0" w:line="20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r>
        <w:rPr>
          <w:rFonts w:ascii="Arial" w:cs="Arial" w:eastAsia="Arial" w:hAnsi="Arial"/>
          <w:sz w:val="21"/>
          <w:szCs w:val="21"/>
          <w:color w:val="auto"/>
        </w:rPr>
        <w:t>.</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discussion summarizes the significant factors affecting the consolidated operating results, financial condition, liquidity and capital resources of BellRing Brands, Inc. and its consolidated subsidiaries. This discussion should be read in conjunction with our unaudited condensed consolidated financial statements and notes thereto included herein, our audited financial statements in our Annual Report on Form 10-K for the fiscal year ended September 30, 2020 and the “Cautionary Statement on Forward-Looking Statements” section included below. The terms “our,” “we,” “us,” “Company” and “BellRing” as used herein refer to BellRing Brands, Inc. and its consolidated subsidiaries.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We are a consumer products holding company operating in the global convenient nutrition category and a provider of ready-to-drink (“RTD”) protein shakes, other RTD beverages, powders, nutrition bars and nutritional supplements. We have a single operating and reportable segment, with our principal products being protein-based consumer goods. Our primary brands are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and </w:t>
      </w:r>
      <w:r>
        <w:rPr>
          <w:rFonts w:ascii="Arial" w:cs="Arial" w:eastAsia="Arial" w:hAnsi="Arial"/>
          <w:sz w:val="18"/>
          <w:szCs w:val="18"/>
          <w:i w:val="1"/>
          <w:iCs w:val="1"/>
          <w:color w:val="auto"/>
        </w:rPr>
        <w:t>Dymatize.</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21, 2019, BellRing Brands, Inc. (“BellRing Inc.”) closed its initial public offering (the “IPO”) of 39.4 million shares of its Class A common stock, $0.01 par value per share (the “Class A Common Stock”) and contributed the net proceeds from the IPO to BellRing Brands, LLC, a Delaware limited liability company and BellRing Inc.’s subsidiary (“BellRing LLC”), in exchange for 39.4 million BellRing LLC non-voting membership units (the “BellRing LLC units”).</w:t>
      </w:r>
    </w:p>
    <w:p>
      <w:pPr>
        <w:spacing w:after="0" w:line="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a result of the IPO and certain other transactions completed in connection with the IPO (the “formation transactions”), BellRing LLC became the holder of the active nutrition business of Post Holdings, Inc. (“Post”). BellRing Inc., as a holding company, has no material assets other than its ownership of BellRing LLC units and its indirect interests in the subsidiaries of BellRing LLC and has no independent means of generating revenue or cash flow. For additional information on the IPO, see Note 1 within “Notes to Condensed Consolidated Financial Statements.”</w:t>
      </w:r>
    </w:p>
    <w:p>
      <w:pPr>
        <w:spacing w:after="0" w:line="6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members of BellRing LLC are Post and BellRing Inc. BellRing Inc. holds the voting membership unit of BellRing LLC (which represents the power to appoint and remove the members of the Board of Managers of, and no economic interest in, BellRing LLC). BellRing Inc. has the right to appoint the members of the BellRing LLC Board of Managers, and therefore, controls BellRing LLC. The Board of Managers is responsible for the oversight of BellRing LLC’s operations and overall performance and strategy, while the management of the day-to-day operations of the business of BellRing LLC and the execution of business strategy are the responsibility of the officers and employees of BellRing LLC and its subsidiaries. Post, in its capacity as a member of BellRing LLC, does not have the power to appoint any members of the Board of Managers or voting rights with respect to BellRing LLC.</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6"/>
          <w:szCs w:val="16"/>
          <w:color w:val="auto"/>
        </w:rPr>
        <w:t>The COVID-19 pandemic has created, and continues to create, economic disruption and uncertainty both globally and in our business during the three and six months ended March 31, 2021. We continue to closely monitor the impact of the COVID-19 pandemic and developments related thereto, including the number of cases in the United States (“U.S.”), and are taking necessary actions to safeguard the health of our employees, including their economic health, maintain the continuity of our supply chain to serve customers and consumers and preserve our financial liquidity to navigate the uncertainty caused by the pandemic. Examples of actions we have taken in response to the pandemic include enhancing facility safety measures,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encouraging hygiene practices advised by health authorities, mandating face-coverings, restricting business travel and site visitors and implementing remote working for certain office employees. We continue to monitor our practices to remain aligned with federal, state, local and international laws, regulations and guidelines.</w:t>
      </w:r>
    </w:p>
    <w:p>
      <w:pPr>
        <w:spacing w:after="0" w:line="7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effects of the COVID-19 pandemic, including the actions of public health and other governmental officials in response to the pandemic, began to impact the global convenient nutrition category during the second quarter of fiscal 2020, causing volatility in our product sales in fiscal 2020. While the liquid and powder sub-categories have returned to growth relatively in line with pre-COVID-19 pandemic growth rates, as of March 31, 2021, the bar sub-category continues to experience declines. For additional discussion, refer to “Liquidity and Capital Resources” and “Cautionary Statement on Forward-Looking Statements” within this section, as well as “Risk Factors” in Part II of this report.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October 2020, we announced our plan to strategically realign our business, resulting in the closing of our Dallas, Texas office and the downsizing of our Munich, Germany location. These actions are expected to be completed by June 30, 2021. For additional information on restructuring costs, refer to Note 4 within “Notes to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7"/>
          </w:tcPr>
          <w:p>
            <w:pPr>
              <w:ind w:left="40"/>
              <w:spacing w:after="0"/>
              <w:rPr>
                <w:sz w:val="20"/>
                <w:szCs w:val="20"/>
                <w:color w:val="auto"/>
              </w:rPr>
            </w:pPr>
            <w:r>
              <w:rPr>
                <w:rFonts w:ascii="Arial" w:cs="Arial" w:eastAsia="Arial" w:hAnsi="Arial"/>
                <w:sz w:val="16"/>
                <w:szCs w:val="16"/>
                <w:b w:val="1"/>
                <w:bCs w:val="1"/>
                <w:color w:val="auto"/>
                <w:w w:val="96"/>
              </w:rPr>
              <w:t>Three Months Ended March 31,</w:t>
            </w:r>
          </w:p>
        </w:tc>
        <w:tc>
          <w:tcPr>
            <w:tcW w:w="10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3"/>
              </w:rPr>
              <w:t>Six Months Ended March 31,</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rPr>
              <w:t>favorable/(unfavorable)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3"/>
          </w:tcPr>
          <w:p>
            <w:pPr>
              <w:jc w:val="right"/>
              <w:ind w:right="331"/>
              <w:spacing w:after="0"/>
              <w:rPr>
                <w:sz w:val="20"/>
                <w:szCs w:val="20"/>
                <w:color w:val="auto"/>
              </w:rPr>
            </w:pPr>
            <w:r>
              <w:rPr>
                <w:rFonts w:ascii="Arial" w:cs="Arial" w:eastAsia="Arial" w:hAnsi="Arial"/>
                <w:sz w:val="14"/>
                <w:szCs w:val="14"/>
                <w:b w:val="1"/>
                <w:bCs w:val="1"/>
                <w:color w:val="auto"/>
              </w:rPr>
              <w:t>favorable/(unfavorable)</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18"/>
                <w:szCs w:val="18"/>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1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ind w:left="40"/>
              <w:spacing w:after="0"/>
              <w:rPr>
                <w:sz w:val="20"/>
                <w:szCs w:val="20"/>
                <w:color w:val="auto"/>
              </w:rPr>
            </w:pPr>
            <w:r>
              <w:rPr>
                <w:rFonts w:ascii="Arial" w:cs="Arial" w:eastAsia="Arial" w:hAnsi="Arial"/>
                <w:sz w:val="16"/>
                <w:szCs w:val="16"/>
                <w:b w:val="1"/>
                <w:bCs w:val="1"/>
                <w:color w:val="auto"/>
              </w:rPr>
              <w:t>$ Change</w:t>
            </w:r>
          </w:p>
        </w:tc>
        <w:tc>
          <w:tcPr>
            <w:tcW w:w="124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200" w:type="dxa"/>
            <w:vAlign w:val="bottom"/>
          </w:tcPr>
          <w:p>
            <w:pPr>
              <w:spacing w:after="0"/>
              <w:rPr>
                <w:sz w:val="18"/>
                <w:szCs w:val="18"/>
                <w:color w:val="auto"/>
              </w:rPr>
            </w:pPr>
          </w:p>
        </w:tc>
        <w:tc>
          <w:tcPr>
            <w:tcW w:w="700" w:type="dxa"/>
            <w:vAlign w:val="bottom"/>
          </w:tcPr>
          <w:p>
            <w:pPr>
              <w:jc w:val="right"/>
              <w:ind w:right="21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1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rPr>
              <w:t>$ Change</w:t>
            </w:r>
          </w:p>
        </w:tc>
        <w:tc>
          <w:tcPr>
            <w:tcW w:w="1160" w:type="dxa"/>
            <w:vAlign w:val="bottom"/>
          </w:tcPr>
          <w:p>
            <w:pPr>
              <w:jc w:val="right"/>
              <w:ind w:right="131"/>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26"/>
        </w:trPr>
        <w:tc>
          <w:tcPr>
            <w:tcW w:w="224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Net Sales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564.5</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57"/>
        </w:trPr>
        <w:tc>
          <w:tcPr>
            <w:tcW w:w="2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Operating Profit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224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21 %</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Loss on refinancing of debt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224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86 %</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175"/>
        </w:trPr>
        <w:tc>
          <w:tcPr>
            <w:tcW w:w="2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Less: Net earnings</w:t>
            </w: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attributable to NCI</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24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Net Earnings Available to</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2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Class A Common</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5"/>
                <w:szCs w:val="15"/>
                <w:color w:val="auto"/>
              </w:rPr>
            </w:pPr>
          </w:p>
        </w:tc>
        <w:tc>
          <w:tcPr>
            <w:tcW w:w="20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8"/>
        </w:trPr>
        <w:tc>
          <w:tcPr>
            <w:tcW w:w="22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Stockholders</w:t>
            </w:r>
          </w:p>
        </w:tc>
        <w:tc>
          <w:tcPr>
            <w:tcW w:w="20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Net sales increased $24.6 million, or 10%, during the three months ended March 31, 2021, compared to the corresponding prior year period. Sales of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products were up $17.7 million, or 8%, with volume up 7%. Volume increases were driven by higher RTD protein shake product volumes in the food, drug and mass (“FDM”) and eCommerce channels. These positive impacts were partially offset by lower club channel volumes due to lapping increased consumer purchases in response to the COVID-19 pandemic during the second quarter of fiscal 2020. Average net selling prices increased in the three months ended March 31, 2021 due to favorable product mix, partially offset by increased promotional spending. Sales of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products were up $8.0 million, or 29%, with volume up 10%. Volume increases were primarily driven by higher international, club, FDM and eCommerce channel volumes, partially offset by lower specialty channel volumes. Average net selling prices increased in the three months ended March 31, 2021 due to favorable product and customer mix. Sales of all other products were down $1.1 million.</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Net sales increased $63.0 million, or 13%, during the six months ended March 31, 2021, compared to the corresponding prior year period. Sales of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products were up $53.1 million, or 13%, with volume up 14%. Volume increases were driven by higher RTD protein shake product volumes in the FDM and eCommerce channels. These positive impacts were partially offset by lower club channel volumes due to lapping increased consumer purchases in response to the COVID-19 pandemic during the second quarter of fiscal 2020. Average net selling prices decreased in the six months ended March 31, 2021 due to increased promotional spending. Sales of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products were up $12.4 million, or 23%, with volume up 10%. Volume increases were primarily driven by higher club, FDM, eCommerce and international channel volumes, partially offset by lower specialty channel volumes. Average net selling prices increased in the six months ended March 31, 2021 due to favorable product and customer mix. Sales of all other products were down $2.5 million.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w:t>
      </w:r>
    </w:p>
    <w:p>
      <w:pPr>
        <w:spacing w:after="0" w:line="12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 xml:space="preserve">Operating profit decreased $19.5 million, or 56%, during the three months ended March 31, 2021, when compared to the prior year period. This decrease was primarily driven by accelerated amortization expense of $17.7 million related to the discontinuance of the </w:t>
      </w:r>
      <w:r>
        <w:rPr>
          <w:rFonts w:ascii="Arial" w:cs="Arial" w:eastAsia="Arial" w:hAnsi="Arial"/>
          <w:sz w:val="16"/>
          <w:szCs w:val="16"/>
          <w:i w:val="1"/>
          <w:iCs w:val="1"/>
          <w:color w:val="auto"/>
        </w:rPr>
        <w:t>Supreme Protein</w:t>
      </w:r>
      <w:r>
        <w:rPr>
          <w:rFonts w:ascii="Arial" w:cs="Arial" w:eastAsia="Arial" w:hAnsi="Arial"/>
          <w:sz w:val="16"/>
          <w:szCs w:val="16"/>
          <w:color w:val="auto"/>
        </w:rPr>
        <w:t xml:space="preserve"> brand, higher net product costs of $4.4 million due to unfavorable freight and raw material costs and increased advertising and promotional spend of $2.2 million.</w:t>
      </w:r>
    </w:p>
    <w:p>
      <w:pPr>
        <w:spacing w:after="0" w:line="4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Operating profit decreased $21.0 million, or 25%, during the six months ended March 31, 2021, when compared to the prior year period. This decrease was primarily driven by accelerated amortization expense of $18.1 million related to the discontinuance of the </w:t>
      </w:r>
      <w:r>
        <w:rPr>
          <w:rFonts w:ascii="Arial" w:cs="Arial" w:eastAsia="Arial" w:hAnsi="Arial"/>
          <w:sz w:val="16"/>
          <w:szCs w:val="16"/>
          <w:i w:val="1"/>
          <w:iCs w:val="1"/>
          <w:color w:val="auto"/>
        </w:rPr>
        <w:t>Supreme Protein</w:t>
      </w:r>
      <w:r>
        <w:rPr>
          <w:rFonts w:ascii="Arial" w:cs="Arial" w:eastAsia="Arial" w:hAnsi="Arial"/>
          <w:sz w:val="16"/>
          <w:szCs w:val="16"/>
          <w:color w:val="auto"/>
        </w:rPr>
        <w:t xml:space="preserve"> brand, higher net product costs of $10.3 million, as unfavorable raw material and freight costs were only partially offset by lower manufacturing costs, restructuring and facility closure costs, including accelerated depreciation, of $5.5 million and increased advertising and promotional spend of $2.5 million. These negative impacts were partially offset by higher net sales, as previously discussed, and lower costs related to the separation from Post of $1.8 million.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Interest expense, net decreased $3.0 million during the three months ended March 31, 2021 compared to the prior year period. This decrease was primarily due to lower aggregate principal amounts outstanding under BellRing LLC’s term B loan facility (the “Term B Facility”) and under BellRing LLC’s revolving credit facility (the “Revolving Credit Facility”) during the three months ended March 31, 2021 compared to the prior year period. In addition, the weighted-average interest rate on the aggregate principal amounts outstanding on Term B Facility and under the Revolving Credit Facility decreased to 5.6% for the three months ended March 31, 2021 from 6.6% for the three months ended March 31, 2020, driven by lower variable interest rates and the refinancing of the Term B Facility during the second quarter of fiscal 2021. These positive impacts were partially offset by increased net hedging losses (compared to gains in the prior year period) of $0.7 million recognized on interest rate swaps.</w:t>
      </w:r>
    </w:p>
    <w:p>
      <w:pPr>
        <w:spacing w:after="0" w:line="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Interest expense, net decreased $1.8 million during the six months ended March 31, 2021 compared to the prior year period. This decrease was primarily due to lower aggregate principal amounts outstanding under the Term B Facility and under the Revolving Credit Facility during the six months ended March 31, 2021 compared to the prior year period. In addition, the weighted-average interest rate on the aggregate principal amounts outstanding under the Term B Facility and under the Revolving Credit Facility decreased to 5.8% for the six months ended March 31, 2021 from 6.6% for the six months ended March 31, 2020, driven by lower variable interest rates and the refinancing of the Term B Facility during the second quarter of fiscal 2021. These positive impacts were partially offset by increased net hedging losses (compared to gains in the prior year period) of $1.2 million on interest rate swaps. See Note 16 and Note 14 within “Notes to Condensed Consolidated Financial Statements” for additional information on our debt and interest rate swaps,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Refinancing of Debt</w:t>
      </w:r>
    </w:p>
    <w:p>
      <w:pPr>
        <w:spacing w:after="0" w:line="12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During the three and six months ended March 31, 2021, we recognized a $1.5 million loss related to refinancing fees incurred in conjunction with the refinancing of our Term B Facility. See Note 16 within “Notes to Condensed Consolidated Financial Statements” for additional information on our debt.</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effective income tax rate was 10.7% and 6.3% for the three and six months ended March 31, 2021, respectively, and 10.6% and 13.8% for the three and six months ended March 31, 2020, respectively. The decrease in the effective income tax rate for the six months ended March 31, 2021 compared to the prior year period was primarily due to us taking into account for U.S. federal income tax purposes our 28.8% distributive share of the items of income, gain, loss and deduction of BellRing LLC in the period subsequent to the IPO. Prior to the IPO and formation transactions, we reported 100% of the income, gain, loss and deduction of BellRing LLC. In accordance with Accounting Standards Codification (“ASC”) Topic 740, “Income Taxes,” we recorded income tax expense for interim periods using the estimated annual effective income tax rate for the full fiscal year adjusted for the impact of discrete items occurring during the interim periods.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expect to generate positive cash flows from operations and believe our cash on hand, cash flows from operations and possible future credit facilities will be sufficient to satisfy our future working capital requirements, research and development activities and other financing requirements for the foreseeable future. Our asset-light business model requires modest capital expenditures, with annual capital expenditures over the last three fiscal years averaging less than 1% of net sales. No significant capital expenditures are planned for the remainder of fiscal 2021. Our ability to generate positive cash flows from operations is dependent on general economic conditions, competitive pressures and other business risk factors. If we are unable to generate sufficient cash flows from operations, or otherwise to comply with the terms of BellRing LLC’s credit facilities, we may be required to seek additional financing alternatives. Additionally, we may seek to repurchase shares of our Class A Common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 Such repurchases, if any, will depend on prevailing market conditions, our liquidity requirements, contractual restrictions and other factors. The amounts involved may be material.</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During the second quarter of fiscal 2021, BellRing LLC entered into a second amendment to its credit agreement (as amended, the “Credit Agreement,” and such amendment, the “Amendment”). The Amendment provided for the refinancing of the Term B Facility on substantially the same terms as in effect prior to the BellRing Amendment, except that it (i) reduced the interest rate margin by 100 basis points resulting in (A) for Eurodollar rate loans, an interest rate of the Eurodollar rate plus a margin of 4.00% and (B) for base rate loans, an interest rate of the base rate plus a margin of 3.00%, (ii) reduced the floor for the Eurodollar rate to 0.75%, (iii) modified the Credit Agreement to address the anticipated unavailability of LIBOR as a reference interest rate and (iv) provided that if on or before August 26, 2021 BellRing LLC repays the Term B Facility in whole or in part with the proceeds of new or replacement debt at a lower effective interest rate, or further amends the Credit Agreement to reduce the effective interest rate applicable to the Term B Facility, BellRing LLC must pay a 1.00% premium on the amount repaid or subject to the interest rate reduction.</w:t>
      </w:r>
    </w:p>
    <w:p>
      <w:pPr>
        <w:sectPr>
          <w:pgSz w:w="11900" w:h="16838" w:orient="portrait"/>
          <w:cols w:equalWidth="0" w:num="1">
            <w:col w:w="11240"/>
          </w:cols>
          <w:pgMar w:left="320" w:top="125" w:right="339" w:bottom="1440" w:gutter="0" w:footer="0" w:header="0"/>
        </w:sectPr>
      </w:pPr>
    </w:p>
    <w:p>
      <w:pPr>
        <w:spacing w:after="0" w:line="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shows select cash flow data, which is discussed below.</w:t>
      </w: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Investing activities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Effect of exchange rate changes on cash and cash equivalents</w:t>
      </w:r>
    </w:p>
    <w:p>
      <w:pPr>
        <w:spacing w:after="0" w:line="6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Net (decrease) increase in cash and cash equivalents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Six Months Ended</w:t>
      </w:r>
    </w:p>
    <w:p>
      <w:pPr>
        <w:jc w:val="center"/>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6"/>
                <w:szCs w:val="16"/>
                <w:b w:val="1"/>
                <w:bCs w:val="1"/>
                <w:color w:val="auto"/>
              </w:rPr>
              <w:t>2020</w:t>
            </w:r>
          </w:p>
        </w:tc>
      </w:tr>
      <w:tr>
        <w:trPr>
          <w:trHeight w:val="441"/>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73.8</w:t>
            </w:r>
          </w:p>
        </w:tc>
        <w:tc>
          <w:tcPr>
            <w:tcW w:w="1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480"/>
              <w:spacing w:after="0"/>
              <w:rPr>
                <w:sz w:val="20"/>
                <w:szCs w:val="20"/>
                <w:color w:val="auto"/>
              </w:rPr>
            </w:pPr>
            <w:r>
              <w:rPr>
                <w:rFonts w:ascii="Arial" w:cs="Arial" w:eastAsia="Arial" w:hAnsi="Arial"/>
                <w:sz w:val="18"/>
                <w:szCs w:val="18"/>
                <w:color w:val="auto"/>
                <w:w w:val="97"/>
              </w:rPr>
              <w:t>(5.1)</w:t>
            </w:r>
          </w:p>
        </w:tc>
      </w:tr>
      <w:tr>
        <w:trPr>
          <w:trHeight w:val="230"/>
        </w:trPr>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ind w:left="480"/>
              <w:spacing w:after="0"/>
              <w:rPr>
                <w:sz w:val="20"/>
                <w:szCs w:val="20"/>
                <w:color w:val="auto"/>
              </w:rPr>
            </w:pPr>
            <w:r>
              <w:rPr>
                <w:rFonts w:ascii="Arial" w:cs="Arial" w:eastAsia="Arial" w:hAnsi="Arial"/>
                <w:sz w:val="18"/>
                <w:szCs w:val="18"/>
                <w:color w:val="auto"/>
                <w:w w:val="97"/>
              </w:rPr>
              <w:t>(1.2)</w:t>
            </w:r>
          </w:p>
        </w:tc>
      </w:tr>
      <w:tr>
        <w:trPr>
          <w:trHeight w:val="229"/>
        </w:trPr>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ind w:left="480"/>
              <w:spacing w:after="0"/>
              <w:rPr>
                <w:sz w:val="20"/>
                <w:szCs w:val="20"/>
                <w:color w:val="auto"/>
              </w:rPr>
            </w:pPr>
            <w:r>
              <w:rPr>
                <w:rFonts w:ascii="Arial" w:cs="Arial" w:eastAsia="Arial" w:hAnsi="Arial"/>
                <w:sz w:val="18"/>
                <w:szCs w:val="18"/>
                <w:color w:val="auto"/>
              </w:rPr>
              <w:t>77.6</w:t>
            </w:r>
          </w:p>
        </w:tc>
      </w:tr>
      <w:tr>
        <w:trPr>
          <w:trHeight w:val="230"/>
        </w:trPr>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97"/>
              </w:rPr>
              <w:t>(0.1)</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71.2</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525" w:lineRule="exact"/>
        <w:rPr>
          <w:sz w:val="20"/>
          <w:szCs w:val="20"/>
          <w:color w:val="auto"/>
        </w:rPr>
      </w:pPr>
    </w:p>
    <w:p>
      <w:pPr>
        <w:sectPr>
          <w:pgSz w:w="11900" w:h="16838" w:orient="portrait"/>
          <w:cols w:equalWidth="0" w:num="2">
            <w:col w:w="8180" w:space="720"/>
            <w:col w:w="2340"/>
          </w:cols>
          <w:pgMar w:left="320" w:top="125" w:right="339" w:bottom="1440" w:gutter="0" w:footer="0" w:header="0"/>
          <w:type w:val="continuous"/>
        </w:sectPr>
      </w:pPr>
    </w:p>
    <w:p>
      <w:pPr>
        <w:jc w:val="both"/>
        <w:ind w:firstLine="324"/>
        <w:spacing w:after="0" w:line="254" w:lineRule="auto"/>
        <w:rPr>
          <w:sz w:val="20"/>
          <w:szCs w:val="20"/>
          <w:color w:val="auto"/>
        </w:rPr>
      </w:pPr>
      <w:r>
        <w:rPr>
          <w:rFonts w:ascii="Arial" w:cs="Arial" w:eastAsia="Arial" w:hAnsi="Arial"/>
          <w:sz w:val="18"/>
          <w:szCs w:val="18"/>
          <w:color w:val="auto"/>
        </w:rPr>
        <w:t>Cash provided by operating activities for the six months ended March 31, 2021 was $73.8 million compared to cash used in operating activities of $5.1 million for the six months ended March 31, 2020. The increase was primarily driven by favorable working capital changes of $71.3 million, which were primarily due to fluctuations in the timing of purchases and payments of trade payables, the build up of inventory in the prior year period related to the timing of promotional activity and fluctuations in the timing of sales and collections of trade receivables. In addition, interest payments decreased $3.1 million compared to the prior year period due to lower aggregate principal amounts outstanding under the Term B Facility and Revolving Credit Facility, as well as the refinancing of the Term B Facility. These positive impacts were partially offset by increased tax payments of $1.8 million and restructuring costs payments of $3.7 million</w:t>
      </w:r>
      <w:r>
        <w:rPr>
          <w:rFonts w:ascii="Arial" w:cs="Arial" w:eastAsia="Arial" w:hAnsi="Arial"/>
          <w:sz w:val="18"/>
          <w:szCs w:val="18"/>
          <w:color w:val="EE2724"/>
        </w:rPr>
        <w: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used in investing activities for the six months ended March 31, 2021 decreased $0.7 million compared to the prior year period resulting from a decrease in capital expenditures.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March 31, 2021</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Cash used in financing activities for the six months ended March 31, 2021 was $89.4 million. BellRing LLC drew an aggregate of $20.0 million under the Revolving Credit Facility, repaid $46.3 million on the principal balance of the Term B Facility and repaid $50.0 million on the Revolving Credit Facility during the period. In addition, BellRing LLC had net cash transfers of $10.7 million to Post which included tax distributions to Post pursuant to BellRing LLC’s amended and restated limited liability company agreement and state tax withholdings payments on behalf of Post.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March 31, 2020</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Cash provided by financing activities for the six months ended March 31, 2020 was $77.6 million. BellRing LLC received proceeds of $686.0 million, net of discount, related to the issuance of the Term B Facility and drew an aggregate of $185.0 million on the Revolving Credit Facility. In addition, BellRing Inc. received $524.4 million from the issuance of its Class A Common Stock in conjunction with the IPO. BellRing LLC had net cash transfers of $9.5 million to Post which included cash deposits prior to the IPO and a tax distribution to Post pursuant to BellRing LLC’s amended and restated limited liability company agreement. BellRing LLC also repaid the $1,225.0 million outstanding principal balance of the bridge loan assumed from Post in conjunction with the IPO, repaid $65.0 million of outstanding borrowings on the Revolving Credit Facility and repaid $8.7 million on the principal balance of the Term B Facility. In connection with the issuance of BellRing LLC’s long-term debt, BellRing LLC paid $9.6 million in debt issuance costs and deferred financing fees.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12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Under the terms of the Credit Agreement, BellRing LLC is required to comply with a financial covenant requiring BellRing LLC to maintain a total net leverage ratio (as defined in the Credit Agreement) not to exceed 6.00 to 1.00, measured as of the last day of each fiscal quarter. BellRing LLC was in compliance with its financial covenant as of March 31, 2021, and we do not believe non-compliance is reasonably likely in the foreseeable future.</w:t>
      </w:r>
    </w:p>
    <w:p>
      <w:pPr>
        <w:spacing w:after="0" w:line="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Credit Agreement provides for incremental revolving and term facilities, and also permits BellRing LLC to incur other secured or unsecured debt, in all cases subject to conditions and limitations on the amount as defined and specified in the Credit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critical accounting policies and estimates are more fully described in our Annual Report on Form 10-K for the year ended September 30, 2020, as filed with the Securities and Exchange Commission (“SEC”) on November 20, 2020. There have been no significant changes to our critical accounting policies and estimates since September 30, 2020.</w:t>
      </w:r>
    </w:p>
    <w:p>
      <w:pPr>
        <w:spacing w:after="0" w:line="180"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2 within “Notes to Condensed Consolidated Financial Statements” for a discussion regarding recently issued accounting standards.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ON FORWARD-LOOKING STATEMENTS</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Forward-looking statements, within the meaning of Section 27A of the Securities Act of 1933, as amended, and Section 21E of the Securities Exchange Act of 1934, as amended (the “Exchange Act”), are made throughout this report, including statements regarding the effect of the COVID-19 pandemic on our business and our continuing response to the COVID-19 pandemic.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elsewhere in this report. Our results of operations, financial condition and cash flows may differ materially from those in the forward-looking statements. Such statements are based on management’s current views and assumptions and involve risks and uncertainties that could affect expected results. Those risks and uncertainties include, but are not limited to, the following:</w:t>
      </w:r>
    </w:p>
    <w:p>
      <w:pPr>
        <w:spacing w:after="0" w:line="70" w:lineRule="exact"/>
        <w:rPr>
          <w:sz w:val="20"/>
          <w:szCs w:val="20"/>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COVID-19 pandemic, including negative impacts on the global economy and capital markets, the health of our employees, our ability and the ability of our third party manufacturers to manufacture and deliver our products, operating costs, demand for our on-the-go products and our operations generally;</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sales from our RTD protein shakes;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continue to compete in our product categories and our ability to retain our market position and favorable perceptions of our brands;</w:t>
      </w:r>
    </w:p>
    <w:p>
      <w:pPr>
        <w:spacing w:after="0" w:line="140"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a limited number of third party contract manufacturers and suppliers for the manufacturing of most of our products, including one manufacturer for the substantial majority of our RTD protein shakes;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a limited number of third party suppliers to provide certain ingredients and packaging;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significant volatility in the cost or availability of inputs to our business (including freight, raw materials, packaging, energy and other supplies);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anticipate and respond to changes in consumer and customer preferences and behaviors and introduce new products;</w:t>
      </w:r>
    </w:p>
    <w:p>
      <w:pPr>
        <w:spacing w:after="0" w:line="117"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disruptions or inefficiencies in our supply chain, including as a result of our reliance on third party suppliers or manufacturers for the manufacturing of many of our products, pandemics (including the COVID-19 pandemic) and other outbreaks of contagious diseases, fires and evacuations related thereto, changes in weather conditions, natural disasters, agricultural diseases and pests and other events beyond our control;</w:t>
      </w:r>
    </w:p>
    <w:p>
      <w:pPr>
        <w:spacing w:after="0" w:line="40"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consolidation in our distribution channels;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expand existing market penetration and enter into new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allegations that our products cause injury or illness, product recalls and withdrawals and product liability claims and other litigation;</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legal and regulatory factors, such as compliance with existing laws and regulations, as well as new laws and regulations and changes to existing laws and regulations and interpretations thereof, affecting our business, including current and future laws and regulations regarding food safety, advertising and labeling;</w:t>
      </w:r>
    </w:p>
    <w:p>
      <w:pPr>
        <w:spacing w:after="0" w:line="7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identify, complete and integrate or otherwise effectively execute acquisitions or other strategic transactions and effectively manage our growth;</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our business due to changes in our promotional activities and seasonality;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our international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of, a significant reduction of purchases by or the bankruptcy of a major customer;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ultimate impact litigation or other regulatory matters may have on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accuracy of our market data and attributes and related information;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estimates in critical accounting judgments;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downturns that limit customer and consumer demand for our products;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economic conditions, disruptions in the U.S. and global capital and credit markets, changes in interest rates, volatility in the market value of derivatives and fluctuations in foreign currency exchange rates;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other assets and to continue to use third party intellectual property subject to intellectual property licenses;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business disruptions and reputational damage associated with information technology failures, cybersecurity incidents and/or information security breaches;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impairment in the carrying value of goodwill or other intangibles;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high leverage, our ability to obtain additional financing (including both secured and unsecured debt) and our ability to service our outstanding debt (including covenants that restrict the operation of our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related to our ongoing relationship with Post, including Post’s control over us;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ability to control the direction of our business, conflicts of interest or disputes that may arise between Post and us and our obligations under various agreements with Post, including under the tax receivable agreement;</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our public company status, including the additional expenses we will continue to incur to create and maintain the corporate infrastructure to operate as a public company;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satisfy the requirements of Section 404 of the Sarbanes-Oxley Act of 2002;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differences in our actual operating results from our guidance regarding our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hire and retain talented personnel, employee absenteeism, labor strikes, work stoppages or unionization efforts; and</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included under “Risk Factors” in this report and in our Annual Report on Form 10-K for the fiscal year ended September 30, 2020, filed with the SEC on November 20, 2020.</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Moreover, we undertake no obligation to update publicly any forward-looking statements for any reason after the date of this report to conform these statements to actual results or to changes in our expectations.</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COVID-19 pandemic has resulted in significant volatility and uncertainty in the markets in which the Company operates. At the time of this filing, the COVID-19 pandemic has not had, and the Company does not currently believe will have, a significant impact on its exposure to market risk from commodity prices, foreign currency exchange rates and interest rates, among others. For additional discussion, refer to “Liquidity and Capital Resources” and “Cautionary Statement on Forward-Looking Statements” within Item 2 of Part I of this report, as well as “Risk Factors” in Part II of this report.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ordinary course of business, the Company is exposed to commodity price risks relating to the purchases of raw materials. The Company manages the impact of cost increases, wherever possible, on commercially reasonable terms, by locking in prices on the quantities through purchase commitments required to meet production requirements. In addition, the Company may attempt to offset the effect of increased costs by raising prices to customers. However, for competitive reasons, the Company may not be able to pass along the full effect of increases in raw materials and other input costs as they are incurred.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Related to Active Nutrition International GmbH whose functional currency is the Euro, the Company is exposed to risks of fluctuations in future cash flows and earnings due to changes in exchange rates.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March 31, 2021 and September 30, 2020, BellRing LLC had aggregate principal amounts of $627.4 million and $673.7 million outstanding on its Term B Facility, respectively, and aggregate principal amounts of zero and $30.0 million outstanding under its Revolving Credit Facility, respectively. Borrowings under the Term B Facility and the Revolving Credit Facility bear interest at variable rates. Including the impact of interest rate swaps, a hypothetical 10% increase in interest rates would have an immaterial impact on both interest expense and interest paid during each of the three and six months ended March 31, 2021 and 2020. For additional information regarding BellRing LLC’s debt, see Note 16 within “Notes to Condensed Consolidated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both March 31, 2021 and September 30, 2020, the Company had interest rate swaps with a notional value of $350.0 million. A hypothetical 10% adverse change in interest rates would have an immaterial impact on the fair value of the interest rate swaps as of both March 31, 2021 and September 30, 2020. For additional information regarding the Company’s interest rate swap contracts, see Note 14 within “Notes to Condensed Consolidated Financial Statements.”</w:t>
      </w:r>
    </w:p>
    <w:p>
      <w:pPr>
        <w:spacing w:after="0" w:line="1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Management, with the Executive Chairman, Chief Executive Officer (“CEO”) and Chief Financial Officer (“CFO”) of the Company, has evaluated the effectiveness of its disclosure controls and procedures (as defined in Rules 13a-15(e) and 15d-15(e) under the Exchange Act) as of the end of the period covered by this report. Based on that evaluation, the Executive Chairman, CEO and CFO concluded that, as of the end of the period covered by this report, the Company’s disclosure controls and procedures were effective to provide reasonable assurance of achieving the desired control objectives.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significant changes in the Company’s internal control over financial reporting during the quarter ended March 31, 2021,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II.</w:t>
        <w:tab/>
        <w:t>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right="80" w:firstLine="324"/>
        <w:spacing w:after="0" w:line="241" w:lineRule="auto"/>
        <w:rPr>
          <w:sz w:val="20"/>
          <w:szCs w:val="20"/>
          <w:color w:val="auto"/>
        </w:rPr>
      </w:pPr>
      <w:r>
        <w:rPr>
          <w:rFonts w:ascii="Arial" w:cs="Arial" w:eastAsia="Arial" w:hAnsi="Arial"/>
          <w:sz w:val="18"/>
          <w:szCs w:val="18"/>
          <w:color w:val="auto"/>
        </w:rPr>
        <w:t>The information required under this Item 1 is set forth in Note 17 within “Notes to Condensed Consolidated Financial Statements (Unaudited)” included in Part I, Item 1 of this report, which is incorporated herein by reference. For disclosure of environmental proceedings with a governmental entity as a party pursuant to Item 103(c)(3)(iii) of Regulation S-K, the Company has elected to disclose matters where the Company reasonably believes such proceeding would result in monetary sanctions, exclusive of interest and costs, of $1.0 million or more. Applying this threshold, there are no such environmental proceedings to disclose for the three months ended March 31, 2021.</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to the information set forth elsewhere in this Quarterly Report on Form 10-Q, you should carefully consider the risk factors we previously disclosed in our Annual Report on Form 10-K, filed with the United States Securities and Exchange Commission on November 20, 2020, as of and for the year ended September 30, 2020. These risks could materially and adversely affect our business, financial condition, results of operations and cash flows. The enumerated risks have been or may be heightened, or in some cases manifested, by the impacts of the COVID-19 pandemic and are not the only risks we face. Additional risks and uncertainties not presently known to us or that we currently deem immaterial also may impair our business, financial condition, results of operations and cash flows.</w:t>
      </w:r>
    </w:p>
    <w:p>
      <w:pPr>
        <w:spacing w:after="0" w:line="18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following table sets forth information with respect to shares of our Class A common stock, $0.01 par value per share, that we purchased during the three months ended March 31, 2021.</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1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Average Price</w:t>
            </w:r>
          </w:p>
        </w:tc>
        <w:tc>
          <w:tcPr>
            <w:tcW w:w="2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 Dollar Value of</w:t>
            </w:r>
          </w:p>
        </w:tc>
        <w:tc>
          <w:tcPr>
            <w:tcW w:w="0" w:type="dxa"/>
            <w:vAlign w:val="bottom"/>
          </w:tcPr>
          <w:p>
            <w:pPr>
              <w:spacing w:after="0"/>
              <w:rPr>
                <w:sz w:val="1"/>
                <w:szCs w:val="1"/>
                <w:color w:val="auto"/>
              </w:rPr>
            </w:pPr>
          </w:p>
        </w:tc>
      </w:tr>
      <w:tr>
        <w:trPr>
          <w:trHeight w:val="176"/>
        </w:trPr>
        <w:tc>
          <w:tcPr>
            <w:tcW w:w="340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27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Shares that May Yet be Purchased</w:t>
            </w:r>
          </w:p>
        </w:tc>
        <w:tc>
          <w:tcPr>
            <w:tcW w:w="0" w:type="dxa"/>
            <w:vAlign w:val="bottom"/>
          </w:tcPr>
          <w:p>
            <w:pPr>
              <w:spacing w:after="0"/>
              <w:rPr>
                <w:sz w:val="1"/>
                <w:szCs w:val="1"/>
                <w:color w:val="auto"/>
              </w:rPr>
            </w:pPr>
          </w:p>
        </w:tc>
      </w:tr>
      <w:tr>
        <w:trPr>
          <w:trHeight w:val="176"/>
        </w:trPr>
        <w:tc>
          <w:tcPr>
            <w:tcW w:w="3400" w:type="dxa"/>
            <w:vAlign w:val="bottom"/>
            <w:vMerge w:val="restart"/>
          </w:tcPr>
          <w:p>
            <w:pPr>
              <w:ind w:left="1460"/>
              <w:spacing w:after="0"/>
              <w:rPr>
                <w:sz w:val="20"/>
                <w:szCs w:val="20"/>
                <w:color w:val="auto"/>
              </w:rPr>
            </w:pPr>
            <w:r>
              <w:rPr>
                <w:rFonts w:ascii="Arial" w:cs="Arial" w:eastAsia="Arial" w:hAnsi="Arial"/>
                <w:sz w:val="18"/>
                <w:szCs w:val="18"/>
                <w:b w:val="1"/>
                <w:bCs w:val="1"/>
                <w:color w:val="auto"/>
              </w:rPr>
              <w:t>Period</w:t>
            </w:r>
          </w:p>
        </w:tc>
        <w:tc>
          <w:tcPr>
            <w:tcW w:w="13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of Shares</w:t>
            </w:r>
          </w:p>
        </w:tc>
        <w:tc>
          <w:tcPr>
            <w:tcW w:w="11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Paid per</w:t>
            </w:r>
          </w:p>
        </w:tc>
        <w:tc>
          <w:tcPr>
            <w:tcW w:w="27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Purchased as Part of Publicly</w:t>
            </w:r>
          </w:p>
        </w:tc>
        <w:tc>
          <w:tcPr>
            <w:tcW w:w="27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Under the Plans or Programs (a)</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Share (a)</w:t>
            </w: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Announced Plans or Programs (b)</w:t>
            </w: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(b)</w:t>
            </w:r>
          </w:p>
        </w:tc>
        <w:tc>
          <w:tcPr>
            <w:tcW w:w="0" w:type="dxa"/>
            <w:vAlign w:val="bottom"/>
          </w:tcPr>
          <w:p>
            <w:pPr>
              <w:spacing w:after="0"/>
              <w:rPr>
                <w:sz w:val="1"/>
                <w:szCs w:val="1"/>
                <w:color w:val="auto"/>
              </w:rPr>
            </w:pPr>
          </w:p>
        </w:tc>
      </w:tr>
      <w:tr>
        <w:trPr>
          <w:trHeight w:val="22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 2021 - January 31, 2021</w:t>
            </w:r>
          </w:p>
        </w:tc>
        <w:tc>
          <w:tcPr>
            <w:tcW w:w="1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700" w:type="dxa"/>
            <w:vAlign w:val="bottom"/>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$60,000,000</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February 1, 2021 - February 28, 2021</w:t>
            </w:r>
          </w:p>
        </w:tc>
        <w:tc>
          <w:tcPr>
            <w:tcW w:w="1300" w:type="dxa"/>
            <w:vAlign w:val="bottom"/>
          </w:tcPr>
          <w:p>
            <w:pPr>
              <w:ind w:left="1060"/>
              <w:spacing w:after="0"/>
              <w:rPr>
                <w:sz w:val="20"/>
                <w:szCs w:val="20"/>
                <w:color w:val="auto"/>
              </w:rPr>
            </w:pPr>
            <w:r>
              <w:rPr>
                <w:rFonts w:ascii="Arial" w:cs="Arial" w:eastAsia="Arial" w:hAnsi="Arial"/>
                <w:sz w:val="18"/>
                <w:szCs w:val="18"/>
                <w:color w:val="auto"/>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2700" w:type="dxa"/>
            <w:vAlign w:val="bottom"/>
          </w:tcPr>
          <w:p>
            <w:pPr>
              <w:ind w:left="2440"/>
              <w:spacing w:after="0"/>
              <w:rPr>
                <w:sz w:val="20"/>
                <w:szCs w:val="20"/>
                <w:color w:val="auto"/>
              </w:rPr>
            </w:pPr>
            <w:r>
              <w:rPr>
                <w:rFonts w:ascii="Arial" w:cs="Arial" w:eastAsia="Arial" w:hAnsi="Arial"/>
                <w:sz w:val="18"/>
                <w:szCs w:val="18"/>
                <w:color w:val="auto"/>
              </w:rPr>
              <w:t>—</w:t>
            </w:r>
          </w:p>
        </w:tc>
        <w:tc>
          <w:tcPr>
            <w:tcW w:w="2700" w:type="dxa"/>
            <w:vAlign w:val="bottom"/>
          </w:tcPr>
          <w:p>
            <w:pPr>
              <w:jc w:val="right"/>
              <w:spacing w:after="0"/>
              <w:rPr>
                <w:sz w:val="20"/>
                <w:szCs w:val="20"/>
                <w:color w:val="auto"/>
              </w:rPr>
            </w:pPr>
            <w:r>
              <w:rPr>
                <w:rFonts w:ascii="Arial" w:cs="Arial" w:eastAsia="Arial" w:hAnsi="Arial"/>
                <w:sz w:val="18"/>
                <w:szCs w:val="18"/>
                <w:color w:val="auto"/>
              </w:rPr>
              <w:t>$60,000,000</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2021 - March 31, 2021</w:t>
            </w: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700" w:type="dxa"/>
            <w:vAlign w:val="bottom"/>
            <w:tcBorders>
              <w:bottom w:val="single" w:sz="8" w:color="auto"/>
            </w:tcBorders>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$60,000,000</w:t>
            </w:r>
          </w:p>
        </w:tc>
        <w:tc>
          <w:tcPr>
            <w:tcW w:w="0" w:type="dxa"/>
            <w:vAlign w:val="bottom"/>
          </w:tcPr>
          <w:p>
            <w:pPr>
              <w:spacing w:after="0"/>
              <w:rPr>
                <w:sz w:val="1"/>
                <w:szCs w:val="1"/>
                <w:color w:val="auto"/>
              </w:rPr>
            </w:pPr>
          </w:p>
        </w:tc>
      </w:tr>
      <w:tr>
        <w:trPr>
          <w:trHeight w:val="224"/>
        </w:trPr>
        <w:tc>
          <w:tcPr>
            <w:tcW w:w="3400" w:type="dxa"/>
            <w:vAlign w:val="bottom"/>
          </w:tcPr>
          <w:p>
            <w:pPr>
              <w:ind w:left="20"/>
              <w:spacing w:after="0"/>
              <w:rPr>
                <w:sz w:val="20"/>
                <w:szCs w:val="20"/>
                <w:color w:val="auto"/>
              </w:rPr>
            </w:pPr>
            <w:r>
              <w:rPr>
                <w:rFonts w:ascii="Arial" w:cs="Arial" w:eastAsia="Arial" w:hAnsi="Arial"/>
                <w:sz w:val="18"/>
                <w:szCs w:val="18"/>
                <w:color w:val="auto"/>
              </w:rPr>
              <w:t>Total</w:t>
            </w:r>
          </w:p>
        </w:tc>
        <w:tc>
          <w:tcPr>
            <w:tcW w:w="1300" w:type="dxa"/>
            <w:vAlign w:val="bottom"/>
          </w:tcPr>
          <w:p>
            <w:pPr>
              <w:ind w:left="10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2700" w:type="dxa"/>
            <w:vAlign w:val="bottom"/>
          </w:tcPr>
          <w:p>
            <w:pPr>
              <w:ind w:left="2440"/>
              <w:spacing w:after="0"/>
              <w:rPr>
                <w:sz w:val="20"/>
                <w:szCs w:val="20"/>
                <w:color w:val="auto"/>
              </w:rPr>
            </w:pPr>
            <w:r>
              <w:rPr>
                <w:rFonts w:ascii="Arial" w:cs="Arial" w:eastAsia="Arial" w:hAnsi="Arial"/>
                <w:sz w:val="18"/>
                <w:szCs w:val="18"/>
                <w:color w:val="auto"/>
              </w:rPr>
              <w:t>—</w:t>
            </w:r>
          </w:p>
        </w:tc>
        <w:tc>
          <w:tcPr>
            <w:tcW w:w="2700" w:type="dxa"/>
            <w:vAlign w:val="bottom"/>
          </w:tcPr>
          <w:p>
            <w:pPr>
              <w:jc w:val="right"/>
              <w:spacing w:after="0"/>
              <w:rPr>
                <w:sz w:val="20"/>
                <w:szCs w:val="20"/>
                <w:color w:val="auto"/>
              </w:rPr>
            </w:pPr>
            <w:r>
              <w:rPr>
                <w:rFonts w:ascii="Arial" w:cs="Arial" w:eastAsia="Arial" w:hAnsi="Arial"/>
                <w:sz w:val="18"/>
                <w:szCs w:val="18"/>
                <w:color w:val="auto"/>
              </w:rPr>
              <w:t>$60,000,000</w:t>
            </w:r>
          </w:p>
        </w:tc>
        <w:tc>
          <w:tcPr>
            <w:tcW w:w="0" w:type="dxa"/>
            <w:vAlign w:val="bottom"/>
          </w:tcPr>
          <w:p>
            <w:pPr>
              <w:spacing w:after="0"/>
              <w:rPr>
                <w:sz w:val="1"/>
                <w:szCs w:val="1"/>
                <w:color w:val="auto"/>
              </w:rPr>
            </w:pPr>
          </w:p>
        </w:tc>
      </w:tr>
    </w:tbl>
    <w:p>
      <w:pPr>
        <w:spacing w:after="0" w:line="336"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Does not include broker’s commissions.</w:t>
      </w:r>
    </w:p>
    <w:p>
      <w:pPr>
        <w:spacing w:after="0" w:line="117" w:lineRule="exact"/>
        <w:rPr>
          <w:rFonts w:ascii="Arial" w:cs="Arial" w:eastAsia="Arial" w:hAnsi="Arial"/>
          <w:sz w:val="18"/>
          <w:szCs w:val="18"/>
          <w:color w:val="auto"/>
        </w:rPr>
      </w:pPr>
    </w:p>
    <w:p>
      <w:pPr>
        <w:jc w:val="both"/>
        <w:ind w:left="340" w:hanging="332"/>
        <w:spacing w:after="0" w:line="286" w:lineRule="auto"/>
        <w:tabs>
          <w:tab w:leader="none" w:pos="334"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November 12, 2020, the Company’s Board of Directors approved a $60,000,000 share repurchase authorization (the “Authorization”). The Authorization was effective November 12, 2020 and expires on November 12, 2022. Repurchases may be made from time to time in the open market, private purchases, through forward, derivative, alternative, accelerated repurchase or automatic purchase transactions, or otherwise.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either provided with this Form 10-Q or are incorporated herein by reference.</w:t>
      </w:r>
    </w:p>
    <w:p>
      <w:pPr>
        <w:spacing w:after="0" w:line="158"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077585" cy="265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77585" cy="265430"/>
                    </a:xfrm>
                    <a:prstGeom prst="rect">
                      <a:avLst/>
                    </a:prstGeom>
                    <a:noFill/>
                  </pic:spPr>
                </pic:pic>
              </a:graphicData>
            </a:graphic>
          </wp:anchor>
        </w:drawing>
      </w:r>
    </w:p>
    <w:p>
      <w:pPr>
        <w:spacing w:after="0" w:line="10" w:lineRule="exact"/>
        <w:rPr>
          <w:sz w:val="20"/>
          <w:szCs w:val="20"/>
          <w:color w:val="auto"/>
        </w:rPr>
      </w:pPr>
    </w:p>
    <w:p>
      <w:pPr>
        <w:ind w:left="400"/>
        <w:spacing w:after="0"/>
        <w:tabs>
          <w:tab w:leader="none" w:pos="124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hyperlink r:id="rId42">
        <w:r>
          <w:rPr>
            <w:rFonts w:ascii="Arial" w:cs="Arial" w:eastAsia="Arial" w:hAnsi="Arial"/>
            <w:sz w:val="16"/>
            <w:szCs w:val="16"/>
            <w:u w:val="single" w:color="auto"/>
            <w:color w:val="0000FF"/>
          </w:rPr>
          <w:t>Amended and Restated Certificate of Incorporation of BellRing Brands, Inc. (Incorporated by reference to Exhibit</w:t>
        </w:r>
      </w:hyperlink>
    </w:p>
    <w:p>
      <w:pPr>
        <w:ind w:left="1260"/>
        <w:spacing w:after="0"/>
        <w:rPr>
          <w:rFonts w:ascii="Arial" w:cs="Arial" w:eastAsia="Arial" w:hAnsi="Arial"/>
          <w:sz w:val="18"/>
          <w:szCs w:val="18"/>
          <w:u w:val="single" w:color="auto"/>
          <w:color w:val="0000FF"/>
        </w:rPr>
      </w:pPr>
      <w:hyperlink r:id="rId42">
        <w:r>
          <w:rPr>
            <w:rFonts w:ascii="Arial" w:cs="Arial" w:eastAsia="Arial" w:hAnsi="Arial"/>
            <w:sz w:val="18"/>
            <w:szCs w:val="18"/>
            <w:u w:val="single" w:color="auto"/>
            <w:color w:val="0000FF"/>
          </w:rPr>
          <w:t>3.1 to the Company’s Form 8-K filed on October 21, 2019)</w:t>
        </w:r>
      </w:hyperlink>
    </w:p>
    <w:p>
      <w:pPr>
        <w:spacing w:after="0" w:line="7" w:lineRule="exact"/>
        <w:rPr>
          <w:sz w:val="20"/>
          <w:szCs w:val="20"/>
          <w:color w:val="auto"/>
        </w:rPr>
      </w:pPr>
    </w:p>
    <w:p>
      <w:pPr>
        <w:ind w:left="1260" w:right="579" w:hanging="845"/>
        <w:spacing w:after="0" w:line="23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43">
        <w:r>
          <w:rPr>
            <w:rFonts w:ascii="Arial" w:cs="Arial" w:eastAsia="Arial" w:hAnsi="Arial"/>
            <w:sz w:val="18"/>
            <w:szCs w:val="18"/>
            <w:u w:val="single" w:color="auto"/>
            <w:color w:val="0000FF"/>
          </w:rPr>
          <w:t>Amended and Restated Bylaws of BellRing Brands, Inc. (Incorporated by reference to Exhibit 3.1 to the</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Company’s Form 8-K filed on January 19,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077585" cy="257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6077585" cy="257175"/>
                    </a:xfrm>
                    <a:prstGeom prst="rect">
                      <a:avLst/>
                    </a:prstGeom>
                    <a:noFill/>
                  </pic:spPr>
                </pic:pic>
              </a:graphicData>
            </a:graphic>
          </wp:anchor>
        </w:drawing>
      </w:r>
    </w:p>
    <w:p>
      <w:pPr>
        <w:ind w:left="1260" w:right="579" w:hanging="845"/>
        <w:spacing w:after="0" w:line="23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45">
        <w:r>
          <w:rPr>
            <w:rFonts w:ascii="Arial" w:cs="Arial" w:eastAsia="Arial" w:hAnsi="Arial"/>
            <w:sz w:val="18"/>
            <w:szCs w:val="18"/>
            <w:u w:val="single" w:color="auto"/>
            <w:color w:val="0000FF"/>
          </w:rPr>
          <w:t>Form of Class A Common Stock Certificate of BellRing Brands, Inc. (Incorporated by reference to Exhibit 4.1 to</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the Company’s Form S-1 filed on September 20, 2019)</w:t>
        </w:r>
      </w:hyperlink>
    </w:p>
    <w:p>
      <w:pPr>
        <w:spacing w:after="0" w:line="1" w:lineRule="exact"/>
        <w:rPr>
          <w:sz w:val="20"/>
          <w:szCs w:val="20"/>
          <w:color w:val="auto"/>
        </w:rPr>
      </w:pPr>
    </w:p>
    <w:p>
      <w:pPr>
        <w:jc w:val="both"/>
        <w:ind w:left="1260" w:right="579" w:hanging="935"/>
        <w:spacing w:after="0" w:line="232" w:lineRule="auto"/>
        <w:tabs>
          <w:tab w:leader="none" w:pos="1240" w:val="left"/>
        </w:tabs>
        <w:rPr>
          <w:rFonts w:ascii="Arial" w:cs="Arial" w:eastAsia="Arial" w:hAnsi="Arial"/>
          <w:sz w:val="17"/>
          <w:szCs w:val="17"/>
          <w:u w:val="single" w:color="auto"/>
          <w:color w:val="0000FF"/>
        </w:rPr>
      </w:pPr>
      <w:r>
        <w:rPr>
          <w:rFonts w:ascii="Arial" w:cs="Arial" w:eastAsia="Arial" w:hAnsi="Arial"/>
          <w:sz w:val="18"/>
          <w:szCs w:val="18"/>
          <w:color w:val="auto"/>
        </w:rPr>
        <w:t>10.24</w:t>
      </w:r>
      <w:r>
        <w:rPr>
          <w:sz w:val="20"/>
          <w:szCs w:val="20"/>
          <w:color w:val="auto"/>
        </w:rPr>
        <w:tab/>
      </w:r>
      <w:hyperlink r:id="rId46">
        <w:r>
          <w:rPr>
            <w:rFonts w:ascii="Arial" w:cs="Arial" w:eastAsia="Arial" w:hAnsi="Arial"/>
            <w:sz w:val="17"/>
            <w:szCs w:val="17"/>
            <w:u w:val="single" w:color="auto"/>
            <w:color w:val="0000FF"/>
          </w:rPr>
          <w:t>Amendment No. 2 to Credit Agreement, dated as of February 26, 2021, by and among BellRing Brands, LLC, the</w:t>
        </w:r>
      </w:hyperlink>
      <w:r>
        <w:rPr>
          <w:rFonts w:ascii="Arial" w:cs="Arial" w:eastAsia="Arial" w:hAnsi="Arial"/>
          <w:sz w:val="17"/>
          <w:szCs w:val="17"/>
          <w:u w:val="single" w:color="auto"/>
          <w:color w:val="0000FF"/>
        </w:rPr>
        <w:t xml:space="preserve"> </w:t>
      </w:r>
      <w:hyperlink r:id="rId46">
        <w:r>
          <w:rPr>
            <w:rFonts w:ascii="Arial" w:cs="Arial" w:eastAsia="Arial" w:hAnsi="Arial"/>
            <w:sz w:val="17"/>
            <w:szCs w:val="17"/>
            <w:u w:val="single" w:color="auto"/>
            <w:color w:val="0000FF"/>
          </w:rPr>
          <w:t>institutions party thereto as 2021 Refinancing Term Lenders, each Revolving Credit Lender, Credit Suisse AG,</w:t>
        </w:r>
      </w:hyperlink>
      <w:r>
        <w:rPr>
          <w:rFonts w:ascii="Arial" w:cs="Arial" w:eastAsia="Arial" w:hAnsi="Arial"/>
          <w:sz w:val="17"/>
          <w:szCs w:val="17"/>
          <w:u w:val="single" w:color="auto"/>
          <w:color w:val="0000FF"/>
        </w:rPr>
        <w:t xml:space="preserve"> </w:t>
      </w:r>
      <w:hyperlink r:id="rId46">
        <w:r>
          <w:rPr>
            <w:rFonts w:ascii="Arial" w:cs="Arial" w:eastAsia="Arial" w:hAnsi="Arial"/>
            <w:sz w:val="17"/>
            <w:szCs w:val="17"/>
            <w:u w:val="single" w:color="auto"/>
            <w:color w:val="0000FF"/>
          </w:rPr>
          <w:t>Cayman Islands Branch, as administrative agent, and the subsidiary guarantors of BellRing Brands, LLC</w:t>
        </w:r>
      </w:hyperlink>
      <w:r>
        <w:rPr>
          <w:rFonts w:ascii="Arial" w:cs="Arial" w:eastAsia="Arial" w:hAnsi="Arial"/>
          <w:sz w:val="17"/>
          <w:szCs w:val="17"/>
          <w:u w:val="single" w:color="auto"/>
          <w:color w:val="0000FF"/>
        </w:rPr>
        <w:t xml:space="preserve"> </w:t>
      </w:r>
      <w:hyperlink r:id="rId46">
        <w:r>
          <w:rPr>
            <w:rFonts w:ascii="Arial" w:cs="Arial" w:eastAsia="Arial" w:hAnsi="Arial"/>
            <w:sz w:val="17"/>
            <w:szCs w:val="17"/>
            <w:u w:val="single" w:color="auto"/>
            <w:color w:val="0000FF"/>
          </w:rPr>
          <w:t>(Incorporated by reference to Exhibit 10.1 to the Company’s Form 8-K filed on February 26, 2021)</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0</wp:posOffset>
            </wp:positionV>
            <wp:extent cx="6077585" cy="2571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6077585" cy="257175"/>
                    </a:xfrm>
                    <a:prstGeom prst="rect">
                      <a:avLst/>
                    </a:prstGeom>
                    <a:noFill/>
                  </pic:spPr>
                </pic:pic>
              </a:graphicData>
            </a:graphic>
          </wp:anchor>
        </w:drawing>
      </w:r>
    </w:p>
    <w:p>
      <w:pPr>
        <w:ind w:left="1260" w:right="779" w:hanging="890"/>
        <w:spacing w:after="0" w:line="23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28">
        <w:r>
          <w:rPr>
            <w:rFonts w:ascii="Arial" w:cs="Arial" w:eastAsia="Arial" w:hAnsi="Arial"/>
            <w:sz w:val="18"/>
            <w:szCs w:val="18"/>
            <w:u w:val="single" w:color="auto"/>
            <w:color w:val="0000FF"/>
          </w:rPr>
          <w:t>Certification of Robert V. Vitale pursuant to Rule 13a-14(a), as adopted pursuant to Section 302 of the Sarbanes-</w:t>
        </w:r>
      </w:hyperlink>
      <w:hyperlink w:anchor="page28">
        <w:r>
          <w:rPr>
            <w:rFonts w:ascii="Arial" w:cs="Arial" w:eastAsia="Arial" w:hAnsi="Arial"/>
            <w:sz w:val="18"/>
            <w:szCs w:val="18"/>
            <w:u w:val="single" w:color="auto"/>
            <w:color w:val="0000FF"/>
          </w:rPr>
          <w:t>Oxley Act of 2002, dated May 7, 2021</w:t>
        </w:r>
      </w:hyperlink>
    </w:p>
    <w:p>
      <w:pPr>
        <w:spacing w:after="0" w:line="1" w:lineRule="exact"/>
        <w:rPr>
          <w:sz w:val="20"/>
          <w:szCs w:val="20"/>
          <w:color w:val="auto"/>
        </w:rPr>
      </w:pPr>
    </w:p>
    <w:p>
      <w:pPr>
        <w:ind w:left="1260" w:right="579" w:hanging="890"/>
        <w:spacing w:after="0" w:line="23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29">
        <w:r>
          <w:rPr>
            <w:rFonts w:ascii="Arial" w:cs="Arial" w:eastAsia="Arial" w:hAnsi="Arial"/>
            <w:sz w:val="18"/>
            <w:szCs w:val="18"/>
            <w:u w:val="single" w:color="auto"/>
            <w:color w:val="0000FF"/>
          </w:rPr>
          <w:t>Certification of Darcy H. Davenport pursuant to Rule 13a-14(a), as adopted pursuant to Section 302 of the</w:t>
        </w:r>
      </w:hyperlink>
      <w:r>
        <w:rPr>
          <w:rFonts w:ascii="Arial" w:cs="Arial" w:eastAsia="Arial" w:hAnsi="Arial"/>
          <w:sz w:val="18"/>
          <w:szCs w:val="18"/>
          <w:u w:val="single" w:color="auto"/>
          <w:color w:val="0000FF"/>
        </w:rPr>
        <w:t xml:space="preserve"> </w:t>
      </w:r>
      <w:hyperlink w:anchor="page29">
        <w:r>
          <w:rPr>
            <w:rFonts w:ascii="Arial" w:cs="Arial" w:eastAsia="Arial" w:hAnsi="Arial"/>
            <w:sz w:val="18"/>
            <w:szCs w:val="18"/>
            <w:u w:val="single" w:color="auto"/>
            <w:color w:val="0000FF"/>
          </w:rPr>
          <w:t>Sarbanes-Oxley Act of 2002, dated May 7,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077585" cy="2571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6077585" cy="257175"/>
                    </a:xfrm>
                    <a:prstGeom prst="rect">
                      <a:avLst/>
                    </a:prstGeom>
                    <a:noFill/>
                  </pic:spPr>
                </pic:pic>
              </a:graphicData>
            </a:graphic>
          </wp:anchor>
        </w:drawing>
      </w:r>
    </w:p>
    <w:p>
      <w:pPr>
        <w:ind w:left="1260" w:right="979" w:hanging="890"/>
        <w:spacing w:after="0" w:line="23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31.3</w:t>
      </w:r>
      <w:r>
        <w:rPr>
          <w:sz w:val="20"/>
          <w:szCs w:val="20"/>
          <w:color w:val="auto"/>
        </w:rPr>
        <w:tab/>
      </w:r>
      <w:hyperlink w:anchor="page30">
        <w:r>
          <w:rPr>
            <w:rFonts w:ascii="Arial" w:cs="Arial" w:eastAsia="Arial" w:hAnsi="Arial"/>
            <w:sz w:val="18"/>
            <w:szCs w:val="18"/>
            <w:u w:val="single" w:color="auto"/>
            <w:color w:val="0000FF"/>
          </w:rPr>
          <w:t>Certification of Paul A. Rode pursuant to Rule 13a-14(a), as adopted pursuant to Section 302 of the Sarbanes-</w:t>
        </w:r>
      </w:hyperlink>
      <w:hyperlink w:anchor="page30">
        <w:r>
          <w:rPr>
            <w:rFonts w:ascii="Arial" w:cs="Arial" w:eastAsia="Arial" w:hAnsi="Arial"/>
            <w:sz w:val="18"/>
            <w:szCs w:val="18"/>
            <w:u w:val="single" w:color="auto"/>
            <w:color w:val="0000FF"/>
          </w:rPr>
          <w:t>Oxley Act of 2002, dated May 7, 2021</w:t>
        </w:r>
      </w:hyperlink>
    </w:p>
    <w:p>
      <w:pPr>
        <w:spacing w:after="0" w:line="1" w:lineRule="exact"/>
        <w:rPr>
          <w:sz w:val="20"/>
          <w:szCs w:val="20"/>
          <w:color w:val="auto"/>
        </w:rPr>
      </w:pPr>
    </w:p>
    <w:p>
      <w:pPr>
        <w:ind w:left="1260" w:right="599" w:hanging="890"/>
        <w:spacing w:after="0" w:line="23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31">
        <w:r>
          <w:rPr>
            <w:rFonts w:ascii="Arial" w:cs="Arial" w:eastAsia="Arial" w:hAnsi="Arial"/>
            <w:sz w:val="18"/>
            <w:szCs w:val="18"/>
            <w:u w:val="single" w:color="auto"/>
            <w:color w:val="0000FF"/>
          </w:rPr>
          <w:t>Certification of Robert V. Vitale, Darcy H. Davenport and Paul A. Rode, pursuant to 18 U.S.C. Section 1350 as</w:t>
        </w:r>
      </w:hyperlink>
      <w:r>
        <w:rPr>
          <w:rFonts w:ascii="Arial" w:cs="Arial" w:eastAsia="Arial" w:hAnsi="Arial"/>
          <w:sz w:val="18"/>
          <w:szCs w:val="18"/>
          <w:u w:val="single" w:color="auto"/>
          <w:color w:val="0000FF"/>
        </w:rPr>
        <w:t xml:space="preserve"> </w:t>
      </w:r>
      <w:hyperlink w:anchor="page31">
        <w:r>
          <w:rPr>
            <w:rFonts w:ascii="Arial" w:cs="Arial" w:eastAsia="Arial" w:hAnsi="Arial"/>
            <w:sz w:val="18"/>
            <w:szCs w:val="18"/>
            <w:u w:val="single" w:color="auto"/>
            <w:color w:val="0000FF"/>
          </w:rPr>
          <w:t>adopted pursuant to Section 906 of the Sarbanes-Oxley Act of 2002, dated May 7,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077585" cy="3689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6077585" cy="368935"/>
                    </a:xfrm>
                    <a:prstGeom prst="rect">
                      <a:avLst/>
                    </a:prstGeom>
                    <a:noFill/>
                  </pic:spPr>
                </pic:pic>
              </a:graphicData>
            </a:graphic>
          </wp:anchor>
        </w:drawing>
      </w:r>
    </w:p>
    <w:p>
      <w:pPr>
        <w:ind w:left="1260" w:right="639" w:hanging="874"/>
        <w:spacing w:after="0" w:line="224" w:lineRule="auto"/>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Interactive Data File (Form 10-Q for the quarterly period ended March 31, 2021 filed in iXBRL (Inline eXtensible Business Reporting Language)). The financial information contained in the iXBRL-related documents is “unaudited” and “unreviewed.”</w:t>
      </w:r>
    </w:p>
    <w:p>
      <w:pPr>
        <w:spacing w:after="0" w:line="1" w:lineRule="exact"/>
        <w:rPr>
          <w:sz w:val="20"/>
          <w:szCs w:val="20"/>
          <w:color w:val="auto"/>
        </w:rPr>
      </w:pPr>
    </w:p>
    <w:p>
      <w:pPr>
        <w:ind w:left="1260" w:right="1039" w:hanging="874"/>
        <w:spacing w:after="0" w:line="234" w:lineRule="auto"/>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cover page from the Company’s Form 10-Q for the quarterly period ended March 31, 2021, formatted in iXBRL (Inline eXtensible Business Reporting Language)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BellRing Brands, Inc. has duly caused this report to be signed on its behalf by the undersigned thereunto duly authorized.</w:t>
      </w:r>
    </w:p>
    <w:p>
      <w:pPr>
        <w:spacing w:after="0" w:line="10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ind w:left="720" w:right="2040" w:hanging="7437"/>
        <w:spacing w:after="0" w:line="273" w:lineRule="auto"/>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2021 By: /s/ Darcy H. Davenport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-3175</wp:posOffset>
            </wp:positionV>
            <wp:extent cx="24085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1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320" w:top="125" w:right="39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Robert V. Vitale, certify that:</w:t>
      </w:r>
    </w:p>
    <w:p>
      <w:pPr>
        <w:spacing w:after="0" w:line="25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BellRing Brands, Inc.;</w:t>
      </w:r>
    </w:p>
    <w:p>
      <w:pPr>
        <w:spacing w:after="0" w:line="157" w:lineRule="exact"/>
        <w:rPr>
          <w:rFonts w:ascii="Arial" w:cs="Arial" w:eastAsia="Arial" w:hAnsi="Arial"/>
          <w:sz w:val="18"/>
          <w:szCs w:val="18"/>
          <w:color w:val="auto"/>
        </w:rPr>
      </w:pPr>
    </w:p>
    <w:p>
      <w:pPr>
        <w:ind w:left="340" w:right="900" w:hanging="332"/>
        <w:spacing w:after="0" w:line="26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1200" w:hanging="332"/>
        <w:spacing w:after="0" w:line="342"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Arial" w:cs="Arial" w:eastAsia="Arial" w:hAnsi="Arial"/>
          <w:sz w:val="16"/>
          <w:szCs w:val="16"/>
          <w:color w:val="auto"/>
        </w:rPr>
      </w:pPr>
    </w:p>
    <w:p>
      <w:pPr>
        <w:ind w:left="340" w:right="1080" w:hanging="332"/>
        <w:spacing w:after="0" w:line="291"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43" w:lineRule="exact"/>
        <w:rPr>
          <w:rFonts w:ascii="Arial" w:cs="Arial" w:eastAsia="Arial" w:hAnsi="Arial"/>
          <w:sz w:val="16"/>
          <w:szCs w:val="16"/>
          <w:color w:val="auto"/>
        </w:rPr>
      </w:pPr>
    </w:p>
    <w:p>
      <w:pPr>
        <w:ind w:left="980" w:right="880" w:hanging="324"/>
        <w:spacing w:after="0" w:line="286" w:lineRule="auto"/>
        <w:tabs>
          <w:tab w:leader="none" w:pos="97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ind w:left="980" w:right="1180" w:hanging="324"/>
        <w:spacing w:after="0" w:line="286" w:lineRule="auto"/>
        <w:tabs>
          <w:tab w:leader="none" w:pos="9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ind w:left="980" w:right="840" w:hanging="324"/>
        <w:spacing w:after="0" w:line="263" w:lineRule="auto"/>
        <w:tabs>
          <w:tab w:leader="none" w:pos="97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920" w:hanging="324"/>
        <w:spacing w:after="0" w:line="286" w:lineRule="auto"/>
        <w:tabs>
          <w:tab w:leader="none" w:pos="9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340" w:right="1120" w:hanging="332"/>
        <w:spacing w:after="0" w:line="26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980" w:right="780" w:hanging="324"/>
        <w:spacing w:after="0" w:line="342" w:lineRule="auto"/>
        <w:tabs>
          <w:tab w:leader="none" w:pos="97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1060" w:hanging="32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Date:   May 7, 2021</w:t>
            </w:r>
          </w:p>
        </w:tc>
        <w:tc>
          <w:tcPr>
            <w:tcW w:w="4500" w:type="dxa"/>
            <w:vAlign w:val="bottom"/>
            <w:gridSpan w:val="2"/>
          </w:tcPr>
          <w:p>
            <w:pPr>
              <w:ind w:left="1220"/>
              <w:spacing w:after="0"/>
              <w:rPr>
                <w:sz w:val="20"/>
                <w:szCs w:val="20"/>
                <w:color w:val="auto"/>
              </w:rPr>
            </w:pPr>
            <w:r>
              <w:rPr>
                <w:rFonts w:ascii="Arial" w:cs="Arial" w:eastAsia="Arial" w:hAnsi="Arial"/>
                <w:sz w:val="18"/>
                <w:szCs w:val="18"/>
                <w:color w:val="auto"/>
              </w:rPr>
              <w:t>By:  /s/ Robert V. Vitale</w:t>
            </w:r>
          </w:p>
        </w:tc>
      </w:tr>
      <w:tr>
        <w:trPr>
          <w:trHeight w:val="222"/>
        </w:trPr>
        <w:tc>
          <w:tcPr>
            <w:tcW w:w="28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Robert V. Vitale</w:t>
            </w:r>
          </w:p>
        </w:tc>
      </w:tr>
      <w:tr>
        <w:trPr>
          <w:trHeight w:val="230"/>
        </w:trPr>
        <w:tc>
          <w:tcPr>
            <w:tcW w:w="28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Chief Executive Chairman</w:t>
            </w:r>
          </w:p>
        </w:tc>
      </w:tr>
    </w:tbl>
    <w:p>
      <w:pPr>
        <w:sectPr>
          <w:pgSz w:w="11900" w:h="16838" w:orient="portrait"/>
          <w:cols w:equalWidth="0" w:num="1">
            <w:col w:w="11240"/>
          </w:cols>
          <w:pgMar w:left="320" w:top="89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Darcy H. Davenport, certify that:</w:t>
      </w:r>
    </w:p>
    <w:p>
      <w:pPr>
        <w:spacing w:after="0" w:line="25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BellRing Brands, Inc.;</w:t>
      </w:r>
    </w:p>
    <w:p>
      <w:pPr>
        <w:spacing w:after="0" w:line="157" w:lineRule="exact"/>
        <w:rPr>
          <w:rFonts w:ascii="Arial" w:cs="Arial" w:eastAsia="Arial" w:hAnsi="Arial"/>
          <w:sz w:val="18"/>
          <w:szCs w:val="18"/>
          <w:color w:val="auto"/>
        </w:rPr>
      </w:pPr>
    </w:p>
    <w:p>
      <w:pPr>
        <w:ind w:left="340" w:right="90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1200" w:hanging="332"/>
        <w:spacing w:after="0" w:line="34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Arial" w:cs="Arial" w:eastAsia="Arial" w:hAnsi="Arial"/>
          <w:sz w:val="16"/>
          <w:szCs w:val="16"/>
          <w:color w:val="auto"/>
        </w:rPr>
      </w:pPr>
    </w:p>
    <w:p>
      <w:pPr>
        <w:ind w:left="340" w:right="1080" w:hanging="332"/>
        <w:spacing w:after="0" w:line="291"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43" w:lineRule="exact"/>
        <w:rPr>
          <w:rFonts w:ascii="Arial" w:cs="Arial" w:eastAsia="Arial" w:hAnsi="Arial"/>
          <w:sz w:val="16"/>
          <w:szCs w:val="16"/>
          <w:color w:val="auto"/>
        </w:rPr>
      </w:pPr>
    </w:p>
    <w:p>
      <w:pPr>
        <w:ind w:left="980" w:right="880" w:hanging="324"/>
        <w:spacing w:after="0" w:line="286" w:lineRule="auto"/>
        <w:tabs>
          <w:tab w:leader="none" w:pos="97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ind w:left="980" w:right="1180" w:hanging="324"/>
        <w:spacing w:after="0" w:line="286" w:lineRule="auto"/>
        <w:tabs>
          <w:tab w:leader="none" w:pos="9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ind w:left="980" w:right="840" w:hanging="324"/>
        <w:spacing w:after="0" w:line="263" w:lineRule="auto"/>
        <w:tabs>
          <w:tab w:leader="none" w:pos="97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920" w:hanging="324"/>
        <w:spacing w:after="0" w:line="286" w:lineRule="auto"/>
        <w:tabs>
          <w:tab w:leader="none" w:pos="9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340" w:right="112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980" w:right="780" w:hanging="324"/>
        <w:spacing w:after="0" w:line="342" w:lineRule="auto"/>
        <w:tabs>
          <w:tab w:leader="none" w:pos="97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1060" w:hanging="324"/>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Date:   May 7, 2021</w:t>
            </w:r>
          </w:p>
        </w:tc>
        <w:tc>
          <w:tcPr>
            <w:tcW w:w="4500" w:type="dxa"/>
            <w:vAlign w:val="bottom"/>
            <w:gridSpan w:val="2"/>
          </w:tcPr>
          <w:p>
            <w:pPr>
              <w:ind w:left="1220"/>
              <w:spacing w:after="0"/>
              <w:rPr>
                <w:sz w:val="20"/>
                <w:szCs w:val="20"/>
                <w:color w:val="auto"/>
              </w:rPr>
            </w:pPr>
            <w:r>
              <w:rPr>
                <w:rFonts w:ascii="Arial" w:cs="Arial" w:eastAsia="Arial" w:hAnsi="Arial"/>
                <w:sz w:val="18"/>
                <w:szCs w:val="18"/>
                <w:color w:val="auto"/>
              </w:rPr>
              <w:t>By:  /s/ Darcy H. Davenport</w:t>
            </w:r>
          </w:p>
        </w:tc>
      </w:tr>
      <w:tr>
        <w:trPr>
          <w:trHeight w:val="222"/>
        </w:trPr>
        <w:tc>
          <w:tcPr>
            <w:tcW w:w="28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Darcy H. Davenport</w:t>
            </w:r>
          </w:p>
        </w:tc>
      </w:tr>
      <w:tr>
        <w:trPr>
          <w:trHeight w:val="230"/>
        </w:trPr>
        <w:tc>
          <w:tcPr>
            <w:tcW w:w="2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w w:val="96"/>
              </w:rPr>
              <w:t>President and Chief Executive Officer</w:t>
            </w:r>
          </w:p>
        </w:tc>
      </w:tr>
    </w:tbl>
    <w:p>
      <w:pPr>
        <w:sectPr>
          <w:pgSz w:w="11900" w:h="16838" w:orient="portrait"/>
          <w:cols w:equalWidth="0" w:num="1">
            <w:col w:w="11240"/>
          </w:cols>
          <w:pgMar w:left="320" w:top="89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31.3</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Paul A. Rode, certify that:</w:t>
      </w:r>
    </w:p>
    <w:p>
      <w:pPr>
        <w:spacing w:after="0" w:line="252"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BellRing Brands, Inc.;</w:t>
      </w:r>
    </w:p>
    <w:p>
      <w:pPr>
        <w:spacing w:after="0" w:line="157" w:lineRule="exact"/>
        <w:rPr>
          <w:rFonts w:ascii="Arial" w:cs="Arial" w:eastAsia="Arial" w:hAnsi="Arial"/>
          <w:sz w:val="18"/>
          <w:szCs w:val="18"/>
          <w:color w:val="auto"/>
        </w:rPr>
      </w:pPr>
    </w:p>
    <w:p>
      <w:pPr>
        <w:ind w:left="340" w:right="90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1200" w:hanging="332"/>
        <w:spacing w:after="0" w:line="342"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Arial" w:cs="Arial" w:eastAsia="Arial" w:hAnsi="Arial"/>
          <w:sz w:val="16"/>
          <w:szCs w:val="16"/>
          <w:color w:val="auto"/>
        </w:rPr>
      </w:pPr>
    </w:p>
    <w:p>
      <w:pPr>
        <w:ind w:left="340" w:right="1080" w:hanging="332"/>
        <w:spacing w:after="0" w:line="291"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43" w:lineRule="exact"/>
        <w:rPr>
          <w:rFonts w:ascii="Arial" w:cs="Arial" w:eastAsia="Arial" w:hAnsi="Arial"/>
          <w:sz w:val="16"/>
          <w:szCs w:val="16"/>
          <w:color w:val="auto"/>
        </w:rPr>
      </w:pPr>
    </w:p>
    <w:p>
      <w:pPr>
        <w:ind w:left="980" w:right="880" w:hanging="324"/>
        <w:spacing w:after="0" w:line="286" w:lineRule="auto"/>
        <w:tabs>
          <w:tab w:leader="none" w:pos="97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ind w:left="980" w:right="1180" w:hanging="324"/>
        <w:spacing w:after="0" w:line="286" w:lineRule="auto"/>
        <w:tabs>
          <w:tab w:leader="none" w:pos="9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ind w:left="980" w:right="840" w:hanging="324"/>
        <w:spacing w:after="0" w:line="263" w:lineRule="auto"/>
        <w:tabs>
          <w:tab w:leader="none" w:pos="97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920" w:hanging="324"/>
        <w:spacing w:after="0" w:line="286" w:lineRule="auto"/>
        <w:tabs>
          <w:tab w:leader="none" w:pos="9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340" w:right="112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980" w:right="780" w:hanging="324"/>
        <w:spacing w:after="0" w:line="342" w:lineRule="auto"/>
        <w:tabs>
          <w:tab w:leader="none" w:pos="97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106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Date:   May 7, 2021</w:t>
            </w:r>
          </w:p>
        </w:tc>
        <w:tc>
          <w:tcPr>
            <w:tcW w:w="4500" w:type="dxa"/>
            <w:vAlign w:val="bottom"/>
            <w:gridSpan w:val="2"/>
          </w:tcPr>
          <w:p>
            <w:pPr>
              <w:ind w:left="1220"/>
              <w:spacing w:after="0"/>
              <w:rPr>
                <w:sz w:val="20"/>
                <w:szCs w:val="20"/>
                <w:color w:val="auto"/>
              </w:rPr>
            </w:pPr>
            <w:r>
              <w:rPr>
                <w:rFonts w:ascii="Arial" w:cs="Arial" w:eastAsia="Arial" w:hAnsi="Arial"/>
                <w:sz w:val="18"/>
                <w:szCs w:val="18"/>
                <w:color w:val="auto"/>
              </w:rPr>
              <w:t>By:  /s/ Paul A. Rode</w:t>
            </w:r>
          </w:p>
        </w:tc>
      </w:tr>
      <w:tr>
        <w:trPr>
          <w:trHeight w:val="222"/>
        </w:trPr>
        <w:tc>
          <w:tcPr>
            <w:tcW w:w="28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Paul A. Rode</w:t>
            </w:r>
          </w:p>
        </w:tc>
      </w:tr>
      <w:tr>
        <w:trPr>
          <w:trHeight w:val="230"/>
        </w:trPr>
        <w:tc>
          <w:tcPr>
            <w:tcW w:w="28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the Chief Executive of BellRing Brands, Inc. (the “Company”), hereby certifies that, to his knowledge on the date hereof:</w:t>
      </w:r>
    </w:p>
    <w:p>
      <w:pPr>
        <w:spacing w:after="0" w:line="252" w:lineRule="exact"/>
        <w:rPr>
          <w:sz w:val="20"/>
          <w:szCs w:val="20"/>
          <w:color w:val="auto"/>
        </w:rPr>
      </w:pPr>
    </w:p>
    <w:p>
      <w:pPr>
        <w:ind w:left="660" w:right="920" w:hanging="652"/>
        <w:spacing w:after="0" w:line="263" w:lineRule="auto"/>
        <w:tabs>
          <w:tab w:leader="none" w:pos="3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for the period ended March 31, 2021, filed on the date hereof with the Securities and Exchange Commission (the “Report”), fully complies with the requirements of Section 13(a) or 15(d) of the Securities Exchange Act of 1934, as amended; and</w:t>
      </w:r>
    </w:p>
    <w:p>
      <w:pPr>
        <w:spacing w:after="0" w:line="210" w:lineRule="exact"/>
        <w:rPr>
          <w:rFonts w:ascii="Arial" w:cs="Arial" w:eastAsia="Arial" w:hAnsi="Arial"/>
          <w:sz w:val="18"/>
          <w:szCs w:val="18"/>
          <w:color w:val="auto"/>
        </w:rPr>
      </w:pPr>
    </w:p>
    <w:p>
      <w:pPr>
        <w:ind w:left="660" w:right="1500" w:hanging="652"/>
        <w:spacing w:after="0" w:line="277" w:lineRule="auto"/>
        <w:tabs>
          <w:tab w:leader="none" w:pos="40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680" w:val="left"/>
          <w:tab w:leader="none" w:pos="3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2021</w:t>
      </w:r>
      <w:r>
        <w:rPr>
          <w:sz w:val="20"/>
          <w:szCs w:val="20"/>
          <w:color w:val="auto"/>
        </w:rPr>
        <w:tab/>
      </w:r>
      <w:r>
        <w:rPr>
          <w:rFonts w:ascii="Arial" w:cs="Arial" w:eastAsia="Arial" w:hAnsi="Arial"/>
          <w:sz w:val="17"/>
          <w:szCs w:val="17"/>
          <w:color w:val="auto"/>
        </w:rPr>
        <w:t>By:  /s/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14605</wp:posOffset>
            </wp:positionV>
            <wp:extent cx="18942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16"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Robert V. Vitale</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Chief Executive Chairman</w:t>
      </w:r>
    </w:p>
    <w:p>
      <w:pPr>
        <w:spacing w:after="0" w:line="35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31" w:name="page32"/>
    <w:bookmarkEnd w:id="31"/>
    <w:p>
      <w:pPr>
        <w:spacing w:after="0" w:line="200" w:lineRule="exact"/>
        <w:rPr>
          <w:sz w:val="20"/>
          <w:szCs w:val="20"/>
          <w:color w:val="auto"/>
        </w:rPr>
      </w:pPr>
    </w:p>
    <w:p>
      <w:pPr>
        <w:spacing w:after="0" w:line="227" w:lineRule="exact"/>
        <w:rPr>
          <w:sz w:val="20"/>
          <w:szCs w:val="20"/>
          <w:color w:val="auto"/>
        </w:rPr>
      </w:pPr>
    </w:p>
    <w:p>
      <w:pPr>
        <w:jc w:val="center"/>
        <w:ind w:right="-779"/>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undersigned, the President and Chief Executive Officer of BellRing Brands, Inc. (the “Company”), hereby certifies that, to her knowledge on the date hereof:</w:t>
      </w:r>
    </w:p>
    <w:p>
      <w:pPr>
        <w:spacing w:after="0" w:line="197" w:lineRule="exact"/>
        <w:rPr>
          <w:sz w:val="20"/>
          <w:szCs w:val="20"/>
          <w:color w:val="auto"/>
        </w:rPr>
      </w:pPr>
    </w:p>
    <w:p>
      <w:pPr>
        <w:ind w:left="660" w:right="140" w:hanging="652"/>
        <w:spacing w:after="0" w:line="263" w:lineRule="auto"/>
        <w:tabs>
          <w:tab w:leader="none" w:pos="3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for the period ended March 31, 2021, filed on the date hereof with the Securities and Exchange Commission (the “Report”), fully complies with the requirements of Section 13(a) or 15(d) of the Securities Exchange Act of 1934, as amended; and</w:t>
      </w:r>
    </w:p>
    <w:p>
      <w:pPr>
        <w:spacing w:after="0" w:line="210" w:lineRule="exact"/>
        <w:rPr>
          <w:rFonts w:ascii="Arial" w:cs="Arial" w:eastAsia="Arial" w:hAnsi="Arial"/>
          <w:sz w:val="18"/>
          <w:szCs w:val="18"/>
          <w:color w:val="auto"/>
        </w:rPr>
      </w:pPr>
    </w:p>
    <w:p>
      <w:pPr>
        <w:ind w:left="660" w:right="720" w:hanging="652"/>
        <w:spacing w:after="0" w:line="277" w:lineRule="auto"/>
        <w:tabs>
          <w:tab w:leader="none" w:pos="40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680" w:val="left"/>
          <w:tab w:leader="none" w:pos="3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2021</w:t>
      </w:r>
      <w:r>
        <w:rPr>
          <w:sz w:val="20"/>
          <w:szCs w:val="20"/>
          <w:color w:val="auto"/>
        </w:rPr>
        <w:tab/>
      </w:r>
      <w:r>
        <w:rPr>
          <w:rFonts w:ascii="Arial" w:cs="Arial" w:eastAsia="Arial" w:hAnsi="Arial"/>
          <w:sz w:val="16"/>
          <w:szCs w:val="16"/>
          <w:color w:val="auto"/>
        </w:rPr>
        <w:t>By:  /s/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14605</wp:posOffset>
            </wp:positionV>
            <wp:extent cx="18942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16"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Darcy H. Davenport</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President and Chief Executive Officer</w:t>
      </w:r>
    </w:p>
    <w:p>
      <w:pPr>
        <w:spacing w:after="0" w:line="35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0460"/>
          </w:cols>
          <w:pgMar w:left="320" w:top="1440" w:right="1119" w:bottom="1440" w:gutter="0" w:footer="0" w:header="0"/>
        </w:sectPr>
      </w:pPr>
    </w:p>
    <w:bookmarkStart w:id="32" w:name="page33"/>
    <w:bookmarkEnd w:id="32"/>
    <w:p>
      <w:pPr>
        <w:spacing w:after="0" w:line="184" w:lineRule="exact"/>
        <w:rPr>
          <w:sz w:val="20"/>
          <w:szCs w:val="20"/>
          <w:color w:val="auto"/>
        </w:rPr>
      </w:pPr>
    </w:p>
    <w:p>
      <w:pPr>
        <w:jc w:val="center"/>
        <w:ind w:right="-779"/>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undersigned, the Chief Financial Officer of BellRing Brands, Inc. (the “Company”), hereby certifies that, to his knowledge on the date hereof:</w:t>
      </w:r>
    </w:p>
    <w:p>
      <w:pPr>
        <w:spacing w:after="0" w:line="197" w:lineRule="exact"/>
        <w:rPr>
          <w:sz w:val="20"/>
          <w:szCs w:val="20"/>
          <w:color w:val="auto"/>
        </w:rPr>
      </w:pPr>
    </w:p>
    <w:p>
      <w:pPr>
        <w:ind w:left="660" w:right="140" w:hanging="652"/>
        <w:spacing w:after="0" w:line="263" w:lineRule="auto"/>
        <w:tabs>
          <w:tab w:leader="none" w:pos="3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for the period ended March 31, 2021, filed on the date hereof with the Securities and Exchange Commission (the “Report”), fully complies with the requirements of Section 13(a) or 15(d) of the Securities Exchange Act of 1934, as amended; and</w:t>
      </w:r>
    </w:p>
    <w:p>
      <w:pPr>
        <w:spacing w:after="0" w:line="210" w:lineRule="exact"/>
        <w:rPr>
          <w:rFonts w:ascii="Arial" w:cs="Arial" w:eastAsia="Arial" w:hAnsi="Arial"/>
          <w:sz w:val="18"/>
          <w:szCs w:val="18"/>
          <w:color w:val="auto"/>
        </w:rPr>
      </w:pPr>
    </w:p>
    <w:p>
      <w:pPr>
        <w:ind w:left="660" w:right="720" w:hanging="652"/>
        <w:spacing w:after="0" w:line="277" w:lineRule="auto"/>
        <w:tabs>
          <w:tab w:leader="none" w:pos="402"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680" w:val="left"/>
          <w:tab w:leader="none" w:pos="3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2021</w:t>
      </w:r>
      <w:r>
        <w:rPr>
          <w:sz w:val="20"/>
          <w:szCs w:val="20"/>
          <w:color w:val="auto"/>
        </w:rPr>
        <w:tab/>
      </w:r>
      <w:r>
        <w:rPr>
          <w:rFonts w:ascii="Arial" w:cs="Arial" w:eastAsia="Arial" w:hAnsi="Arial"/>
          <w:sz w:val="16"/>
          <w:szCs w:val="16"/>
          <w:color w:val="auto"/>
        </w:rPr>
        <w:t>By:  /s/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14605</wp:posOffset>
            </wp:positionV>
            <wp:extent cx="18942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16"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Paul A. Rode</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Chief Financial Officer</w:t>
      </w:r>
    </w:p>
    <w:p>
      <w:pPr>
        <w:spacing w:after="0" w:line="35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sectPr>
      <w:pgSz w:w="11900" w:h="16838" w:orient="portrait"/>
      <w:cols w:equalWidth="0" w:num="1">
        <w:col w:w="10460"/>
      </w:cols>
      <w:pgMar w:left="320" w:top="1440"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decimal"/>
      <w:start w:val="101"/>
    </w:lvl>
  </w:abstractNum>
  <w:abstractNum w:abstractNumId="8">
    <w:nsid w:val="66EF438D"/>
    <w:multiLevelType w:val="hybridMultilevel"/>
    <w:lvl w:ilvl="0">
      <w:lvlJc w:val="left"/>
      <w:lvlText w:val="%1"/>
      <w:numFmt w:val="decimal"/>
      <w:start w:val="104"/>
    </w:lvl>
  </w:abstractNum>
  <w:abstractNum w:abstractNumId="9">
    <w:nsid w:val="140E0F76"/>
    <w:multiLevelType w:val="hybridMultilevel"/>
    <w:lvl w:ilvl="0">
      <w:lvlJc w:val="left"/>
      <w:lvlText w:val="%1."/>
      <w:numFmt w:val="decimal"/>
      <w:start w:val="1"/>
    </w:lvl>
    <w:lvl w:ilvl="1">
      <w:lvlJc w:val="left"/>
      <w:lvlText w:val="%2."/>
      <w:numFmt w:val="lowerLetter"/>
      <w:start w:val="1"/>
    </w:lvl>
  </w:abstractNum>
  <w:abstractNum w:abstractNumId="10">
    <w:nsid w:val="3352255A"/>
    <w:multiLevelType w:val="hybridMultilevel"/>
    <w:lvl w:ilvl="0">
      <w:lvlJc w:val="left"/>
      <w:lvlText w:val="%1."/>
      <w:numFmt w:val="decimal"/>
      <w:start w:val="1"/>
    </w:lvl>
    <w:lvl w:ilvl="1">
      <w:lvlJc w:val="left"/>
      <w:lvlText w:val="%2."/>
      <w:numFmt w:val="lowerLetter"/>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4"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42" Type="http://schemas.openxmlformats.org/officeDocument/2006/relationships/hyperlink" Target="http://www.sec.gov/Archives/edgar/data/1772016/000119312519270862/d812149dex31.htm" TargetMode="External"/><Relationship Id="rId43" Type="http://schemas.openxmlformats.org/officeDocument/2006/relationships/hyperlink" Target="http://www.sec.gov/Archives/edgar/data/1772016/000177201621000006/exhib31amendedrestatedby.htm" TargetMode="External"/><Relationship Id="rId45" Type="http://schemas.openxmlformats.org/officeDocument/2006/relationships/hyperlink" Target="http://www.sec.gov/Archives/edgar/data/1772016/000119312519250692/d727525dex41.htm" TargetMode="External"/><Relationship Id="rId46" Type="http://schemas.openxmlformats.org/officeDocument/2006/relationships/hyperlink" Target="https://www.sec.gov/Archives/edgar/data/0001772016/000177201621000029/ex10-1_amend2creditagm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2021-05-07T11:33:42Z</dcterms:created>
  <dcterms:modified xsi:type="dcterms:W3CDTF">2021-05-07T11:33:42Z</dcterms:modified>
</cp:coreProperties>
</file>