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167005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195580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15"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February 24,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173990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2425700</wp:posOffset>
            </wp:positionH>
            <wp:positionV relativeFrom="paragraph">
              <wp:posOffset>302260</wp:posOffset>
            </wp:positionV>
            <wp:extent cx="2151380" cy="1045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51380" cy="1045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BellRing Brands,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001-39093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83-4096323</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149"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ind w:left="524"/>
        <w:spacing w:after="0"/>
        <w:rPr>
          <w:sz w:val="20"/>
          <w:szCs w:val="20"/>
          <w:color w:val="auto"/>
        </w:rPr>
      </w:pPr>
      <w:r>
        <w:rPr>
          <w:rFonts w:ascii="Arial" w:cs="Arial" w:eastAsia="Arial" w:hAnsi="Arial"/>
          <w:sz w:val="16"/>
          <w:szCs w:val="16"/>
          <w:b w:val="1"/>
          <w:bCs w:val="1"/>
          <w:color w:val="auto"/>
        </w:rPr>
        <w:t>2503 S. Hanley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St. Louis</w:t>
      </w:r>
    </w:p>
    <w:p>
      <w:pPr>
        <w:spacing w:after="0" w:line="20" w:lineRule="exact"/>
        <w:rPr>
          <w:sz w:val="24"/>
          <w:szCs w:val="24"/>
          <w:color w:val="auto"/>
        </w:rPr>
      </w:pPr>
      <w:r>
        <w:rPr>
          <w:sz w:val="24"/>
          <w:szCs w:val="24"/>
          <w:color w:val="auto"/>
        </w:rPr>
        <w:br w:type="column"/>
      </w:r>
    </w:p>
    <w:p>
      <w:pPr>
        <w:jc w:val="center"/>
        <w:ind w:right="1520"/>
        <w:spacing w:after="0"/>
        <w:rPr>
          <w:sz w:val="20"/>
          <w:szCs w:val="20"/>
          <w:color w:val="auto"/>
        </w:rPr>
      </w:pPr>
      <w:r>
        <w:rPr>
          <w:rFonts w:ascii="Arial" w:cs="Arial" w:eastAsia="Arial" w:hAnsi="Arial"/>
          <w:sz w:val="16"/>
          <w:szCs w:val="16"/>
          <w:b w:val="1"/>
          <w:bCs w:val="1"/>
          <w:color w:val="auto"/>
        </w:rPr>
        <w:t>Missouri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63144</w:t>
      </w:r>
    </w:p>
    <w:p>
      <w:pPr>
        <w:spacing w:after="0" w:line="61" w:lineRule="exact"/>
        <w:rPr>
          <w:sz w:val="24"/>
          <w:szCs w:val="24"/>
          <w:color w:val="auto"/>
        </w:rPr>
      </w:pPr>
    </w:p>
    <w:p>
      <w:pPr>
        <w:sectPr>
          <w:pgSz w:w="11900" w:h="16838" w:orient="portrait"/>
          <w:cols w:equalWidth="0" w:num="4">
            <w:col w:w="3044" w:space="720"/>
            <w:col w:w="2080" w:space="720"/>
            <w:col w:w="2200" w:space="720"/>
            <w:col w:w="1540"/>
          </w:cols>
          <w:pgMar w:left="436" w:top="368" w:right="439" w:bottom="1440" w:gutter="0" w:footer="0" w:header="0"/>
          <w:type w:val="continuous"/>
        </w:sectPr>
      </w:pPr>
    </w:p>
    <w:p>
      <w:pPr>
        <w:ind w:left="290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16" w:lineRule="exact"/>
        <w:rPr>
          <w:sz w:val="24"/>
          <w:szCs w:val="24"/>
          <w:color w:val="auto"/>
        </w:rPr>
      </w:pPr>
    </w:p>
    <w:p>
      <w:pPr>
        <w:sectPr>
          <w:pgSz w:w="11900" w:h="16838" w:orient="portrait"/>
          <w:cols w:equalWidth="0" w:num="2">
            <w:col w:w="8644" w:space="720"/>
            <w:col w:w="166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(314) 644-7600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188595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7" w:lineRule="auto"/>
        <w:tabs>
          <w:tab w:leader="none" w:pos="436"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line="150" w:lineRule="exact"/>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Class A common stock, par value $0.01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6"/>
              </w:rPr>
              <w:t>BRBR</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7" w:lineRule="exact"/>
        <w:rPr>
          <w:sz w:val="24"/>
          <w:szCs w:val="24"/>
          <w:color w:val="auto"/>
        </w:rPr>
      </w:pPr>
    </w:p>
    <w:p>
      <w:pPr>
        <w:ind w:left="880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13"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 Other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Withdrawal of BellRing Distribution, LLC Proposed Senior Notes Offering</w:t>
      </w:r>
    </w:p>
    <w:p>
      <w:pPr>
        <w:spacing w:after="0" w:line="117"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On February 24, 2022, BellRing Distribution, LLC (“New BellRing”), currently a wholly-owned subsidiary of Post Holdings, Inc. (“Post”), along with Post and BellRing Brands, Inc. (“BellRing”), announced that New BellRing has withdrawn its previously announced private offering of senior notes (the “Offering”). No Notes will be sold pursuant to the Offering. New BellRing expects to commence a debt financing transaction in the coming weeks.</w:t>
      </w:r>
    </w:p>
    <w:p>
      <w:pPr>
        <w:spacing w:after="0" w:line="14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Offering was undertaken in connection with the previously disclosed distribution of 80.1% of Post’s ownership interest in New BellRing to Post’s shareholders (the “Distribution”). Post continues to expect to complete the Distribution following satisfaction of certain customary conditions, including the approval of BellRing’s stockholders (including the approval of BellRing’s stockholders other than Post, New BellRing and their respective affiliates).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 copy of the press release issued in connection therewith is attached hereto as Exhibit 99.1 and is incorporated herein by reference.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b w:val="1"/>
                <w:bCs w:val="1"/>
                <w:color w:val="auto"/>
                <w:w w:val="91"/>
              </w:rPr>
              <w:t>Exhibit No.</w:t>
            </w:r>
          </w:p>
        </w:tc>
        <w:tc>
          <w:tcPr>
            <w:tcW w:w="440" w:type="dxa"/>
            <w:vAlign w:val="bottom"/>
          </w:tcPr>
          <w:p>
            <w:pPr>
              <w:spacing w:after="0"/>
              <w:rPr>
                <w:sz w:val="17"/>
                <w:szCs w:val="17"/>
                <w:color w:val="auto"/>
              </w:rPr>
            </w:pPr>
          </w:p>
        </w:tc>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99.1</w:t>
            </w:r>
          </w:p>
        </w:tc>
        <w:tc>
          <w:tcPr>
            <w:tcW w:w="440" w:type="dxa"/>
            <w:vAlign w:val="bottom"/>
          </w:tcPr>
          <w:p>
            <w:pPr>
              <w:spacing w:after="0"/>
              <w:rPr>
                <w:sz w:val="17"/>
                <w:szCs w:val="17"/>
                <w:color w:val="auto"/>
              </w:rPr>
            </w:pPr>
          </w:p>
        </w:tc>
        <w:tc>
          <w:tcPr>
            <w:tcW w:w="860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BellRing Distribution, LLC, Post Holdings, Inc. and BellRing Brands, Inc. Joint Press Release dated February 24, 2022</w:t>
              </w:r>
            </w:hyperlink>
          </w:p>
        </w:tc>
      </w:tr>
      <w:tr>
        <w:trPr>
          <w:trHeight w:val="237"/>
        </w:trPr>
        <w:tc>
          <w:tcPr>
            <w:tcW w:w="880" w:type="dxa"/>
            <w:vAlign w:val="bottom"/>
          </w:tcPr>
          <w:p>
            <w:pPr>
              <w:spacing w:after="0"/>
              <w:rPr>
                <w:sz w:val="20"/>
                <w:szCs w:val="20"/>
                <w:color w:val="auto"/>
              </w:rPr>
            </w:pPr>
            <w:r>
              <w:rPr>
                <w:rFonts w:ascii="Arial" w:cs="Arial" w:eastAsia="Arial" w:hAnsi="Arial"/>
                <w:sz w:val="18"/>
                <w:szCs w:val="18"/>
                <w:color w:val="auto"/>
              </w:rPr>
              <w:t>104</w:t>
            </w:r>
          </w:p>
        </w:tc>
        <w:tc>
          <w:tcPr>
            <w:tcW w:w="440" w:type="dxa"/>
            <w:vAlign w:val="bottom"/>
          </w:tcPr>
          <w:p>
            <w:pPr>
              <w:spacing w:after="0"/>
              <w:rPr>
                <w:sz w:val="20"/>
                <w:szCs w:val="20"/>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w w:val="97"/>
              </w:rPr>
              <w:t>Cover Page Interactive Data File (the cover page iXBRL tags are embedded within the Inline XBRL document)</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on Forward-Looking Language</w:t>
      </w:r>
    </w:p>
    <w:p>
      <w:pPr>
        <w:spacing w:after="0" w:line="121" w:lineRule="exact"/>
        <w:rPr>
          <w:sz w:val="20"/>
          <w:szCs w:val="20"/>
          <w:color w:val="auto"/>
        </w:rPr>
      </w:pPr>
    </w:p>
    <w:p>
      <w:pPr>
        <w:ind w:right="280"/>
        <w:spacing w:after="0" w:line="288" w:lineRule="auto"/>
        <w:rPr>
          <w:sz w:val="20"/>
          <w:szCs w:val="20"/>
          <w:color w:val="auto"/>
        </w:rPr>
      </w:pPr>
      <w:r>
        <w:rPr>
          <w:rFonts w:ascii="Arial" w:cs="Arial" w:eastAsia="Arial" w:hAnsi="Arial"/>
          <w:sz w:val="16"/>
          <w:szCs w:val="16"/>
          <w:color w:val="auto"/>
        </w:rPr>
        <w:t>Certain matters discussed in this filing are forward-looking statements. These forward-looking statements are made based on known events and circumstances at the time of release, and as such, are subject to uncertainty and changes in circumstances. These forward-looking statements include statements regarding any proposed debt financing and Post’s proposed Distribution of a significant portion of its interest in New BellRing to Post shareholders, including the amount of New BellRing equity Post intends to distribute and the form of the Distribution. There is no assurance that any proposed debt financing or the proposed Distribution will be completed as anticipated or at all, and there are a number of risks, uncertainties and assumptions that could cause actual results to differ materially from the forward-looking statements made herein, including risks relating to unanticipated developments that prevent, delay or negatively impact any proposed debt financing or the proposed Distribution, the rapidly changing situation related to the COVID-19 pandemic and other financial, operational and legal risks and uncertainties described in BellRing’s filings with the Securities and Exchange Commission (the “SEC”). These forward-looking statements represent BellRing’s judgment as of the date of this filing. BellRing disclaims, however, any intent or obligation to update these forward-looking statements.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This filing does not constitute an offer to sell, the solicitation of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In connection with the proposed transaction, New BellRing (as BellRing Distribution, LLC) has filed a registration statement of New BellRing on Form S-4 (File No. 333-261741) with the SEC, which contains a prospectus of New BellRing and a definitive proxy statement of BellRing, dated February 3, 2022, and a registration statement of New BellRing on Form S-4/S-1 (File No. 333-261873) with the SEC, which contains a prospectus of New BellRing, dated February 14, 2022. INVESTORS AND SECURITYHOLDERS ARE URGED TO READ THE REGISTRATION STATEMENTS/ PROSPECTUSES, PROXY STATEMENT AND ANY DOCUMENTS INCORPORATED BY REFERENCE THEREIN, ANY AMENDMENTS OR SUPPLEMENTS TO THESE FILINGS, AND ANY OTHER RELEVANT DOCUMENTS WHEN THEY BECOME AVAILABLE BECAUSE THEY WILL CONTAIN IMPORTANT INFORMATION ABOUT NEW BELLRING, BELLRING AND THE PROPOSED TRANSACTION. The registration statements were declared effective by the SEC on February 3, 2022, and a definitive proxy statement/prospectus was mailed on or about February 3, 2022 to stockholders of BellRing seeking that such stockholders adopt the definitive agreement for the proposed transaction. Investors and security holders will be able to obtain these materials (when they are available) and other documents filed with the SEC free of charge from the SEC’s website, www.sec.gov, BellRing’s website, www.bellring.com, or Post’s website, www.postholdings.com.</w:t>
      </w:r>
    </w:p>
    <w:p>
      <w:pPr>
        <w:sectPr>
          <w:pgSz w:w="11900" w:h="16838" w:orient="portrait"/>
          <w:cols w:equalWidth="0" w:num="1">
            <w:col w:w="11000"/>
          </w:cols>
          <w:pgMar w:left="440" w:top="297" w:right="459" w:bottom="1440" w:gutter="0" w:footer="0" w:header="0"/>
        </w:sectPr>
      </w:pPr>
    </w:p>
    <w:bookmarkStart w:id="2" w:name="page3"/>
    <w:bookmarkEnd w:id="2"/>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transaction and distribution of this filing may be restricted by law in certain jurisdictions and persons who come into possession of any document or other information referred to herein should inform themselves about and observe any such restrictions. Any failure to comply with these restrictions may constitute a violation of the securities laws of any such jurisdiction. No offering of securities will be made, directly or indirectly, in or into any jurisdiction where to do so would be inconsistent with the laws of such jurisdiction.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a Solicitation</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Post, BellRing, New BellRing and their respective directors and executive officers and other members of management and employees may be deemed to be participants in the solicitation of proxies from BellRing’s stockholders with respect to the approvals required to complete the proposed transaction. More detailed information regarding the identity of these potential participants, and any direct or indirect interests they may have in the proposed transaction, by security holdings or otherwise, is set forth in BellRing’s definitive proxy statement filed with the SEC. Information regarding the directors and executive officers of BellRing is available in its definitive proxy statement, which was filed with the SEC on December 29, 2021, and its definitive proxy statement relating to the proposed transaction, which was filed with the SEC on February 3, 2022. Information regarding the directors and executive officers of Post is available in its definitive proxy statement, which was filed with the SEC on December 6, 2021. Free copies of these documents may be obtained as described above.</w:t>
      </w:r>
    </w:p>
    <w:p>
      <w:pPr>
        <w:sectPr>
          <w:pgSz w:w="11900" w:h="16838" w:orient="portrait"/>
          <w:cols w:equalWidth="0" w:num="1">
            <w:col w:w="11000"/>
          </w:cols>
          <w:pgMar w:left="440" w:top="301" w:right="4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40" w:type="dxa"/>
            <w:vAlign w:val="bottom"/>
          </w:tcPr>
          <w:p>
            <w:pPr>
              <w:spacing w:after="0"/>
              <w:rPr>
                <w:sz w:val="20"/>
                <w:szCs w:val="20"/>
                <w:color w:val="auto"/>
              </w:rPr>
            </w:pPr>
            <w:r>
              <w:rPr>
                <w:rFonts w:ascii="Arial" w:cs="Arial" w:eastAsia="Arial" w:hAnsi="Arial"/>
                <w:sz w:val="18"/>
                <w:szCs w:val="18"/>
                <w:color w:val="auto"/>
              </w:rPr>
              <w:t>Date: February 24, 2022</w:t>
            </w:r>
          </w:p>
        </w:tc>
        <w:tc>
          <w:tcPr>
            <w:tcW w:w="7380" w:type="dxa"/>
            <w:vAlign w:val="bottom"/>
            <w:gridSpan w:val="2"/>
          </w:tcPr>
          <w:p>
            <w:pPr>
              <w:ind w:left="1880"/>
              <w:spacing w:after="0"/>
              <w:rPr>
                <w:sz w:val="20"/>
                <w:szCs w:val="20"/>
                <w:color w:val="auto"/>
              </w:rPr>
            </w:pPr>
            <w:r>
              <w:rPr>
                <w:rFonts w:ascii="Arial" w:cs="Arial" w:eastAsia="Arial" w:hAnsi="Arial"/>
                <w:sz w:val="18"/>
                <w:szCs w:val="18"/>
                <w:b w:val="1"/>
                <w:bCs w:val="1"/>
                <w:color w:val="auto"/>
              </w:rPr>
              <w:t>BellRing Brands, Inc.</w:t>
            </w:r>
          </w:p>
        </w:tc>
      </w:tr>
      <w:tr>
        <w:trPr>
          <w:trHeight w:val="230"/>
        </w:trPr>
        <w:tc>
          <w:tcPr>
            <w:tcW w:w="3640" w:type="dxa"/>
            <w:vAlign w:val="bottom"/>
          </w:tcPr>
          <w:p>
            <w:pPr>
              <w:spacing w:after="0"/>
              <w:rPr>
                <w:sz w:val="20"/>
                <w:szCs w:val="20"/>
                <w:color w:val="auto"/>
              </w:rPr>
            </w:pPr>
          </w:p>
        </w:tc>
        <w:tc>
          <w:tcPr>
            <w:tcW w:w="7380" w:type="dxa"/>
            <w:vAlign w:val="bottom"/>
            <w:gridSpan w:val="2"/>
          </w:tcPr>
          <w:p>
            <w:pPr>
              <w:ind w:left="1880"/>
              <w:spacing w:after="0"/>
              <w:rPr>
                <w:sz w:val="20"/>
                <w:szCs w:val="20"/>
                <w:color w:val="auto"/>
              </w:rPr>
            </w:pPr>
            <w:r>
              <w:rPr>
                <w:rFonts w:ascii="Arial" w:cs="Arial" w:eastAsia="Arial" w:hAnsi="Arial"/>
                <w:sz w:val="18"/>
                <w:szCs w:val="18"/>
                <w:color w:val="auto"/>
              </w:rPr>
              <w:t>(Registrant)</w:t>
            </w:r>
          </w:p>
        </w:tc>
      </w:tr>
      <w:tr>
        <w:trPr>
          <w:trHeight w:val="432"/>
        </w:trPr>
        <w:tc>
          <w:tcPr>
            <w:tcW w:w="3640" w:type="dxa"/>
            <w:vAlign w:val="bottom"/>
          </w:tcPr>
          <w:p>
            <w:pPr>
              <w:spacing w:after="0"/>
              <w:rPr>
                <w:sz w:val="24"/>
                <w:szCs w:val="24"/>
                <w:color w:val="auto"/>
              </w:rPr>
            </w:pPr>
          </w:p>
        </w:tc>
        <w:tc>
          <w:tcPr>
            <w:tcW w:w="2520" w:type="dxa"/>
            <w:vAlign w:val="bottom"/>
          </w:tcPr>
          <w:p>
            <w:pPr>
              <w:ind w:left="188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Craig L. Rosenthal</w:t>
            </w:r>
          </w:p>
        </w:tc>
      </w:tr>
      <w:tr>
        <w:trPr>
          <w:trHeight w:val="209"/>
        </w:trPr>
        <w:tc>
          <w:tcPr>
            <w:tcW w:w="3640" w:type="dxa"/>
            <w:vAlign w:val="bottom"/>
          </w:tcPr>
          <w:p>
            <w:pPr>
              <w:spacing w:after="0"/>
              <w:rPr>
                <w:sz w:val="18"/>
                <w:szCs w:val="18"/>
                <w:color w:val="auto"/>
              </w:rPr>
            </w:pPr>
          </w:p>
        </w:tc>
        <w:tc>
          <w:tcPr>
            <w:tcW w:w="2520" w:type="dxa"/>
            <w:vAlign w:val="bottom"/>
          </w:tcPr>
          <w:p>
            <w:pPr>
              <w:ind w:left="188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Craig L. Rosenthal</w:t>
            </w:r>
          </w:p>
        </w:tc>
      </w:tr>
      <w:tr>
        <w:trPr>
          <w:trHeight w:val="230"/>
        </w:trPr>
        <w:tc>
          <w:tcPr>
            <w:tcW w:w="3640" w:type="dxa"/>
            <w:vAlign w:val="bottom"/>
          </w:tcPr>
          <w:p>
            <w:pPr>
              <w:spacing w:after="0"/>
              <w:rPr>
                <w:sz w:val="20"/>
                <w:szCs w:val="20"/>
                <w:color w:val="auto"/>
              </w:rPr>
            </w:pPr>
          </w:p>
        </w:tc>
        <w:tc>
          <w:tcPr>
            <w:tcW w:w="2520" w:type="dxa"/>
            <w:vAlign w:val="bottom"/>
          </w:tcPr>
          <w:p>
            <w:pPr>
              <w:ind w:left="188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Senior Vice President and General Counsel, Secretary</w:t>
            </w:r>
          </w:p>
        </w:tc>
      </w:tr>
    </w:tbl>
    <w:p>
      <w:pPr>
        <w:sectPr>
          <w:pgSz w:w="11900" w:h="16838" w:orient="portrait"/>
          <w:cols w:equalWidth="0" w:num="1">
            <w:col w:w="11020"/>
          </w:cols>
          <w:pgMar w:left="440" w:top="297" w:right="439" w:bottom="1440" w:gutter="0" w:footer="0" w:header="0"/>
        </w:sectPr>
      </w:pPr>
    </w:p>
    <w:bookmarkStart w:id="4" w:name="page5"/>
    <w:bookmarkEnd w:id="4"/>
    <w:p>
      <w:pPr>
        <w:ind w:left="10080"/>
        <w:spacing w:after="0"/>
        <w:rPr>
          <w:sz w:val="20"/>
          <w:szCs w:val="20"/>
          <w:color w:val="auto"/>
        </w:rPr>
      </w:pPr>
      <w:r>
        <w:rPr>
          <w:rFonts w:ascii="Arial" w:cs="Arial" w:eastAsia="Arial" w:hAnsi="Arial"/>
          <w:sz w:val="16"/>
          <w:szCs w:val="16"/>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BellRing Distribution, LLC Announces Withdrawal of Proposed Senior Notes Offering</w:t>
      </w:r>
    </w:p>
    <w:p>
      <w:pPr>
        <w:spacing w:after="0" w:line="230" w:lineRule="exact"/>
        <w:rPr>
          <w:sz w:val="20"/>
          <w:szCs w:val="20"/>
          <w:color w:val="auto"/>
        </w:rPr>
      </w:pPr>
    </w:p>
    <w:p>
      <w:pPr>
        <w:jc w:val="both"/>
        <w:ind w:right="140"/>
        <w:spacing w:after="0" w:line="314" w:lineRule="auto"/>
        <w:rPr>
          <w:sz w:val="20"/>
          <w:szCs w:val="20"/>
          <w:color w:val="auto"/>
        </w:rPr>
      </w:pPr>
      <w:r>
        <w:rPr>
          <w:rFonts w:ascii="Arial" w:cs="Arial" w:eastAsia="Arial" w:hAnsi="Arial"/>
          <w:sz w:val="16"/>
          <w:szCs w:val="16"/>
          <w:b w:val="1"/>
          <w:bCs w:val="1"/>
          <w:color w:val="auto"/>
        </w:rPr>
        <w:t xml:space="preserve">ST. LOUIS, February 24, 2022 </w:t>
      </w:r>
      <w:r>
        <w:rPr>
          <w:rFonts w:ascii="Arial" w:cs="Arial" w:eastAsia="Arial" w:hAnsi="Arial"/>
          <w:sz w:val="16"/>
          <w:szCs w:val="16"/>
          <w:color w:val="auto"/>
        </w:rPr>
        <w:t>– BellRing Distribution, LLC (“New BellRing”), Post Holdings, Inc. (“Post”) and BellRing Brands, Inc. (“BellRing”)</w:t>
      </w:r>
      <w:r>
        <w:rPr>
          <w:rFonts w:ascii="Arial" w:cs="Arial" w:eastAsia="Arial" w:hAnsi="Arial"/>
          <w:sz w:val="16"/>
          <w:szCs w:val="16"/>
          <w:b w:val="1"/>
          <w:bCs w:val="1"/>
          <w:color w:val="auto"/>
        </w:rPr>
        <w:t xml:space="preserve"> </w:t>
      </w:r>
      <w:r>
        <w:rPr>
          <w:rFonts w:ascii="Arial" w:cs="Arial" w:eastAsia="Arial" w:hAnsi="Arial"/>
          <w:sz w:val="16"/>
          <w:szCs w:val="16"/>
          <w:color w:val="auto"/>
        </w:rPr>
        <w:t>today announced that in light of market volatility New BellRing has withdrawn its previously announced private offering of senior notes (the “Notes”). As a result, no Notes will be sold pursuant to this offering. New BellRing expects to commence a debt financing transaction in the coming weeks.</w:t>
      </w:r>
    </w:p>
    <w:p>
      <w:pPr>
        <w:spacing w:after="0" w:line="146"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Post continues to expect to distribute 80.1% of its ownership interest in New BellRing via a pro-rata spin-off to Post shareholders of record as of February 25, 2022 following satisfaction of certain customary conditions, including BellRing stockholder approval. The special meeting of BellRing stockholders to vote on the proposed transaction will be held as planned on March 8, 2022.</w:t>
      </w:r>
    </w:p>
    <w:p>
      <w:pPr>
        <w:spacing w:after="0" w:line="18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This press release shall not constitute an offer to sell or the solicitation of an offer to buy, nor shall there be any sale of the securities described herein in any jurisdiction in which such offer, solicitation or sale would be unlawful prior to registration or qualification under the securities laws of such jurisdiction.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on Forward-Looking Language</w:t>
      </w:r>
    </w:p>
    <w:p>
      <w:pPr>
        <w:spacing w:after="0" w:line="121"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Certain matters discussed in this press release are forward-looking statements. These forward-looking statements are made based on known events and circumstances at the time of release, and as such, are subject to uncertainty and changes in circumstances. These forward-looking statements include statements regarding any proposed debt financing and Post’s proposed distribution of a significant portion of its interest in New BellRing to Post shareholders, including the amount of New BellRing equity Post intends to distribute, the form of the distribution and the timing of the events related to the distribution. There is no assurance that any proposed debt financing or the proposed distribution will be completed as anticipated or at all, and there are a number of risks, uncertainties and assumptions that could cause actual results to differ materially from the forward-looking statements made herein, including risks relating to unanticipated developments that prevent, delay or negatively impact any proposed debt financing or the proposed distribution, the rapidly changing situation related to the COVID-19 pandemic and other financial, operational and legal risks and uncertainties described in Post’s and BellRing’s filings with the Securities and Exchange Commission (the “SEC”). These forward-looking statements represent Post’s and BellRing’s judgment as of the date of this release. Post and BellRing disclaim, however, any intent or obligation to update these forward-looking statements.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This release does not constitute an offer to sell, the solicitation of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In connection with the proposed transaction, New BellRing (as BellRing Distribution, LLC) has filed a registration statement of New BellRing on Form S-4 (File No. 333-261741) with the SEC, which contains a prospectus of New BellRing and a definitive proxy statement of BellRing, dated February 3, 2022, and a registration statement of New BellRing on Form S-4/S-1 (File No. 333-261873) with the SEC, which contains a prospectus of New BellRing, dated February 14, 2022. INVESTORS AND SECURITYHOLDERS ARE URGED TO READ THE REGISTRATION STATEMENTS/ PROSPECTUSES, PROXY STATEMENT AND ANY DOCUMENTS INCORPORATED BY REFERENCE THEREIN, ANY AMENDMENTS OR SUPPLEMENTS TO THESE FILINGS, AND ANY OTHER RELEVANT DOCUMENTS WHEN THEY BECOME AVAILABLE BECAUSE THEY WILL CONTAIN IMPORTANT INFORMATION ABOUT NEW BELLRING, BELLRING AND THE PROPOSED TRANSACTION. The registration statements were declared effective by the SEC on February 3, 2022, and a definitive proxy statement/prospectus was mailed on or about February 3, 2022 to stockholders of BellRing seeking that such stockholders adopt the definitive agreement for the proposed transaction. Investors and security holders will be able to obtain these materials (when they are available) and other documents filed with the SEC free of charge from the SEC’s website, www.sec.gov, Post’s website, www.postholdings.com, or BellRing’s website, www.bellring.com.</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transaction and distribution of this release may be restricted by law in certain jurisdictions and persons who come into possession of any document or other information referred to herein should inform themselves about and observe any such restrictions. Any failure to comply with these restrictions may constitute a violation of the securities laws of any such jurisdiction. No offering of securities will be made, directly or indirectly, in or into any jurisdiction where to do so would be inconsistent with the laws of such jurisdiction.</w:t>
      </w:r>
    </w:p>
    <w:p>
      <w:pPr>
        <w:sectPr>
          <w:pgSz w:w="11900" w:h="16838" w:orient="portrait"/>
          <w:cols w:equalWidth="0" w:num="1">
            <w:col w:w="11020"/>
          </w:cols>
          <w:pgMar w:left="440" w:top="121"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Participants in a Solicitation</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Post, BellRing, New BellRing and their respective directors and executive officers and other members of management and employees may be deemed to be participants in the solicitation of proxies from BellRing’s stockholders with respect to the approvals required to complete the proposed transaction. More detailed information regarding the identity of these potential participants, and any direct or indirect interests they may have in the proposed transaction, by security holdings or otherwise, is set forth in BellRing’s definitive proxy statement filed with the SEC. Information regarding the directors and executive officers of Post is available in its definitive proxy statement, which was filed with the SEC on December 6, 2021. Information regarding the directors and executive officers of BellRing is available in its definitive proxy statement, which was filed with the SEC on December 29, 2021, and its definitive proxy statement relating to the proposed transaction, which was filed with the SEC on February 3, 2022. Free copies of these documents may be obtained as described above.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Post Holdings, Inc.</w:t>
      </w:r>
    </w:p>
    <w:p>
      <w:pPr>
        <w:spacing w:after="0" w:line="12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Post Holdings, Inc., headquartered in St. Louis, Missouri, is a consumer packaged goods holding company operating in the center-of-the-store, refrigerated, foodservice, food ingredient and convenient nutrition food categories.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BellRing Brands, Inc.</w:t>
      </w:r>
    </w:p>
    <w:p>
      <w:pPr>
        <w:spacing w:after="0" w:line="121"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 xml:space="preserve">BellRing Brands, Inc. is a holding company operating in the global convenient nutrition category offering ready-to-drink shake and powder protein products. Its primary brands, </w:t>
      </w:r>
      <w:r>
        <w:rPr>
          <w:rFonts w:ascii="Arial" w:cs="Arial" w:eastAsia="Arial" w:hAnsi="Arial"/>
          <w:sz w:val="18"/>
          <w:szCs w:val="18"/>
          <w:i w:val="1"/>
          <w:iCs w:val="1"/>
          <w:color w:val="auto"/>
        </w:rPr>
        <w:t>Premier Protein</w:t>
      </w:r>
      <w:r>
        <w:rPr>
          <w:rFonts w:ascii="Arial" w:cs="Arial" w:eastAsia="Arial" w:hAnsi="Arial"/>
          <w:sz w:val="15"/>
          <w:szCs w:val="15"/>
          <w:color w:val="auto"/>
        </w:rPr>
        <w:t>®</w:t>
      </w:r>
      <w:r>
        <w:rPr>
          <w:rFonts w:ascii="Arial" w:cs="Arial" w:eastAsia="Arial" w:hAnsi="Arial"/>
          <w:sz w:val="18"/>
          <w:szCs w:val="18"/>
          <w:color w:val="auto"/>
        </w:rPr>
        <w:t xml:space="preserve"> and </w:t>
      </w:r>
      <w:r>
        <w:rPr>
          <w:rFonts w:ascii="Arial" w:cs="Arial" w:eastAsia="Arial" w:hAnsi="Arial"/>
          <w:sz w:val="18"/>
          <w:szCs w:val="18"/>
          <w:i w:val="1"/>
          <w:iCs w:val="1"/>
          <w:color w:val="auto"/>
        </w:rPr>
        <w:t>Dymatize</w:t>
      </w:r>
      <w:r>
        <w:rPr>
          <w:rFonts w:ascii="Arial" w:cs="Arial" w:eastAsia="Arial" w:hAnsi="Arial"/>
          <w:sz w:val="15"/>
          <w:szCs w:val="15"/>
          <w:color w:val="auto"/>
        </w:rPr>
        <w:t>®</w:t>
      </w:r>
      <w:r>
        <w:rPr>
          <w:rFonts w:ascii="Arial" w:cs="Arial" w:eastAsia="Arial" w:hAnsi="Arial"/>
          <w:sz w:val="18"/>
          <w:szCs w:val="18"/>
          <w:color w:val="auto"/>
        </w:rPr>
        <w:t>, appeal to a broad range of consumers and are distributed across a diverse network of channels including club, food, drug, mass, eCommerce, specialty and convenience.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Jennifer Meyer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jennifer.meyer@postholdings.com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(314) 644-7665</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2022-02-24T16:56:33Z</dcterms:created>
  <dcterms:modified xsi:type="dcterms:W3CDTF">2022-02-24T16:56:33Z</dcterms:modified>
</cp:coreProperties>
</file>