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6" w:right="479" w:bottom="1067"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STEIN ELLIOT JR</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80" w:type="dxa"/>
            <w:vAlign w:val="bottom"/>
            <w:tcBorders>
              <w:top w:val="single" w:sz="8" w:color="0000EE"/>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03/10/2022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BELLRING BRANDS,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BRBR</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1067"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BELLRING BRANDS, INC.</w:t>
            </w:r>
          </w:p>
        </w:tc>
      </w:tr>
      <w:tr>
        <w:trPr>
          <w:trHeight w:val="300"/>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92"/>
              </w:rPr>
              <w:t>2503 S. HANLEY ROAD</w:t>
            </w:r>
          </w:p>
        </w:tc>
        <w:tc>
          <w:tcPr>
            <w:tcW w:w="1020" w:type="dxa"/>
            <w:vAlign w:val="bottom"/>
          </w:tcPr>
          <w:p>
            <w:pPr>
              <w:spacing w:after="0"/>
              <w:rPr>
                <w:sz w:val="24"/>
                <w:szCs w:val="24"/>
                <w:color w:val="auto"/>
              </w:rPr>
            </w:pPr>
          </w:p>
        </w:tc>
      </w:tr>
      <w:tr>
        <w:trPr>
          <w:trHeight w:val="177"/>
        </w:trPr>
        <w:tc>
          <w:tcPr>
            <w:tcW w:w="9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5"/>
              </w:rPr>
              <w:t>ST. LOUIS</w:t>
            </w:r>
          </w:p>
        </w:tc>
        <w:tc>
          <w:tcPr>
            <w:tcW w:w="1100" w:type="dxa"/>
            <w:vAlign w:val="bottom"/>
          </w:tcPr>
          <w:p>
            <w:pPr>
              <w:ind w:left="80"/>
              <w:spacing w:after="0"/>
              <w:rPr>
                <w:sz w:val="20"/>
                <w:szCs w:val="20"/>
                <w:color w:val="auto"/>
              </w:rPr>
            </w:pPr>
            <w:r>
              <w:rPr>
                <w:rFonts w:ascii="Arial" w:cs="Arial" w:eastAsia="Arial" w:hAnsi="Arial"/>
                <w:sz w:val="20"/>
                <w:szCs w:val="20"/>
                <w:color w:val="0000FF"/>
              </w:rPr>
              <w:t>MO</w:t>
            </w:r>
          </w:p>
        </w:tc>
        <w:tc>
          <w:tcPr>
            <w:tcW w:w="1020" w:type="dxa"/>
            <w:vAlign w:val="bottom"/>
          </w:tcPr>
          <w:p>
            <w:pPr>
              <w:ind w:left="20"/>
              <w:spacing w:after="0"/>
              <w:rPr>
                <w:sz w:val="20"/>
                <w:szCs w:val="20"/>
                <w:color w:val="auto"/>
              </w:rPr>
            </w:pPr>
            <w:r>
              <w:rPr>
                <w:rFonts w:ascii="Arial" w:cs="Arial" w:eastAsia="Arial" w:hAnsi="Arial"/>
                <w:sz w:val="20"/>
                <w:szCs w:val="20"/>
                <w:color w:val="0000FF"/>
              </w:rPr>
              <w:t>63144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067"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2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jc w:val="center"/>
              <w:ind w:right="203"/>
              <w:spacing w:after="0"/>
              <w:rPr>
                <w:sz w:val="20"/>
                <w:szCs w:val="20"/>
                <w:color w:val="auto"/>
              </w:rPr>
            </w:pPr>
            <w:r>
              <w:rPr>
                <w:rFonts w:ascii="Arial" w:cs="Arial" w:eastAsia="Arial" w:hAnsi="Arial"/>
                <w:sz w:val="20"/>
                <w:szCs w:val="20"/>
                <w:color w:val="0000FF"/>
              </w:rPr>
              <w:t>15,927</w:t>
            </w:r>
            <w:r>
              <w:rPr>
                <w:rFonts w:ascii="Arial" w:cs="Arial" w:eastAsia="Arial" w:hAnsi="Arial"/>
                <w:sz w:val="25"/>
                <w:szCs w:val="25"/>
                <w:color w:val="008000"/>
                <w:vertAlign w:val="superscript"/>
              </w:rPr>
              <w:t>(1)(2)</w:t>
            </w:r>
          </w:p>
        </w:tc>
        <w:tc>
          <w:tcPr>
            <w:tcW w:w="1000" w:type="dxa"/>
            <w:vAlign w:val="bottom"/>
            <w:tcBorders>
              <w:bottom w:val="single" w:sz="8" w:color="2C2C2C"/>
            </w:tcBorders>
            <w:gridSpan w:val="2"/>
          </w:tcPr>
          <w:p>
            <w:pPr>
              <w:ind w:left="84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jc w:val="center"/>
              <w:ind w:right="263"/>
              <w:spacing w:after="0" w:line="359" w:lineRule="exact"/>
              <w:rPr>
                <w:sz w:val="20"/>
                <w:szCs w:val="20"/>
                <w:color w:val="auto"/>
              </w:rPr>
            </w:pPr>
            <w:r>
              <w:rPr>
                <w:rFonts w:ascii="Arial" w:cs="Arial" w:eastAsia="Arial" w:hAnsi="Arial"/>
                <w:sz w:val="39"/>
                <w:szCs w:val="39"/>
                <w:color w:val="0000FF"/>
                <w:vertAlign w:val="subscript"/>
              </w:rPr>
              <w:t>2,535</w:t>
            </w:r>
            <w:r>
              <w:rPr>
                <w:rFonts w:ascii="Arial" w:cs="Arial" w:eastAsia="Arial" w:hAnsi="Arial"/>
                <w:sz w:val="13"/>
                <w:szCs w:val="13"/>
                <w:color w:val="008000"/>
              </w:rPr>
              <w:t>(1)(3)</w:t>
            </w:r>
          </w:p>
        </w:tc>
        <w:tc>
          <w:tcPr>
            <w:tcW w:w="1000" w:type="dxa"/>
            <w:vAlign w:val="bottom"/>
            <w:tcBorders>
              <w:bottom w:val="single" w:sz="8" w:color="2C2C2C"/>
            </w:tcBorders>
            <w:gridSpan w:val="2"/>
          </w:tcPr>
          <w:p>
            <w:pPr>
              <w:ind w:left="880"/>
              <w:spacing w:after="0"/>
              <w:rPr>
                <w:sz w:val="20"/>
                <w:szCs w:val="20"/>
                <w:color w:val="auto"/>
              </w:rPr>
            </w:pPr>
            <w:r>
              <w:rPr>
                <w:rFonts w:ascii="Arial" w:cs="Arial" w:eastAsia="Arial" w:hAnsi="Arial"/>
                <w:sz w:val="20"/>
                <w:szCs w:val="20"/>
                <w:color w:val="0000FF"/>
              </w:rPr>
              <w:t>I</w:t>
            </w:r>
          </w:p>
        </w:tc>
        <w:tc>
          <w:tcPr>
            <w:tcW w:w="1860" w:type="dxa"/>
            <w:vAlign w:val="bottom"/>
            <w:tcBorders>
              <w:bottom w:val="single" w:sz="8" w:color="2C2C2C"/>
            </w:tcBorders>
            <w:gridSpan w:val="2"/>
          </w:tcPr>
          <w:p>
            <w:pPr>
              <w:ind w:left="580"/>
              <w:spacing w:after="0"/>
              <w:rPr>
                <w:sz w:val="20"/>
                <w:szCs w:val="20"/>
                <w:color w:val="auto"/>
              </w:rPr>
            </w:pPr>
            <w:r>
              <w:rPr>
                <w:rFonts w:ascii="Arial" w:cs="Arial" w:eastAsia="Arial" w:hAnsi="Arial"/>
                <w:sz w:val="20"/>
                <w:szCs w:val="20"/>
                <w:color w:val="0000FF"/>
              </w:rPr>
              <w:t>By 401(k)</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40" w:firstLine="5"/>
        <w:spacing w:after="0" w:line="254"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securities held upon completion of the transactions under the transaction agreement and plan of merger entered into on October 26, 2021, as amended on February 28, 2022, whereby Post Holdings, Inc. ("Post") contributed its membership units of BellRing Brands, LLC into a newly-formed subsidiary, BellRing Distribution, LLC (which converted into a Delaware corporation prior to the distribution and was renamed "BellRing Brands, Inc.") ("New BellRing"), in exchange for New BellRing stock and New BellRing debt securities and distributed a portion of its New BellRing stock to Post shareholders in a pro-rata distribution, following which BellRing Intermediate Holdings, Inc. (formerly known as BellRing Brands, Inc.) ("Old BellRing") merged with a subsidiary of New BellRing and each outstanding share of Old BellRing Class A common stock was converted into one share of New BellRing common stock and $2.97 in cash (collectively, the "Transactions").</w:t>
      </w:r>
    </w:p>
    <w:p>
      <w:pPr>
        <w:spacing w:after="0" w:line="28" w:lineRule="exact"/>
        <w:rPr>
          <w:rFonts w:ascii="Arial" w:cs="Arial" w:eastAsia="Arial" w:hAnsi="Arial"/>
          <w:sz w:val="14"/>
          <w:szCs w:val="14"/>
          <w:color w:val="008000"/>
        </w:rPr>
      </w:pPr>
    </w:p>
    <w:p>
      <w:pPr>
        <w:ind w:left="40" w:right="60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unvested restricted stock units of New BellRing received in the Transactions in respect of unvested restricted stock units of Old BellRing previously held by the Reporting Person, which awards continue to be subject to the same terms and conditions of the Old BellRing awards. Such awards may be adjusted to account for the cash consideration payable to stockholders of Old BellRing in the Transactions.</w:t>
      </w:r>
    </w:p>
    <w:p>
      <w:pPr>
        <w:spacing w:after="0" w:line="35" w:lineRule="exact"/>
        <w:rPr>
          <w:rFonts w:ascii="Arial" w:cs="Arial" w:eastAsia="Arial" w:hAnsi="Arial"/>
          <w:sz w:val="15"/>
          <w:szCs w:val="15"/>
          <w:color w:val="008000"/>
        </w:rPr>
      </w:pPr>
    </w:p>
    <w:p>
      <w:pPr>
        <w:ind w:left="40" w:right="3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Reflects an approximate number of shares of NewBellRing received in connection with the Transactions in respect of shares of Post held by the Reporting Person through the Reporting Person's 401(k) account.</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See attached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Craig L. Rosenthal,</w:t>
            </w:r>
          </w:p>
        </w:tc>
        <w:tc>
          <w:tcPr>
            <w:tcW w:w="4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03/10/2022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067" w:gutter="0" w:footer="0" w:header="0"/>
          <w:type w:val="continuous"/>
        </w:sectPr>
      </w:pPr>
    </w:p>
    <w:bookmarkStart w:id="1" w:name="page2"/>
    <w:bookmarkEnd w:id="1"/>
    <w:p>
      <w:pPr>
        <w:ind w:left="784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66"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Craig L. Rosenthal,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BellRing Brands, Inc. (i) pursuant to Section 16(a) of the Securities Exchange Act of 1934, as amended, including without limitation, statements on Form 3, Form 4 and Form 5 (including any amendments thereto) and (ii) in connection with any applications for EDGAR access codes, including without limitation the Form ID. The Power of Attorney shall remain in full force and effect until the undersigned is no longer required to file Forms 3, 4 and 5 with regard to his or her ownership of or transactions in securities of BellRing Brands, Inc. unless earlier revoked in writing. The undersigned acknowledges that Craig L. Rosenthal is not assuming any of the undersigned's responsibilities to comply with Section 16 of the Securities Exchange Act of 1934, as amended.</w:t>
      </w:r>
    </w:p>
    <w:p>
      <w:pPr>
        <w:spacing w:after="0" w:line="200" w:lineRule="exact"/>
        <w:rPr>
          <w:sz w:val="20"/>
          <w:szCs w:val="20"/>
          <w:color w:val="auto"/>
        </w:rPr>
      </w:pPr>
    </w:p>
    <w:p>
      <w:pPr>
        <w:spacing w:after="0" w:line="23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By: /s/ Elliot H. Stein, Jr.</w:t>
      </w:r>
    </w:p>
    <w:p>
      <w:pPr>
        <w:ind w:left="4560"/>
        <w:spacing w:after="0" w:line="238" w:lineRule="auto"/>
        <w:rPr>
          <w:sz w:val="20"/>
          <w:szCs w:val="20"/>
          <w:color w:val="auto"/>
        </w:rPr>
      </w:pPr>
      <w:r>
        <w:rPr>
          <w:rFonts w:ascii="Courier New" w:cs="Courier New" w:eastAsia="Courier New" w:hAnsi="Courier New"/>
          <w:sz w:val="20"/>
          <w:szCs w:val="20"/>
          <w:color w:val="auto"/>
        </w:rPr>
        <w:t>------------------------</w:t>
      </w:r>
    </w:p>
    <w:p>
      <w:pPr>
        <w:ind w:left="4100"/>
        <w:spacing w:after="0" w:line="238" w:lineRule="auto"/>
        <w:rPr>
          <w:sz w:val="20"/>
          <w:szCs w:val="20"/>
          <w:color w:val="auto"/>
        </w:rPr>
      </w:pPr>
      <w:r>
        <w:rPr>
          <w:rFonts w:ascii="Courier New" w:cs="Courier New" w:eastAsia="Courier New" w:hAnsi="Courier New"/>
          <w:sz w:val="20"/>
          <w:szCs w:val="20"/>
          <w:color w:val="auto"/>
        </w:rPr>
        <w:t>Name: Elliot H. Stein, Jr.</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March 10, 2022</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85613" TargetMode="External"/><Relationship Id="rId11"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2022-03-10T16:38:12Z</dcterms:created>
  <dcterms:modified xsi:type="dcterms:W3CDTF">2022-03-10T16:38:12Z</dcterms:modified>
</cp:coreProperties>
</file>