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Nwamu Chonda J</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BELLRING BRANDS,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BRBR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7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6"/>
            <w:vMerge w:val="continue"/>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BELLRING BRANDS, INC.</w:t>
            </w: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02/01/2023</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2503 S. HANLEY ROAD</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7"/>
            <w:vMerge w:val="continue"/>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ST. LOUIS</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MO</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63144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gridSpan w:val="5"/>
          </w:tcPr>
          <w:p>
            <w:pPr>
              <w:spacing w:after="0"/>
              <w:rPr>
                <w:sz w:val="10"/>
                <w:szCs w:val="10"/>
                <w:color w:val="auto"/>
              </w:rPr>
            </w:pPr>
          </w:p>
        </w:tc>
        <w:tc>
          <w:tcPr>
            <w:tcW w:w="12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660" w:type="dxa"/>
            <w:vAlign w:val="bottom"/>
            <w:tcBorders>
              <w:top w:val="single" w:sz="8" w:color="2C2C2C"/>
            </w:tcBorders>
            <w:gridSpan w:val="19"/>
          </w:tcPr>
          <w:p>
            <w:pPr>
              <w:ind w:left="5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4"/>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2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02/01/2023</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w w:val="97"/>
              </w:rPr>
              <w:t>3,800</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12,321</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BellRing Brands, Inc. common stock granted under the BellRing Brands, Inc. 2019 Long-Term Incentive Plan. The restricted stock units vest in full on the first anniversary of the date of grant subject to the terms of the award agreement.</w:t>
      </w:r>
    </w:p>
    <w:p>
      <w:pPr>
        <w:spacing w:after="0" w:line="7" w:lineRule="exact"/>
        <w:rPr>
          <w:rFonts w:ascii="Times New Roman" w:cs="Times New Roman" w:eastAsia="Times New Roman" w:hAnsi="Times New Roman"/>
          <w:sz w:val="13"/>
          <w:szCs w:val="13"/>
          <w:color w:val="008000"/>
        </w:rPr>
      </w:pPr>
    </w:p>
    <w:p>
      <w:pPr>
        <w:ind w:left="40" w:right="26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transactions under the transaction agreement and plan of merger entered into on October 26, 2021, as amended on February 28, 2022, whereby BellRing Intermediate Holdings, Inc. (formerly known as BellRing Brands, Inc.) ("Old BellRing") merged with a subsidiary of Issuer and each outstanding share of Old BellRing Class A common stock was converted into one share of Issuer common stock and $2.97 in cash (the "Cash Consideration" and such transactions the "Transactions"), awards under the Old BellRing 2019 Long-Term Incentive Plan were adjusted to account for the Cash Consideration paid to holders of Old Bell Ring common stock in the Transactions. The amount of securities beneficially owned following the reported transaction includes 906 additional RSUs received in connection with such adjustment, which RSUs are subject to the same vesting terms as the underlying awards.</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Craig L. Rosenthal, Attorney-  </w:t>
      </w:r>
      <w:r>
        <w:rPr>
          <w:rFonts w:ascii="Times New Roman" w:cs="Times New Roman" w:eastAsia="Times New Roman" w:hAnsi="Times New Roman"/>
          <w:sz w:val="34"/>
          <w:szCs w:val="34"/>
          <w:color w:val="0000FF"/>
          <w:vertAlign w:val="subscript"/>
        </w:rPr>
        <w:t>02/03/2023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63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64398" TargetMode="External"/><Relationship Id="rId13"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2023-02-03T16:22:23Z</dcterms:created>
  <dcterms:modified xsi:type="dcterms:W3CDTF">2023-02-03T16:22:23Z</dcterms:modified>
</cp:coreProperties>
</file>