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November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6840" w:type="dxa"/>
            <w:vAlign w:val="bottom"/>
            <w:gridSpan w:val="3"/>
          </w:tcPr>
          <w:p>
            <w:pPr>
              <w:jc w:val="center"/>
              <w:ind w:left="2826"/>
              <w:spacing w:after="0"/>
              <w:rPr>
                <w:sz w:val="20"/>
                <w:szCs w:val="20"/>
                <w:color w:val="auto"/>
              </w:rPr>
            </w:pPr>
            <w:r>
              <w:rPr>
                <w:rFonts w:ascii="Arial" w:cs="Arial" w:eastAsia="Arial" w:hAnsi="Arial"/>
                <w:sz w:val="18"/>
                <w:szCs w:val="18"/>
                <w:color w:val="auto"/>
                <w:w w:val="90"/>
              </w:rPr>
              <w:t>(Exact name of registrant as specified in its charter)</w:t>
            </w:r>
          </w:p>
        </w:tc>
        <w:tc>
          <w:tcPr>
            <w:tcW w:w="2580" w:type="dxa"/>
            <w:vAlign w:val="bottom"/>
          </w:tcPr>
          <w:p>
            <w:pPr>
              <w:spacing w:after="0"/>
              <w:rPr>
                <w:sz w:val="20"/>
                <w:szCs w:val="20"/>
                <w:color w:val="auto"/>
              </w:rPr>
            </w:pPr>
          </w:p>
        </w:tc>
      </w:tr>
      <w:tr>
        <w:trPr>
          <w:trHeight w:val="274"/>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91"/>
              </w:rPr>
              <w:t>Delaware</w:t>
            </w:r>
          </w:p>
        </w:tc>
        <w:tc>
          <w:tcPr>
            <w:tcW w:w="1880" w:type="dxa"/>
            <w:vAlign w:val="bottom"/>
          </w:tcPr>
          <w:p>
            <w:pPr>
              <w:jc w:val="center"/>
              <w:ind w:left="844"/>
              <w:spacing w:after="0"/>
              <w:rPr>
                <w:sz w:val="20"/>
                <w:szCs w:val="20"/>
                <w:color w:val="auto"/>
              </w:rPr>
            </w:pPr>
            <w:r>
              <w:rPr>
                <w:rFonts w:ascii="Arial" w:cs="Arial" w:eastAsia="Arial" w:hAnsi="Arial"/>
                <w:sz w:val="20"/>
                <w:szCs w:val="20"/>
                <w:b w:val="1"/>
                <w:bCs w:val="1"/>
                <w:color w:val="auto"/>
                <w:w w:val="89"/>
              </w:rPr>
              <w:t>001-39093</w:t>
            </w:r>
          </w:p>
        </w:tc>
        <w:tc>
          <w:tcPr>
            <w:tcW w:w="1500" w:type="dxa"/>
            <w:vAlign w:val="bottom"/>
          </w:tcPr>
          <w:p>
            <w:pPr>
              <w:spacing w:after="0"/>
              <w:rPr>
                <w:sz w:val="23"/>
                <w:szCs w:val="23"/>
                <w:color w:val="auto"/>
              </w:rPr>
            </w:pPr>
          </w:p>
        </w:tc>
        <w:tc>
          <w:tcPr>
            <w:tcW w:w="2580" w:type="dxa"/>
            <w:vAlign w:val="bottom"/>
          </w:tcPr>
          <w:p>
            <w:pPr>
              <w:jc w:val="right"/>
              <w:ind w:right="686"/>
              <w:spacing w:after="0"/>
              <w:rPr>
                <w:sz w:val="20"/>
                <w:szCs w:val="20"/>
                <w:color w:val="auto"/>
              </w:rPr>
            </w:pPr>
            <w:r>
              <w:rPr>
                <w:rFonts w:ascii="Arial" w:cs="Arial" w:eastAsia="Arial" w:hAnsi="Arial"/>
                <w:sz w:val="20"/>
                <w:szCs w:val="20"/>
                <w:b w:val="1"/>
                <w:bCs w:val="1"/>
                <w:color w:val="auto"/>
              </w:rPr>
              <w:t>87-3296749</w:t>
            </w:r>
          </w:p>
        </w:tc>
      </w:tr>
      <w:tr>
        <w:trPr>
          <w:trHeight w:val="239"/>
        </w:trPr>
        <w:tc>
          <w:tcPr>
            <w:tcW w:w="3460" w:type="dxa"/>
            <w:vAlign w:val="bottom"/>
          </w:tcPr>
          <w:p>
            <w:pPr>
              <w:jc w:val="center"/>
              <w:ind w:right="206"/>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2"/>
          </w:tcPr>
          <w:p>
            <w:pPr>
              <w:jc w:val="center"/>
              <w:ind w:right="461"/>
              <w:spacing w:after="0"/>
              <w:rPr>
                <w:sz w:val="20"/>
                <w:szCs w:val="20"/>
                <w:color w:val="auto"/>
              </w:rPr>
            </w:pPr>
            <w:r>
              <w:rPr>
                <w:rFonts w:ascii="Arial" w:cs="Arial" w:eastAsia="Arial" w:hAnsi="Arial"/>
                <w:sz w:val="18"/>
                <w:szCs w:val="18"/>
                <w:color w:val="auto"/>
                <w:w w:val="92"/>
              </w:rPr>
              <w:t>(Commission File Number)</w:t>
            </w:r>
          </w:p>
        </w:tc>
        <w:tc>
          <w:tcPr>
            <w:tcW w:w="2580" w:type="dxa"/>
            <w:vAlign w:val="bottom"/>
          </w:tcPr>
          <w:p>
            <w:pPr>
              <w:jc w:val="center"/>
              <w:ind w:left="6"/>
              <w:spacing w:after="0"/>
              <w:rPr>
                <w:sz w:val="20"/>
                <w:szCs w:val="20"/>
                <w:color w:val="auto"/>
              </w:rPr>
            </w:pPr>
            <w:r>
              <w:rPr>
                <w:rFonts w:ascii="Arial" w:cs="Arial" w:eastAsia="Arial" w:hAnsi="Arial"/>
                <w:sz w:val="18"/>
                <w:szCs w:val="18"/>
                <w:color w:val="auto"/>
                <w:w w:val="94"/>
              </w:rPr>
              <w:t>(IRS Employer Identification No.)</w:t>
            </w:r>
          </w:p>
        </w:tc>
      </w:tr>
      <w:tr>
        <w:trPr>
          <w:trHeight w:val="584"/>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89"/>
              </w:rPr>
              <w:t>2503 S. Hanley Road</w:t>
            </w:r>
          </w:p>
        </w:tc>
        <w:tc>
          <w:tcPr>
            <w:tcW w:w="1880" w:type="dxa"/>
            <w:vAlign w:val="bottom"/>
          </w:tcPr>
          <w:p>
            <w:pPr>
              <w:ind w:left="280"/>
              <w:spacing w:after="0"/>
              <w:rPr>
                <w:sz w:val="20"/>
                <w:szCs w:val="20"/>
                <w:color w:val="auto"/>
              </w:rPr>
            </w:pPr>
            <w:r>
              <w:rPr>
                <w:rFonts w:ascii="Arial" w:cs="Arial" w:eastAsia="Arial" w:hAnsi="Arial"/>
                <w:sz w:val="20"/>
                <w:szCs w:val="20"/>
                <w:b w:val="1"/>
                <w:bCs w:val="1"/>
                <w:color w:val="auto"/>
              </w:rPr>
              <w:t>St. Louis</w:t>
            </w:r>
          </w:p>
        </w:tc>
        <w:tc>
          <w:tcPr>
            <w:tcW w:w="1500" w:type="dxa"/>
            <w:vAlign w:val="bottom"/>
          </w:tcPr>
          <w:p>
            <w:pPr>
              <w:ind w:left="60"/>
              <w:spacing w:after="0"/>
              <w:rPr>
                <w:sz w:val="20"/>
                <w:szCs w:val="20"/>
                <w:color w:val="auto"/>
              </w:rPr>
            </w:pPr>
            <w:r>
              <w:rPr>
                <w:rFonts w:ascii="Arial" w:cs="Arial" w:eastAsia="Arial" w:hAnsi="Arial"/>
                <w:sz w:val="20"/>
                <w:szCs w:val="20"/>
                <w:b w:val="1"/>
                <w:bCs w:val="1"/>
                <w:color w:val="auto"/>
              </w:rPr>
              <w:t>Missouri</w:t>
            </w:r>
          </w:p>
        </w:tc>
        <w:tc>
          <w:tcPr>
            <w:tcW w:w="2580" w:type="dxa"/>
            <w:vAlign w:val="bottom"/>
          </w:tcPr>
          <w:p>
            <w:pPr>
              <w:jc w:val="right"/>
              <w:ind w:right="906"/>
              <w:spacing w:after="0"/>
              <w:rPr>
                <w:sz w:val="20"/>
                <w:szCs w:val="20"/>
                <w:color w:val="auto"/>
              </w:rPr>
            </w:pPr>
            <w:r>
              <w:rPr>
                <w:rFonts w:ascii="Arial" w:cs="Arial" w:eastAsia="Arial" w:hAnsi="Arial"/>
                <w:sz w:val="20"/>
                <w:szCs w:val="20"/>
                <w:b w:val="1"/>
                <w:bCs w:val="1"/>
                <w:color w:val="auto"/>
              </w:rPr>
              <w:t>63144</w:t>
            </w:r>
          </w:p>
        </w:tc>
      </w:tr>
      <w:tr>
        <w:trPr>
          <w:trHeight w:val="239"/>
        </w:trPr>
        <w:tc>
          <w:tcPr>
            <w:tcW w:w="5340" w:type="dxa"/>
            <w:vAlign w:val="bottom"/>
            <w:gridSpan w:val="2"/>
          </w:tcPr>
          <w:p>
            <w:pPr>
              <w:ind w:left="1760"/>
              <w:spacing w:after="0"/>
              <w:rPr>
                <w:sz w:val="20"/>
                <w:szCs w:val="20"/>
                <w:color w:val="auto"/>
              </w:rPr>
            </w:pPr>
            <w:r>
              <w:rPr>
                <w:rFonts w:ascii="Arial" w:cs="Arial" w:eastAsia="Arial" w:hAnsi="Arial"/>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Title of each class</w:t>
            </w:r>
          </w:p>
        </w:tc>
        <w:tc>
          <w:tcPr>
            <w:tcW w:w="21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7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1152525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239395</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61" w:lineRule="exact"/>
        <w:rPr>
          <w:sz w:val="20"/>
          <w:szCs w:val="20"/>
          <w:color w:val="auto"/>
        </w:rPr>
      </w:pPr>
    </w:p>
    <w:p>
      <w:pPr>
        <w:ind w:left="1380" w:hanging="1376"/>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On November 6, 2023, BellRing Brands, Inc. ("BellRing") announced that, effective immediately, Robert V. Vitale, the Executive Chair of the Board of Directors of BellRing, is taking an unexpected medical leave of absence. As a result, Darcy H. Davenport, the President and Chief Executive Officer of BellRing, will become the sole principal executive officer of BellRing.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copy of BellRing’s press release is attached as Exhibit 99.1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1202055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0000FF"/>
              </w:rPr>
              <w:t>Press Release dated November 6, 2023</w:t>
            </w:r>
          </w:p>
        </w:tc>
      </w:tr>
      <w:tr>
        <w:trPr>
          <w:trHeight w:val="20"/>
        </w:trPr>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r>
        <w:trPr>
          <w:trHeight w:val="336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November 6, 2023</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r>
        <w:trPr>
          <w:trHeight w:val="317"/>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Chief Legal Officer</w:t>
            </w:r>
          </w:p>
        </w:tc>
      </w:tr>
    </w:tbl>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35445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BellRing Brands’ Executive Chairman Rob Vitale to Take Medical Leave of Absence</w:t>
      </w:r>
    </w:p>
    <w:p>
      <w:pPr>
        <w:spacing w:after="0" w:line="298" w:lineRule="exact"/>
        <w:rPr>
          <w:sz w:val="20"/>
          <w:szCs w:val="20"/>
          <w:color w:val="auto"/>
        </w:rPr>
      </w:pPr>
    </w:p>
    <w:p>
      <w:pPr>
        <w:ind w:right="460"/>
        <w:spacing w:after="0" w:line="330" w:lineRule="auto"/>
        <w:rPr>
          <w:sz w:val="20"/>
          <w:szCs w:val="20"/>
          <w:color w:val="auto"/>
        </w:rPr>
      </w:pPr>
      <w:r>
        <w:rPr>
          <w:rFonts w:ascii="Arial" w:cs="Arial" w:eastAsia="Arial" w:hAnsi="Arial"/>
          <w:sz w:val="17"/>
          <w:szCs w:val="17"/>
          <w:b w:val="1"/>
          <w:bCs w:val="1"/>
          <w:color w:val="auto"/>
        </w:rPr>
        <w:t xml:space="preserve">St. Louis – November 6, 2023 </w:t>
      </w:r>
      <w:r>
        <w:rPr>
          <w:rFonts w:ascii="Arial" w:cs="Arial" w:eastAsia="Arial" w:hAnsi="Arial"/>
          <w:sz w:val="17"/>
          <w:szCs w:val="17"/>
          <w:color w:val="auto"/>
        </w:rPr>
        <w:t>– BellRing Brands, Inc. (NYSE:BRBR) (“BellRing”), a holding company operating in the global convenient nutrition</w:t>
      </w:r>
      <w:r>
        <w:rPr>
          <w:rFonts w:ascii="Arial" w:cs="Arial" w:eastAsia="Arial" w:hAnsi="Arial"/>
          <w:sz w:val="17"/>
          <w:szCs w:val="17"/>
          <w:b w:val="1"/>
          <w:bCs w:val="1"/>
          <w:color w:val="auto"/>
        </w:rPr>
        <w:t xml:space="preserve"> </w:t>
      </w:r>
      <w:r>
        <w:rPr>
          <w:rFonts w:ascii="Arial" w:cs="Arial" w:eastAsia="Arial" w:hAnsi="Arial"/>
          <w:sz w:val="17"/>
          <w:szCs w:val="17"/>
          <w:color w:val="auto"/>
        </w:rPr>
        <w:t>category, today announced that its Executive Chairman, Robert V. Vitale, will be taking an unexpected medical leave of absence, which was also announced by Post Holdings, Inc. At this time, it is too soon to know the course of treatment and timing of recovery.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management team and board of directors of BellRing, “Our thoughts and best wishes are with Rob and his family as he recovers.”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270"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(415) 814-9388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2023-11-06T07:26:28Z</dcterms:created>
  <dcterms:modified xsi:type="dcterms:W3CDTF">2023-11-06T07:26:28Z</dcterms:modified>
</cp:coreProperties>
</file>