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Mollere Marc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SVP, INTERNATIONAL</w:t>
      </w:r>
    </w:p>
    <w:p>
      <w:pPr>
        <w:spacing w:after="0" w:line="408"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gridSpan w:val="6"/>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11/11/2022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7,111</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29,554</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11/11/2022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913</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28,641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11/12/2022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1,206</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29,242</w:t>
            </w:r>
            <w:r>
              <w:rPr>
                <w:rFonts w:ascii="Times New Roman" w:cs="Times New Roman" w:eastAsia="Times New Roman" w:hAnsi="Times New Roman"/>
                <w:sz w:val="22"/>
                <w:szCs w:val="22"/>
                <w:color w:val="008000"/>
                <w:w w:val="97"/>
                <w:vertAlign w:val="superscript"/>
              </w:rPr>
              <w:t>(4)</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2,077</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BellRing Brands, Inc. Common Stock. The restricted stock units were granted under the BellRing Brands, Inc. 2019 Long-Term Incentive Plan in a transaction exempt under Rule 16b-3 and vest in equal annual increments over three years.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2,320 restricted stock units ("RSUs") in accordance with Rule 16b-3.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3,063 RSUs in accordance with Rule 16b-3.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1,807 additional RSUs received in connection with such adjustment, which RSUs are subject to the same vesting terms as the underlying awards.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4837"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2022-11-15T15:51:16Z</dcterms:created>
  <dcterms:modified xsi:type="dcterms:W3CDTF">2022-11-15T15:51:16Z</dcterms:modified>
</cp:coreProperties>
</file>