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100 F Street, N.E. Washington, DC 20549-6010</w:t>
      </w:r>
    </w:p>
    <w:p>
      <w:pPr>
        <w:sectPr>
          <w:pgSz w:w="11900" w:h="16838" w:orient="portrait"/>
          <w:cols w:equalWidth="0" w:num="1">
            <w:col w:w="10880"/>
          </w:cols>
          <w:pgMar w:left="440" w:top="153" w:right="579"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Irene Barberena-Meissner, Staff Attorney</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8"/>
          <w:szCs w:val="18"/>
          <w:color w:val="auto"/>
        </w:rPr>
        <w:t>Kevin Dougherty, Staff Attorney</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John Cannarella, Staff Accountant</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Karl Hiller, Accounting Branch Chief</w:t>
      </w:r>
    </w:p>
    <w:p>
      <w:pPr>
        <w:spacing w:after="0" w:line="200" w:lineRule="exact"/>
        <w:rPr>
          <w:sz w:val="24"/>
          <w:szCs w:val="24"/>
          <w:color w:val="auto"/>
        </w:rPr>
      </w:pPr>
    </w:p>
    <w:p>
      <w:pPr>
        <w:sectPr>
          <w:pgSz w:w="11900" w:h="16838" w:orient="portrait"/>
          <w:cols w:equalWidth="0" w:num="2">
            <w:col w:w="720" w:space="240"/>
            <w:col w:w="9920"/>
          </w:cols>
          <w:pgMar w:left="440" w:top="153" w:right="5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Acceleration Request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333-233867</w:t>
      </w:r>
    </w:p>
    <w:p>
      <w:pPr>
        <w:spacing w:after="0" w:line="200" w:lineRule="exact"/>
        <w:rPr>
          <w:sz w:val="24"/>
          <w:szCs w:val="24"/>
          <w:color w:val="auto"/>
        </w:rPr>
      </w:pPr>
    </w:p>
    <w:p>
      <w:pPr>
        <w:sectPr>
          <w:pgSz w:w="11900" w:h="16838" w:orient="portrait"/>
          <w:cols w:equalWidth="0" w:num="2">
            <w:col w:w="260" w:space="720"/>
            <w:col w:w="9900"/>
          </w:cols>
          <w:pgMar w:left="440" w:top="153" w:right="5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Requested Date: October 16, 2019</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Requested Time: 4:00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59" w:lineRule="auto"/>
        <w:rPr>
          <w:sz w:val="20"/>
          <w:szCs w:val="20"/>
          <w:color w:val="auto"/>
        </w:rPr>
      </w:pPr>
      <w:r>
        <w:rPr>
          <w:rFonts w:ascii="Arial" w:cs="Arial" w:eastAsia="Arial" w:hAnsi="Arial"/>
          <w:sz w:val="18"/>
          <w:szCs w:val="18"/>
          <w:color w:val="auto"/>
        </w:rPr>
        <w:t>In accordance with Rule 461 under the Securities Act of 1933, as amended (the “Act”), Morgan Stanley &amp; Co. LLC, Citigroup Global Markets Inc., J.P. Morgan Securities LLC and Goldman Sachs &amp; Co. LLC, as representatives of the several underwriters, hereby join BellRing Brands, Inc. (the “Company”) in requesting that the effective date of the above-referenced registration statement on Form S-1 (the “Registration Statement”) be accelerated to October 16, 2019, at 4:00 p.m., Eastern Time, or as soon thereafter as practicable.</w:t>
      </w:r>
    </w:p>
    <w:p>
      <w:pPr>
        <w:spacing w:after="0" w:line="187" w:lineRule="exact"/>
        <w:rPr>
          <w:sz w:val="24"/>
          <w:szCs w:val="24"/>
          <w:color w:val="auto"/>
        </w:rPr>
      </w:pPr>
    </w:p>
    <w:p>
      <w:pPr>
        <w:ind w:right="100" w:firstLine="440"/>
        <w:spacing w:after="0" w:line="308" w:lineRule="auto"/>
        <w:rPr>
          <w:sz w:val="20"/>
          <w:szCs w:val="20"/>
          <w:color w:val="auto"/>
        </w:rPr>
      </w:pPr>
      <w:r>
        <w:rPr>
          <w:rFonts w:ascii="Arial" w:cs="Arial" w:eastAsia="Arial" w:hAnsi="Arial"/>
          <w:sz w:val="17"/>
          <w:szCs w:val="17"/>
          <w:color w:val="auto"/>
        </w:rPr>
        <w:t>Pursuant to Rule 460 under the Act, please be advised that we have distributed approximately 1,675 copies of the Preliminary Prospectus of the Company, dated October 7, 2019, through the date hereof, to underwriters, dealers, institutional investors and others.</w:t>
      </w:r>
    </w:p>
    <w:p>
      <w:pPr>
        <w:spacing w:after="0" w:line="146" w:lineRule="exact"/>
        <w:rPr>
          <w:sz w:val="24"/>
          <w:szCs w:val="24"/>
          <w:color w:val="auto"/>
        </w:rPr>
      </w:pPr>
    </w:p>
    <w:p>
      <w:pPr>
        <w:ind w:right="60" w:firstLine="440"/>
        <w:spacing w:after="0" w:line="277" w:lineRule="auto"/>
        <w:rPr>
          <w:sz w:val="20"/>
          <w:szCs w:val="20"/>
          <w:color w:val="auto"/>
        </w:rPr>
      </w:pPr>
      <w:r>
        <w:rPr>
          <w:rFonts w:ascii="Arial" w:cs="Arial" w:eastAsia="Arial" w:hAnsi="Arial"/>
          <w:sz w:val="18"/>
          <w:szCs w:val="18"/>
          <w:color w:val="auto"/>
        </w:rPr>
        <w:t>We advise you that we have complied and will comply, and have been informed by the participating underwriters that they will comply, with the requirements of Rule 15c2-8 under the Securities Exchange Act of 1934, as amended.</w:t>
      </w:r>
    </w:p>
    <w:p>
      <w:pPr>
        <w:spacing w:after="0" w:line="17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80"/>
          </w:cols>
          <w:pgMar w:left="440" w:top="153"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0605" cy="38100"/>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Jacqueline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14605</wp:posOffset>
            </wp:positionV>
            <wp:extent cx="2597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Jacqueline Murphy</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CITIGROUP GLOBAL MARKETS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Waleed Matin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14605</wp:posOffset>
            </wp:positionV>
            <wp:extent cx="259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Waleed Matin</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Jaclyn Berkley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14605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Jaclyn Berkley</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Jennifer Kopylov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14605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Jennifer Kopylov</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2239"/>
        <w:spacing w:after="0"/>
        <w:rPr>
          <w:sz w:val="20"/>
          <w:szCs w:val="20"/>
          <w:color w:val="auto"/>
        </w:rPr>
      </w:pPr>
      <w:r>
        <w:rPr>
          <w:rFonts w:ascii="Arial" w:cs="Arial" w:eastAsia="Arial" w:hAnsi="Arial"/>
          <w:sz w:val="18"/>
          <w:szCs w:val="18"/>
          <w:i w:val="1"/>
          <w:iCs w:val="1"/>
          <w:color w:val="auto"/>
        </w:rPr>
        <w:t>[Signature Page to Underwriters’ Acceleration Request Letter]</w:t>
      </w:r>
    </w:p>
    <w:sectPr>
      <w:pgSz w:w="11900" w:h="16838" w:orient="portrait"/>
      <w:cols w:equalWidth="0" w:num="1">
        <w:col w:w="10019"/>
      </w:cols>
      <w:pgMar w:left="440" w:top="1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2019-12-15T16:22:12Z</dcterms:created>
  <dcterms:modified xsi:type="dcterms:W3CDTF">2019-12-15T16:22:12Z</dcterms:modified>
</cp:coreProperties>
</file>