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SCHEDULE 13G</w:t>
      </w:r>
    </w:p>
    <w:p>
      <w:pPr>
        <w:spacing w:after="0" w:line="131" w:lineRule="exact"/>
        <w:rPr>
          <w:sz w:val="24"/>
          <w:szCs w:val="24"/>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143510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BellRing Brands,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079823100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the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 :</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04"/>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right="6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2 of 5 Pages</w:t>
      </w:r>
    </w:p>
    <w:p>
      <w:pPr>
        <w:spacing w:after="0" w:line="144" w:lineRule="exact"/>
        <w:rPr>
          <w:sz w:val="20"/>
          <w:szCs w:val="20"/>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402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402580"/>
                    </a:xfrm>
                    <a:prstGeom prst="rect">
                      <a:avLst/>
                    </a:prstGeom>
                    <a:noFill/>
                  </pic:spPr>
                </pic:pic>
              </a:graphicData>
            </a:graphic>
          </wp:anchor>
        </w:drawing>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GIC Private Limited</w:t>
      </w:r>
    </w:p>
    <w:p>
      <w:pPr>
        <w:spacing w:after="0" w:line="24" w:lineRule="exact"/>
        <w:rPr>
          <w:sz w:val="20"/>
          <w:szCs w:val="20"/>
          <w:color w:val="auto"/>
        </w:rPr>
      </w:pPr>
    </w:p>
    <w:p>
      <w:pPr>
        <w:ind w:left="540" w:hanging="28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Republic of Singapore</w:t>
      </w:r>
    </w:p>
    <w:p>
      <w:pPr>
        <w:spacing w:after="0" w:line="24" w:lineRule="exact"/>
        <w:rPr>
          <w:sz w:val="20"/>
          <w:szCs w:val="20"/>
          <w:color w:val="auto"/>
        </w:rPr>
      </w:pPr>
    </w:p>
    <w:p>
      <w:pPr>
        <w:ind w:left="1880" w:hanging="350"/>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1,900,668</w:t>
            </w:r>
          </w:p>
        </w:tc>
        <w:tc>
          <w:tcPr>
            <w:tcW w:w="0" w:type="dxa"/>
            <w:vAlign w:val="bottom"/>
          </w:tcPr>
          <w:p>
            <w:pPr>
              <w:spacing w:after="0"/>
              <w:rPr>
                <w:sz w:val="1"/>
                <w:szCs w:val="1"/>
                <w:color w:val="auto"/>
              </w:rPr>
            </w:pPr>
          </w:p>
        </w:tc>
      </w:tr>
      <w:tr>
        <w:trPr>
          <w:trHeight w:val="48"/>
        </w:trPr>
        <w:tc>
          <w:tcPr>
            <w:tcW w:w="12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6</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2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4"/>
              </w:rPr>
              <w:t>SHARES</w:t>
            </w:r>
          </w:p>
        </w:tc>
        <w:tc>
          <w:tcPr>
            <w:tcW w:w="280" w:type="dxa"/>
            <w:vAlign w:val="bottom"/>
            <w:vMerge w:val="continue"/>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3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9280" w:type="dxa"/>
            <w:vAlign w:val="bottom"/>
            <w:vMerge w:val="restart"/>
          </w:tcPr>
          <w:p>
            <w:pPr>
              <w:ind w:left="120"/>
              <w:spacing w:after="0"/>
              <w:rPr>
                <w:sz w:val="20"/>
                <w:szCs w:val="20"/>
                <w:color w:val="auto"/>
              </w:rPr>
            </w:pPr>
            <w:r>
              <w:rPr>
                <w:rFonts w:ascii="Arial" w:cs="Arial" w:eastAsia="Arial" w:hAnsi="Arial"/>
                <w:sz w:val="22"/>
                <w:szCs w:val="22"/>
                <w:color w:val="auto"/>
              </w:rPr>
              <w:t>200,132</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20"/>
                <w:szCs w:val="20"/>
                <w:color w:val="auto"/>
              </w:rPr>
            </w:pPr>
          </w:p>
        </w:tc>
        <w:tc>
          <w:tcPr>
            <w:tcW w:w="9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28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21"/>
                <w:szCs w:val="21"/>
                <w:color w:val="auto"/>
              </w:rPr>
            </w:pPr>
          </w:p>
        </w:tc>
        <w:tc>
          <w:tcPr>
            <w:tcW w:w="9280" w:type="dxa"/>
            <w:vAlign w:val="bottom"/>
          </w:tcPr>
          <w:p>
            <w:pPr>
              <w:ind w:left="120"/>
              <w:spacing w:after="0" w:line="244" w:lineRule="exact"/>
              <w:rPr>
                <w:sz w:val="20"/>
                <w:szCs w:val="20"/>
                <w:color w:val="auto"/>
              </w:rPr>
            </w:pPr>
            <w:r>
              <w:rPr>
                <w:rFonts w:ascii="Arial" w:cs="Arial" w:eastAsia="Arial" w:hAnsi="Arial"/>
                <w:sz w:val="22"/>
                <w:szCs w:val="22"/>
                <w:color w:val="auto"/>
              </w:rPr>
              <w:t>1,900,668</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8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200,132</w:t>
      </w:r>
    </w:p>
    <w:p>
      <w:pPr>
        <w:spacing w:after="0" w:line="24" w:lineRule="exact"/>
        <w:rPr>
          <w:sz w:val="20"/>
          <w:szCs w:val="20"/>
          <w:color w:val="auto"/>
        </w:rPr>
      </w:pPr>
    </w:p>
    <w:p>
      <w:pPr>
        <w:ind w:left="540" w:hanging="28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2,100,800</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10</w:t>
        <w:tab/>
        <w:t>CHECK BOX IF THE AGGREGATE AMOUNT IN ROW (9) EXCLUDES CERTAIN SHARES (See Instructions)</w:t>
      </w:r>
    </w:p>
    <w:p>
      <w:pPr>
        <w:spacing w:after="0" w:line="219" w:lineRule="exact"/>
        <w:rPr>
          <w:sz w:val="20"/>
          <w:szCs w:val="20"/>
          <w:color w:val="auto"/>
        </w:rPr>
      </w:pPr>
    </w:p>
    <w:p>
      <w:pPr>
        <w:ind w:left="5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 xml:space="preserve">5.33% </w:t>
      </w:r>
      <w:r>
        <w:rPr>
          <w:rFonts w:ascii="Arial" w:cs="Arial" w:eastAsia="Arial" w:hAnsi="Arial"/>
          <w:sz w:val="18"/>
          <w:szCs w:val="18"/>
          <w:color w:val="auto"/>
        </w:rPr>
        <w:t>(1)</w:t>
      </w:r>
    </w:p>
    <w:p>
      <w:pPr>
        <w:spacing w:after="0" w:line="24"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12</w:t>
        <w:tab/>
        <w:t>TYPE OF REPORTING PERSON (See Instructions)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63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93" w:lineRule="exact"/>
        <w:rPr>
          <w:sz w:val="20"/>
          <w:szCs w:val="20"/>
          <w:color w:val="auto"/>
        </w:rPr>
      </w:pPr>
    </w:p>
    <w:p>
      <w:pPr>
        <w:ind w:left="440" w:right="380" w:hanging="436"/>
        <w:spacing w:after="0" w:line="277" w:lineRule="auto"/>
        <w:tabs>
          <w:tab w:leader="none" w:pos="4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Based on 39,428,571 Class A Shares outstanding as of November 18, 2019, according to the Report on Form 10-K filed by the Issuer with the Securities and Exchange Commission on November 22, 2019.</w:t>
      </w:r>
    </w:p>
    <w:p>
      <w:pPr>
        <w:sectPr>
          <w:pgSz w:w="11900" w:h="16838" w:orient="portrait"/>
          <w:cols w:equalWidth="0" w:num="1">
            <w:col w:w="11040"/>
          </w:cols>
          <w:pgMar w:left="440" w:top="27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3 of 5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Persons Filing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GIC Private Limited (“GIC”)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168 Robinson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#37-01 Capital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068912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$0.01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079823100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3 If this statement in filed pursuant to §§240.13d-1(b), or 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 - c) The aggregate number of securities and percentage of the class of securities of the Issuer beneficially owned by the Reporting Person named in Item 2(a), as well as the number of securities as to which such person is deemed to have sole power to vote or to direct the vote, shared power to vote or to direct the vote, sole power to dispose or to direct the disposition, shared power to dispose or direct the disposition, is set forth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1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No. of Securities</w:t>
            </w:r>
          </w:p>
        </w:tc>
        <w:tc>
          <w:tcPr>
            <w:tcW w:w="1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Percent of Class (3)</w:t>
            </w:r>
          </w:p>
        </w:tc>
        <w:tc>
          <w:tcPr>
            <w:tcW w:w="230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Voting Power</w:t>
            </w:r>
          </w:p>
        </w:tc>
        <w:tc>
          <w:tcPr>
            <w:tcW w:w="198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Dispositive Power</w:t>
            </w:r>
          </w:p>
        </w:tc>
        <w:tc>
          <w:tcPr>
            <w:tcW w:w="0" w:type="dxa"/>
            <w:vAlign w:val="bottom"/>
          </w:tcPr>
          <w:p>
            <w:pPr>
              <w:spacing w:after="0"/>
              <w:rPr>
                <w:sz w:val="1"/>
                <w:szCs w:val="1"/>
                <w:color w:val="auto"/>
              </w:rPr>
            </w:pPr>
          </w:p>
        </w:tc>
      </w:tr>
      <w:tr>
        <w:trPr>
          <w:trHeight w:val="158"/>
        </w:trPr>
        <w:tc>
          <w:tcPr>
            <w:tcW w:w="2580" w:type="dxa"/>
            <w:vAlign w:val="bottom"/>
            <w:gridSpan w:val="3"/>
            <w:vMerge w:val="continue"/>
          </w:tcPr>
          <w:p>
            <w:pPr>
              <w:spacing w:after="0"/>
              <w:rPr>
                <w:sz w:val="13"/>
                <w:szCs w:val="13"/>
                <w:color w:val="auto"/>
              </w:rPr>
            </w:pPr>
          </w:p>
        </w:tc>
        <w:tc>
          <w:tcPr>
            <w:tcW w:w="23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Beneficially Owned</w:t>
            </w:r>
          </w:p>
        </w:tc>
        <w:tc>
          <w:tcPr>
            <w:tcW w:w="1820" w:type="dxa"/>
            <w:vAlign w:val="bottom"/>
            <w:gridSpan w:val="3"/>
            <w:vMerge w:val="continue"/>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320" w:type="dxa"/>
            <w:vAlign w:val="bottom"/>
            <w:vMerge w:val="restart"/>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8"/>
                <w:szCs w:val="18"/>
                <w:color w:val="auto"/>
              </w:rPr>
              <w:t>GIC Private Limited</w:t>
            </w:r>
          </w:p>
        </w:tc>
        <w:tc>
          <w:tcPr>
            <w:tcW w:w="23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2,100,800</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5.33</w:t>
            </w:r>
          </w:p>
        </w:tc>
        <w:tc>
          <w:tcPr>
            <w:tcW w:w="3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Sole (1), (2)</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Shared (1), (2)</w:t>
            </w:r>
          </w:p>
        </w:tc>
        <w:tc>
          <w:tcPr>
            <w:tcW w:w="320" w:type="dxa"/>
            <w:vAlign w:val="bottom"/>
            <w:vMerge w:val="continue"/>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Sole (1), (2)</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Shared (1), (2)</w:t>
            </w:r>
          </w:p>
        </w:tc>
        <w:tc>
          <w:tcPr>
            <w:tcW w:w="0" w:type="dxa"/>
            <w:vAlign w:val="bottom"/>
          </w:tcPr>
          <w:p>
            <w:pPr>
              <w:spacing w:after="0"/>
              <w:rPr>
                <w:sz w:val="1"/>
                <w:szCs w:val="1"/>
                <w:color w:val="auto"/>
              </w:rPr>
            </w:pPr>
          </w:p>
        </w:tc>
      </w:tr>
      <w:tr>
        <w:trPr>
          <w:trHeight w:val="224"/>
        </w:trPr>
        <w:tc>
          <w:tcPr>
            <w:tcW w:w="2580" w:type="dxa"/>
            <w:vAlign w:val="bottom"/>
            <w:gridSpan w:val="3"/>
            <w:vMerge w:val="continue"/>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1,900,668</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200,132</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1,900,668</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200,132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4 of 5 Pages</w:t>
      </w:r>
    </w:p>
    <w:p>
      <w:pPr>
        <w:spacing w:after="0" w:line="131" w:lineRule="exact"/>
        <w:rPr>
          <w:sz w:val="20"/>
          <w:szCs w:val="20"/>
          <w:color w:val="auto"/>
        </w:rPr>
      </w:pPr>
    </w:p>
    <w:p>
      <w:pPr>
        <w:ind w:left="440" w:right="100" w:hanging="436"/>
        <w:spacing w:after="0" w:line="286"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GIC is a fund manager and only has 2 clients – the Government of Singapore (“GoS”) and the Monetary Authority of Singapore (“MAS”). Under the investment management agreement with GoS, GIC has been given the sole discretion to exercise the voting rights attached to, and the disposition of, any shares managed on behalf of GoS. As such, GIC has the sole power to vote and power to dispose of the 1,900,668 securities beneficially owned by it. GIC shares power to vote and dispose of 200,132 securities beneficially owned by it with MAS.</w:t>
      </w:r>
    </w:p>
    <w:p>
      <w:pPr>
        <w:spacing w:after="0" w:line="1" w:lineRule="exact"/>
        <w:rPr>
          <w:rFonts w:ascii="Arial" w:cs="Arial" w:eastAsia="Arial" w:hAnsi="Arial"/>
          <w:sz w:val="16"/>
          <w:szCs w:val="16"/>
          <w:color w:val="auto"/>
        </w:rPr>
      </w:pPr>
    </w:p>
    <w:p>
      <w:pPr>
        <w:ind w:left="440" w:hanging="4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GIC disclaims membership in a group.</w:t>
      </w:r>
    </w:p>
    <w:p>
      <w:pPr>
        <w:spacing w:after="0" w:line="9" w:lineRule="exact"/>
        <w:rPr>
          <w:rFonts w:ascii="Arial" w:cs="Arial" w:eastAsia="Arial" w:hAnsi="Arial"/>
          <w:sz w:val="18"/>
          <w:szCs w:val="18"/>
          <w:color w:val="auto"/>
        </w:rPr>
      </w:pPr>
    </w:p>
    <w:p>
      <w:pPr>
        <w:ind w:left="440" w:right="360" w:hanging="436"/>
        <w:spacing w:after="0" w:line="261"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39,428,571 Class A Shares outstanding as of November 18, 2019, according to the Report on Form 10-K filed by the Issuer with the Securities and Exchange Commission on November 22,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5340"/>
        <w:spacing w:after="0" w:line="407" w:lineRule="auto"/>
        <w:rPr>
          <w:sz w:val="20"/>
          <w:szCs w:val="20"/>
          <w:color w:val="auto"/>
        </w:rPr>
      </w:pPr>
      <w:r>
        <w:rPr>
          <w:rFonts w:ascii="Arial" w:cs="Arial" w:eastAsia="Arial" w:hAnsi="Arial"/>
          <w:sz w:val="18"/>
          <w:szCs w:val="18"/>
          <w:b w:val="1"/>
          <w:bCs w:val="1"/>
          <w:color w:val="auto"/>
        </w:rPr>
        <w:t xml:space="preserve">Item 6 Ownership of More than Five Percent on Behalf of Another Person </w:t>
      </w:r>
      <w:r>
        <w:rPr>
          <w:rFonts w:ascii="Arial" w:cs="Arial" w:eastAsia="Arial" w:hAnsi="Arial"/>
          <w:sz w:val="18"/>
          <w:szCs w:val="18"/>
          <w:color w:val="auto"/>
        </w:rPr>
        <w:t>Not applicable.</w:t>
      </w:r>
    </w:p>
    <w:p>
      <w:pPr>
        <w:spacing w:after="0" w:line="162" w:lineRule="exact"/>
        <w:rPr>
          <w:sz w:val="20"/>
          <w:szCs w:val="20"/>
          <w:color w:val="auto"/>
        </w:rPr>
      </w:pPr>
    </w:p>
    <w:p>
      <w:pPr>
        <w:ind w:right="340"/>
        <w:spacing w:after="0" w:line="407"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CUSIP No. 079823100</w:t>
      </w:r>
      <w:r>
        <w:rPr>
          <w:sz w:val="20"/>
          <w:szCs w:val="20"/>
          <w:color w:val="auto"/>
        </w:rPr>
        <w:tab/>
      </w:r>
      <w:r>
        <w:rPr>
          <w:rFonts w:ascii="Arial" w:cs="Arial" w:eastAsia="Arial" w:hAnsi="Arial"/>
          <w:sz w:val="15"/>
          <w:szCs w:val="15"/>
          <w:color w:val="auto"/>
        </w:rPr>
        <w:t>Page 5 of 5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as of February 14, 2020.</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GIC PRIVATE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Celine Loh Sze Ling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Celine Loh Sze 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Toh Tze Meng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Toh Tze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2020-02-14T15:32:24Z</dcterms:created>
  <dcterms:modified xsi:type="dcterms:W3CDTF">2020-02-14T15:32:24Z</dcterms:modified>
</cp:coreProperties>
</file>