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vMerge w:val="restart"/>
          </w:tcPr>
          <w:p>
            <w:pPr>
              <w:jc w:val="center"/>
              <w:ind w:righ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19"/>
            <w:vMerge w:val="restart"/>
          </w:tcPr>
          <w:p>
            <w:pPr>
              <w:jc w:val="center"/>
              <w:ind w:right="7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40" w:type="dxa"/>
            <w:vAlign w:val="bottom"/>
            <w:gridSpan w:val="17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Nwamu Chonda J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4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 satisfy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0" w:type="dxa"/>
            <w:vAlign w:val="bottom"/>
            <w:gridSpan w:val="11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the affirmative defense conditions of Rule 10b5-1(c). See Instruction 10.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614.754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614.754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4,078.625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-5341620</wp:posOffset>
            </wp:positionV>
            <wp:extent cx="7046595" cy="558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40" w:firstLine="1"/>
        <w:spacing w:after="0" w:line="238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Craig L. Rosenthal, Attorney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50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-20955</wp:posOffset>
            </wp:positionV>
            <wp:extent cx="2914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32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64398" TargetMode="External"/><Relationship Id="rId9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2023-07-05T16:28:06Z</dcterms:created>
  <dcterms:modified xsi:type="dcterms:W3CDTF">2023-07-05T16:28:06Z</dcterms:modified>
</cp:coreProperties>
</file>