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827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VITALE ROBERT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11,295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resigned as trustee and no longer has a reportable beneficial interest in the shares of BellRing common stock owned by his son's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resigned as trustee and no longer has a reportable beneficial interest in the shares of BellRing common stock owned by his daughter's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2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021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2023-11-24T08:28:38Z</dcterms:created>
  <dcterms:modified xsi:type="dcterms:W3CDTF">2023-11-24T08:28:38Z</dcterms:modified>
</cp:coreProperties>
</file>