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7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5243830</wp:posOffset>
            </wp:positionH>
            <wp:positionV relativeFrom="paragraph">
              <wp:posOffset>-584200</wp:posOffset>
            </wp:positionV>
            <wp:extent cx="7620" cy="5848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8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-592455</wp:posOffset>
            </wp:positionV>
            <wp:extent cx="7620" cy="5930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-568325</wp:posOffset>
            </wp:positionV>
            <wp:extent cx="1272540" cy="545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54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31115</wp:posOffset>
            </wp:positionV>
            <wp:extent cx="6972935" cy="1684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935" cy="168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ERICKSON THOMAS 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BELLRING BRANDS,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BRBR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04/01/2020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56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Inc. Class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1,233.834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04/01/2020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1,233.834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17.56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1,233.834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 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-2593340</wp:posOffset>
            </wp:positionV>
            <wp:extent cx="7035800" cy="2727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272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Equivalents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00" w:hanging="3"/>
        <w:spacing w:after="0" w:line="254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equivalents have no fixed exercisable or expiration dates.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Craig L. Rosenthal,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04/02/2020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5255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29083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5589270</wp:posOffset>
            </wp:positionH>
            <wp:positionV relativeFrom="paragraph">
              <wp:posOffset>-80010</wp:posOffset>
            </wp:positionV>
            <wp:extent cx="46799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3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053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2020-04-02T15:12:55Z</dcterms:created>
  <dcterms:modified xsi:type="dcterms:W3CDTF">2020-04-02T15:12:55Z</dcterms:modified>
</cp:coreProperties>
</file>