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/>
        <w:spacing w:after="0" w:line="25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33020</wp:posOffset>
            </wp:positionH>
            <wp:positionV relativeFrom="paragraph">
              <wp:posOffset>-234950</wp:posOffset>
            </wp:positionV>
            <wp:extent cx="128905" cy="12890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05" cy="128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7"/>
        </w:trPr>
        <w:tc>
          <w:tcPr>
            <w:tcW w:w="6240" w:type="dxa"/>
            <w:vAlign w:val="bottom"/>
          </w:tcPr>
          <w:p>
            <w:pPr>
              <w:jc w:val="center"/>
              <w:ind w:right="2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18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18"/>
              <w:spacing w:after="0" w:line="18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5243195</wp:posOffset>
            </wp:positionH>
            <wp:positionV relativeFrom="paragraph">
              <wp:posOffset>-615950</wp:posOffset>
            </wp:positionV>
            <wp:extent cx="57785" cy="6292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29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3955415</wp:posOffset>
            </wp:positionH>
            <wp:positionV relativeFrom="paragraph">
              <wp:posOffset>-615950</wp:posOffset>
            </wp:positionV>
            <wp:extent cx="57785" cy="62928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29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-1662430</wp:posOffset>
            </wp:positionH>
            <wp:positionV relativeFrom="paragraph">
              <wp:posOffset>20955</wp:posOffset>
            </wp:positionV>
            <wp:extent cx="7047865" cy="4774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7865" cy="4774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20" w:space="380"/>
            <w:col w:w="8480"/>
          </w:cols>
          <w:pgMar w:left="460" w:top="216" w:right="359" w:bottom="1440" w:gutter="0" w:footer="0" w:header="0"/>
        </w:sectPr>
      </w:pP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STEIN ELLIOT JR</w:t>
        </w:r>
      </w:hyperlink>
    </w:p>
    <w:p>
      <w:pPr>
        <w:spacing w:after="0" w:line="29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3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C/O BELLRING BRANDS, INC.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3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2503 S. HANLEY ROAD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55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ST. LOUIS</w:t>
            </w:r>
          </w:p>
        </w:tc>
        <w:tc>
          <w:tcPr>
            <w:tcW w:w="13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MO</w:t>
            </w:r>
          </w:p>
        </w:tc>
        <w:tc>
          <w:tcPr>
            <w:tcW w:w="13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63144</w:t>
            </w: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3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80" w:type="dxa"/>
            <w:vAlign w:val="bottom"/>
            <w:gridSpan w:val="3"/>
          </w:tcPr>
          <w:p>
            <w:pPr>
              <w:spacing w:after="0" w:line="139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BELLRING BRANDS,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BRBR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40" w:type="dxa"/>
            <w:vAlign w:val="bottom"/>
            <w:vMerge w:val="restart"/>
          </w:tcPr>
          <w:p>
            <w:pPr>
              <w:ind w:left="6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Director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4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12/29/2023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38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29" w:lineRule="exact"/>
        <w:rPr>
          <w:sz w:val="24"/>
          <w:szCs w:val="24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Rule 10b5-1(c) Transaction Indication</w:t>
      </w:r>
    </w:p>
    <w:p>
      <w:pPr>
        <w:spacing w:after="0" w:line="215" w:lineRule="exact"/>
        <w:rPr>
          <w:sz w:val="24"/>
          <w:szCs w:val="24"/>
          <w:color w:val="auto"/>
        </w:rPr>
      </w:pPr>
    </w:p>
    <w:p>
      <w:pPr>
        <w:ind w:left="320" w:right="400"/>
        <w:spacing w:after="0" w:line="28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7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3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7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BellRing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700" w:type="dxa"/>
            <w:vAlign w:val="bottom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Brands,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Inc.</w:t>
            </w:r>
          </w:p>
        </w:tc>
        <w:tc>
          <w:tcPr>
            <w:tcW w:w="7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12/29/2023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172.887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2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172.887</w:t>
            </w:r>
          </w:p>
        </w:tc>
        <w:tc>
          <w:tcPr>
            <w:tcW w:w="6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55.43</w:t>
            </w:r>
          </w:p>
        </w:tc>
        <w:tc>
          <w:tcPr>
            <w:tcW w:w="9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830.917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700" w:type="dxa"/>
            <w:vAlign w:val="bottom"/>
          </w:tcPr>
          <w:p>
            <w:pPr>
              <w:ind w:left="60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FF"/>
              </w:rPr>
              <w:t>Common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 w:line="223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Stock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Equivalents</w:t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 w:right="200" w:hanging="1"/>
        <w:spacing w:after="0" w:line="237" w:lineRule="auto"/>
        <w:tabs>
          <w:tab w:leader="none" w:pos="167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 portion of Reporting Person's retainer earned as a Director of Issuer is deferred into Issuer Common Stock equivalents under the Issuer's Deferred Compensation Plan for Directors. Reporting Person is credited with stock equivalents on a quarterly basis as soon as administratively practical following the quarter in which such retainer is earned. The value of these stock equivalents is distributed (on a one-for-one basis) in the form of Issuer Common Stock upon Reporting Person's retirement from the Board of Directors.</w:t>
      </w:r>
    </w:p>
    <w:p>
      <w:pPr>
        <w:sectPr>
          <w:pgSz w:w="11900" w:h="16838" w:orient="portrait"/>
          <w:cols w:equalWidth="0" w:num="1">
            <w:col w:w="11080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2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2. The Common Stock equivalents have no fixed exercisable or expiration dates.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Remarks:</w:t>
      </w:r>
    </w:p>
    <w:p>
      <w:pPr>
        <w:spacing w:after="0" w:line="133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/s/ Craig L. Rosenthal,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-3175</wp:posOffset>
            </wp:positionV>
            <wp:extent cx="134239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23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in 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-10795</wp:posOffset>
            </wp:positionV>
            <wp:extent cx="28765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6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01/03/2024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-635</wp:posOffset>
            </wp:positionH>
            <wp:positionV relativeFrom="paragraph">
              <wp:posOffset>-3175</wp:posOffset>
            </wp:positionV>
            <wp:extent cx="47688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8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700" w:space="100"/>
            <w:col w:w="2280"/>
          </w:cols>
          <w:pgMar w:left="460" w:top="216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jc w:val="both"/>
        <w:ind w:left="40" w:right="3720" w:hanging="1"/>
        <w:spacing w:after="0" w:line="330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85613" TargetMode="External"/><Relationship Id="rId13" Type="http://schemas.openxmlformats.org/officeDocument/2006/relationships/hyperlink" Target="http://www.sec.gov/cgi-bin/browse-edgar?action=getcompany&amp;CIK=000177201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2024-01-03T17:47:43Z</dcterms:created>
  <dcterms:modified xsi:type="dcterms:W3CDTF">2024-01-03T17:47:43Z</dcterms:modified>
</cp:coreProperties>
</file>