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4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7" w:lineRule="exact"/>
        <w:rPr>
          <w:sz w:val="24"/>
          <w:szCs w:val="24"/>
          <w:color w:val="auto"/>
        </w:rPr>
      </w:pPr>
    </w:p>
    <w:p>
      <w:pPr>
        <w:ind w:left="4660" w:right="1239" w:hanging="4652"/>
        <w:spacing w:after="0" w:line="274" w:lineRule="auto"/>
        <w:tabs>
          <w:tab w:leader="none" w:pos="364"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the year ended December 31, 2021</w:t>
      </w:r>
    </w:p>
    <w:p>
      <w:pPr>
        <w:spacing w:after="0" w:line="27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74" w:lineRule="exact"/>
        <w:rPr>
          <w:sz w:val="24"/>
          <w:szCs w:val="24"/>
          <w:color w:val="auto"/>
        </w:rPr>
      </w:pPr>
    </w:p>
    <w:p>
      <w:pPr>
        <w:ind w:left="4320" w:right="2079" w:hanging="4312"/>
        <w:spacing w:after="0" w:line="298" w:lineRule="auto"/>
        <w:tabs>
          <w:tab w:leader="none" w:pos="363" w:val="left"/>
        </w:tabs>
        <w:numPr>
          <w:ilvl w:val="0"/>
          <w:numId w:val="2"/>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8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22"/>
          <w:szCs w:val="22"/>
          <w:b w:val="1"/>
          <w:bCs w:val="1"/>
          <w:u w:val="single" w:color="auto"/>
          <w:color w:val="auto"/>
        </w:rPr>
        <w:t>1-39093</w:t>
      </w:r>
    </w:p>
    <w:p>
      <w:pPr>
        <w:spacing w:after="0" w:line="269" w:lineRule="exact"/>
        <w:rPr>
          <w:sz w:val="24"/>
          <w:szCs w:val="24"/>
          <w:color w:val="auto"/>
        </w:rPr>
      </w:pP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5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9"/>
          <w:szCs w:val="29"/>
          <w:b w:val="1"/>
          <w:bCs w:val="1"/>
          <w:color w:val="auto"/>
        </w:rPr>
        <w:t>BellRing Brands, Inc. 401(k) Plan</w:t>
      </w:r>
    </w:p>
    <w:p>
      <w:pPr>
        <w:spacing w:after="0" w:line="303" w:lineRule="exact"/>
        <w:rPr>
          <w:sz w:val="24"/>
          <w:szCs w:val="24"/>
          <w:color w:val="auto"/>
        </w:rPr>
      </w:pPr>
    </w:p>
    <w:p>
      <w:pPr>
        <w:ind w:left="440" w:hanging="432"/>
        <w:spacing w:after="0"/>
        <w:tabs>
          <w:tab w:leader="none" w:pos="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177165</wp:posOffset>
            </wp:positionV>
            <wp:extent cx="172275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BellRing Brands, Inc.</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2503 S. Hanley Road</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gridSpan w:val="8"/>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gridSpan w:val="8"/>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w w:val="99"/>
              </w:rPr>
              <w:t>401(k) Plan</w:t>
            </w:r>
          </w:p>
        </w:tc>
      </w:t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00" w:type="dxa"/>
            <w:vAlign w:val="bottom"/>
            <w:gridSpan w:val="8"/>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44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020" w:type="dxa"/>
            <w:vAlign w:val="bottom"/>
            <w:gridSpan w:val="6"/>
            <w:shd w:val="clear" w:color="auto" w:fill="CCEEFF"/>
          </w:tcPr>
          <w:p>
            <w:pPr>
              <w:jc w:val="center"/>
              <w:ind w:left="577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29"/>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89"/>
        </w:trPr>
        <w:tc>
          <w:tcPr>
            <w:tcW w:w="44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6020" w:type="dxa"/>
            <w:vAlign w:val="bottom"/>
            <w:gridSpan w:val="6"/>
          </w:tcPr>
          <w:p>
            <w:pPr>
              <w:jc w:val="center"/>
              <w:ind w:left="577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4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6020" w:type="dxa"/>
            <w:vAlign w:val="bottom"/>
            <w:gridSpan w:val="6"/>
          </w:tcPr>
          <w:p>
            <w:pPr>
              <w:jc w:val="center"/>
              <w:ind w:left="577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4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6020" w:type="dxa"/>
            <w:vAlign w:val="bottom"/>
            <w:gridSpan w:val="6"/>
          </w:tcPr>
          <w:p>
            <w:pPr>
              <w:jc w:val="center"/>
              <w:ind w:left="577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0"/>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5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44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of Assets (Held at End of Year)</w:t>
            </w:r>
          </w:p>
        </w:tc>
        <w:tc>
          <w:tcPr>
            <w:tcW w:w="6020" w:type="dxa"/>
            <w:vAlign w:val="bottom"/>
            <w:gridSpan w:val="6"/>
            <w:shd w:val="clear" w:color="auto" w:fill="CCEEFF"/>
          </w:tcPr>
          <w:p>
            <w:pPr>
              <w:jc w:val="center"/>
              <w:ind w:left="577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10"/>
        </w:trPr>
        <w:tc>
          <w:tcPr>
            <w:tcW w:w="44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6020" w:type="dxa"/>
            <w:vAlign w:val="bottom"/>
            <w:gridSpan w:val="6"/>
            <w:shd w:val="clear" w:color="auto" w:fill="CCEEFF"/>
          </w:tcPr>
          <w:p>
            <w:pPr>
              <w:jc w:val="center"/>
              <w:ind w:left="575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189"/>
        </w:trPr>
        <w:tc>
          <w:tcPr>
            <w:tcW w:w="44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020" w:type="dxa"/>
            <w:vAlign w:val="bottom"/>
            <w:gridSpan w:val="6"/>
            <w:shd w:val="clear" w:color="auto" w:fill="CCEEFF"/>
          </w:tcPr>
          <w:p>
            <w:pPr>
              <w:jc w:val="center"/>
              <w:ind w:left="577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1"/>
        </w:trPr>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6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Employee Benefit Trustees Committee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 and Administrator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BellRing Brands, Inc. 401(k) Plan (the “Plan”) as of December 31, 2021 and 2020, and the related statement of changes in net assets available for benefits for the year ended December 31, 2021, and the related notes and schedule (collectively referred to as the financial statements). In our opinion, the financial statements present fairly, in all material respects, the net assets available for benefits for the Plan as of December 31, 2021 and 2020, and the changes in net assets available for benefits for the year ended December 31, 2021,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supplemental information contained in the Schedule H, Line 4i-Schedule of Assets (Held at Year End)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Benefits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9"/>
        </w:trPr>
        <w:tc>
          <w:tcPr>
            <w:tcW w:w="91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9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 investments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Rollovers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contributions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9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additions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r>
      <w:tr>
        <w:trPr>
          <w:trHeight w:val="236"/>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benefits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deductions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deductions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r>
      <w:tr>
        <w:trPr>
          <w:trHeight w:val="237"/>
        </w:trPr>
        <w:tc>
          <w:tcPr>
            <w:tcW w:w="9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23"/>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assets available for benefits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36"/>
        </w:trPr>
        <w:tc>
          <w:tcPr>
            <w:tcW w:w="9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w:t>
            </w:r>
          </w:p>
        </w:tc>
      </w:tr>
      <w:tr>
        <w:trPr>
          <w:trHeight w:val="223"/>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25,658</w:t>
            </w: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927"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BellRing Brands, Inc. 401(k) Plan (the “Plan”) provides only general information. Participants should refer to the Plan document for a more complete description of the Plan’s provisions.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21, 2019, BellRing Brands, Inc. (“BellRing Inc.”) closed its initial public offering (the “IPO”) of its Class A common stock, $0.01 par value per share (the “Class A common stock”) and contributed the net proceeds from the IPO to BellRing Brands, LLC, a Delaware limited liability company and subsidiary of BellRing Inc. (“BellRing LLC”), in exchange for BellRing LLC non-voting membership units (“BellRing LLC units”) which represented 28.5% and 28.8% of the economic interest in BellRing LLC as of December 31, 2021 and 2020, respectively. As a result of the IPO and certain other transactions completed in connection with the IPO, BellRing LLC became the holder of the active nutrition business of Post Holdings, Inc. (“Post”). Post’s ownership of BellRing LLC units represented 71.5% and 71.2% of the economic interest in BellRing LLC as of December 31, 2021 and 2020, respectively.</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BellRing Inc. adopted the Plan on January 1, 2020 (the “Effective Date”). BellRing employees who were participants in the Post Savings Investment Plan (the “Post Plan”) at the Effective Date ceased participation in the Post Plan and were no longer eligible to make contributions to the Post Plan. Current BellRing employees’ account balances in the Post Plan at the time of adoption were transferred from the trust for the Post Plan to the trust for the Plan (“trust-to-trust transfer”) following the Effective Date. Former BellRing employees’ account balances that were still in the Post Plan prior to the Effective Date were not transferred in the trust-to-trust transfer. The trust for the Plan received $14,102,923 as part of the trust-to-trust transfer, and also received notes from participant loans valued at $172,335.</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March 10, 2022, Post completed its previously announced distribution of 80.1% of its ownership interest in BellRing to Post shareholders. For additional information on the distribution, see Note 6.</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the purpose of which is to permit deferrals of compensation by eligible employees of the Company and to provide these employees with the opportunity to invest in funds for the purpose of saving for retirement.</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Plan is subject to certain provisions of the Employee Retirement Income Security Act of 1974, as amended (“ERISA”), and the Internal Revenue Code of 1986, as amended (the “Code”). The Plan is designed to meet ERISA’s reporting and disclosure and fiduciary requirements, as well as to meet the minimum standards for participation and vesting. The Plan is also intended to qualify as a cash or deferred profit sharing plan under section 401(k)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Participation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regular domestic employees of the Company are eligible to participate in the Plan subject to the Plan’s eligibility rules. Eligible employees generally may begin making employee deferrals on their date of hire. Eligibility for Company matching contributions generally begins on the first day of the calendar month following 12 months of service.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Plan is administered by BellRing Inc., with certain ministerial functions associated with day-to-day administration delegated to Post. Except for matters required by the terms of the Plan to be decided by the trustee or matters delegated to the BellRing Brands, Inc. Employee Benefit Trustees Committee (the “EBTC”), the Plan administrator has the exclusive right to interpret the Plan and to decide any and all matters arising under the Plan or in connection with its administration. The Plan designates the EBTC as having certain rights and obligations to control and manage Plan assets, to select investment funds available for investment by Plan participants and to appoint and remove the trustee and any investment managers retained in connection with the investment of Plan assets. The Plan designates the EBTC as the claims fiduciary for the Plan. Certain Plan expenses are paid by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the pre-tax contribution amount, Roth contribution (after-tax) amount or combination of pre-tax and Roth contributions was limited to $19,500 per calendar year for each participant, and a catch-up contribution for individuals ages 50 or over was limited to $6,500 per calendar year for each participant. Subject to such limitations, participants may generally make Roth or pre-tax contributions of 1% to 50% of their compensation in 1% increments.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927" w:right="339" w:bottom="1440" w:gutter="0" w:footer="0" w:header="0"/>
          <w:type w:val="continuous"/>
        </w:sectPr>
      </w:pPr>
    </w:p>
    <w:bookmarkStart w:id="6" w:name="page7"/>
    <w:bookmarkEnd w:id="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Participant contributions may be invested in any of the available investment funds. Participant contributions and earnings thereon are vested and non-forfeitable from the time made.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generally matches a percentage of compensation that a participant contributes to the Plan in amounts defined by the terms of the Plan, beginning on the first month following one year of service. Company contributions and earnings generally vest 100% upon eligibility.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contributions are deposited by the Company in trust funds held by Vanguard Fiduciary Trust Company (“Vanguard”) or any successor trustee as may be selected by the EBTC. The values of the trust funds change according to increases or decreases in the values of the assets, gains or losses on sales of assets held therein and income from dividends and interest. In addition, Vanguard performs all record-keeping functions for the Plan. The trustee maintains as many separate investment funds within its trust funds, with such different investment objectives, as the EBTC deems advisable. During the year ended December 31, 2021, participants were able to allocate their contributions among the available investment options, including mutual funds, collective trust funds and a BellRing Brands, Inc. stock fund.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Withdrawals, Loans and Forfeitures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participant termination, retirement, disability or death, or in the event of termination of the Plan without establishment of a successor plan, the amount in the trust fund credited to each participant will be distributed to the participant or to the participant’s beneficiary or other legal representative. Under the Plan, a participant may elect from several alternatives regarding the timing of distributions. Plan withdrawals from certain contribution accounts may be made prior to termination or retirement if a participant is at least age 59 1/2 or for cases of hardship. Hardship withdrawals are limited to the amount required to meet the need created by the hardship and are made in accordance with guidelines determined by BellRing Inc., as defined within the Plan document.</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due to the enactment of the Coronavirus Aid, Relief, and Economic Security Act (the “CARES Act”) on March 27, 2020, certain Plan participants qualified for a new COVID-related distribution option through December 31, 2020. Individuals who were diagnosed with (or those whose spouse or dependent was diagnosed with) COVID-19, or who experienced adverse financial consequences as a result of being quarantined, furloughed or laid off, having work hours reduced or being unable to work due to lack of childcare due to COVID-19 (“Qualified Individuals”), could choose to take COVID-related distributions of up to $100,000 in 2020 without being subject to either the usual early distribution penalty applicable to those who have not yet reached age 59-1/2 or the mandatory withholding requirement. The distribution may be returned to the Plan during a three-year period following the distribution.</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subject to certain rules and regulations, permits participants to borrow from their vested account balances. Such loans will be permitted for any purpose, provided certain Plan conditions and certain other conditions as prescribed by federal law are met. Generally, participants may borrow a minimum of $1,000 up to a maximum equal to the lesser of $50,000 or 50% of their vested account balance. The loans are collateralized by the balance in the participant’s account and bear interest equal to the prime rate as most recently adjusted, on a quarterly basis, and as reported in The Wall Street Journal, plus one percentage point. Principal and interest are generally paid ratably through payroll deductions for each pay period in which the participant receives compensation from the Company; however, as a result of the Plan’s implementation of a portion of the CARES Act, Plan participants who were Qualified Individuals were able to suspend, for up to one year, loan repayments which would otherwise have been due between the date this provision was implemented and December 31, 2020, with interest continuing to accrue while repayment was suspended.</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termination of employment, any Company matching contributions and the earnings thereon which are not vested will be forfeited, but will be restored if the participant again becomes an eligible employee within five years after termination. Amounts forfeited are used to reduce Company matching contributions required under the Plan. Forfeitures, net of amounts restored, were immaterial during the years ended December 31, 2021 and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BellRing Inc. delegated authority to amend the Plan to 1) the President and Chief Executive Officer, General Counsel and Vice President of People of BellRing Inc., provided that any such amendment is not reasonably expected to increase BellRing Inc.'s liability with respect to the Plan by more than $5,000,000, determined on a present value basis, and 2) the chairman of the EBTC, provided that any such amendment is not reasonably expected to increase BellRing Inc.’s liability with respect to the Plan by more than $15,000,000, determined on a present value basis. BellRing Inc. may terminate the Plan or amend the Plan so that Company matching contributions cease. In the case of Plan termination, non-forfeitable rights to the Company matching contributions credited to a participant’s account shall automatically vest.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financial statements are prepared using the accrual basis of accounting.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additions to and deductions from net assets during the reporting period.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are recorded upon distribution.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Plan’s investments are stated at fair value or net asset value (“NAV”) for collective trust funds. Fair value is the price that would be received to sell an asset or paid to transfer a liability in an orderly transaction between market participants at the measurement date. The EBTC determines the Plan’s valuation policies utilizing information provided by the Plan’s investment advisors and custodian. See Note 3 for discussion of fair value measurements.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Net appreciation or depreciation in fair value of investments is comprised of net realized and unrealized gains and losses. Capital gain distributions are included in dividend income. Investment securities are exposed to various risks, such as interest rate, market and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Plan’s assets measured at fair value on a recurring basis and the basis for that measurement according to the levels in the fair value hierarchy in Accounting Standards Codification (“ASC”) Topic 820, “Fair Value Measurement.”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Pr>
          <w:p>
            <w:pPr>
              <w:spacing w:after="0"/>
              <w:rPr>
                <w:sz w:val="18"/>
                <w:szCs w:val="18"/>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3"/>
        </w:trPr>
        <w:tc>
          <w:tcPr>
            <w:tcW w:w="5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Trusts (b)</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40" w:right="20" w:hanging="332"/>
        <w:spacing w:after="0" w:line="280"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and 2020, the Plan’s common stock consisted of BellRing Inc. Class A common stock and Post common stock transferred from the Post Plan. See Notes 1 and 4 for information regarding Post’s relationship to the Company.</w:t>
      </w:r>
    </w:p>
    <w:p>
      <w:pPr>
        <w:spacing w:after="0" w:line="56"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ASC Topic 820, certain investments that were measured at NAV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w:t>
      </w:r>
    </w:p>
    <w:p>
      <w:pPr>
        <w:spacing w:after="0" w:line="115" w:lineRule="exact"/>
        <w:rPr>
          <w:sz w:val="20"/>
          <w:szCs w:val="20"/>
          <w:color w:val="auto"/>
        </w:rPr>
      </w:pPr>
    </w:p>
    <w:p>
      <w:pPr>
        <w:ind w:left="4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Shares of mutual funds are valued at quoted market prices on the last business day of the Plan year, which represent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shares held by the Plan.</w:t>
      </w:r>
    </w:p>
    <w:p>
      <w:pPr>
        <w:spacing w:after="0" w:line="50" w:lineRule="exact"/>
        <w:rPr>
          <w:sz w:val="20"/>
          <w:szCs w:val="20"/>
          <w:color w:val="auto"/>
        </w:rPr>
      </w:pPr>
    </w:p>
    <w:p>
      <w:pPr>
        <w:ind w:left="4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The BellRing Inc. Stock Fund and Post Stock Fund are valued at quoted market prices of shares held by the Plan on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of the Plan year plus any uninvested cash holdings.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43" w:right="339" w:bottom="1440" w:gutter="0" w:footer="0" w:header="0"/>
          <w:type w:val="continuous"/>
        </w:sectPr>
      </w:pPr>
    </w:p>
    <w:bookmarkStart w:id="8" w:name="page9"/>
    <w:bookmarkEnd w:id="8"/>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Collective Trusts </w:t>
      </w:r>
      <w:r>
        <w:rPr>
          <w:rFonts w:ascii="Times New Roman" w:cs="Times New Roman" w:eastAsia="Times New Roman" w:hAnsi="Times New Roman"/>
          <w:sz w:val="18"/>
          <w:szCs w:val="18"/>
          <w:color w:val="auto"/>
        </w:rPr>
        <w:t>— The collective trusts are valued at the NAV of the units held by the Plan. The NAV is used as a practical expedient to estimate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This practical expedient would not be used if it is determined to be probable that the fund will sell the investment for an amount different from the reported NAV. Participant transactions (purchases and sales) may occur daily.</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investment securities could result in a different fair value measurement at the reporting date and it is therefore, at least reasonably possible, that these differences could materially affect the amounts reported in the Statements of Net Assets Available for Benefits.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investments for which the fair value is measured using the NAV per share practical expedient as of December 31, 2021 and 2020. There are no participant redemption restrictions for these investments and the notice period is applicable only to the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Unfunded</w:t>
            </w:r>
          </w:p>
        </w:tc>
        <w:tc>
          <w:tcPr>
            <w:tcW w:w="1520" w:type="dxa"/>
            <w:vAlign w:val="bottom"/>
            <w:gridSpan w:val="2"/>
            <w:vMerge w:val="continue"/>
          </w:tcPr>
          <w:p>
            <w:pPr>
              <w:spacing w:after="0"/>
              <w:rPr>
                <w:sz w:val="2"/>
                <w:szCs w:val="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line="20" w:lineRule="exact"/>
              <w:rPr>
                <w:sz w:val="1"/>
                <w:szCs w:val="1"/>
                <w:color w:val="auto"/>
              </w:rPr>
            </w:pPr>
          </w:p>
        </w:tc>
      </w:tr>
      <w:tr>
        <w:trPr>
          <w:trHeight w:val="162"/>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vMerge w:val="restart"/>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frequency (if</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currently eligible)</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notice period</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Trusts</w:t>
            </w: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Plan investments are shares of BellRing Inc. Class A common stock. BellRing Inc. is the Plan sponsor and, therefore, these transactions qualify as party-in-interest transactions under the provisions of ERISA. At December 31, 2021, these shares had a total cost of $509,522 and a market value of $630,187. During 2021, the Plan purchased $192,200 and sold $2,272 of such assets. At December 31, 2020, these shares had a total cost of $319,594 and a market value of $369,022. During 2020, the Plan purchased $323,607 and sold $4,518 of such assets.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Plan investments are shares of Post common stock. Prior to the Plan’s Effective Date, BellRing’s employees participated in the Post Plan, which included investments in Post common stock. These investments were transferred to the Plan in the trust-to-trust transfer. Post was a member of BellRing LLC and indirectly held 71.5% and 71.2% of the economic interest in BellRing LLC as of December 31, 2021 and 2020, respectively (see Note 1). Therefore, transactions of Post common stock qualify as party-in-interest transactions under the provisions of ERISA. At December 31, 2021, these shares had a total cost of $396,752 and a market value of $609,002. During 2021, the Plan made no purchases of Post common stock and sold $113,675 of such assets. At December 31, 2020, these shares had a total cost of $510,427 and a market value of $696,094. During 2020, the Plan made no purchases of Post common stock and sold $279,910 of such assets.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 invests in shares of mutual funds and units of collective trusts managed by an affiliate of Vanguard. Vanguard acts as trustee for only those investments as defined by the Plan. Transactions in such investments qualify as party-in-interest transactions which are exempt from the prohibited transaction rules.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Fees paid by the Plan for administrative services were $18,377 for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 STATUS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 obtained its latest determination letter on October 29, 2020 in which the Internal Revenue Service (“IRS”) stated that the Plan, as designed as of May 27, 2020 was in compliance with the applicable requirements of the Code as a qualified plan exempt from income tax. The Plan’s administrator and legal counsel believe the Plan is currently designed and being operated in compliance with the applicable requirements of the Code.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if the Plan has taken an uncertain tax position that more likely than not would not be sustained upon examination by the IRS. The Plan administrator has analyzed the tax positions taken by the Plan and has concluded that, as of December 31, 2021, there are no uncertain tax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2022, Post completed its previously announced plan to distribute 80.1% of its ownership interest in BellRing to Post shareholders pursuant to the terms of a Transaction Agreement and Plan of Merger between BellRing Distribution, LLC, a newly-formed wholly-owned subsidiary of Post (“New BellRing”) and BellRing Merger Sub Corporation, a wholly-owned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9"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subsidiary of New BellRing (“Merger Sub”). On March 10, 2022, New BellRing converted into a Delaware corporation and changed its name to “BellRing Brands, Inc.”, and Post distributed 80.1% of its shares of New BellRing common stock, par value $0.01 per share (“New BellRing common stock”) to Post shareholders in a pro-rata distribution (“the Distribution”). Post shareholders, including participants in the Plan who held investments in Post common stock, received 1.267788 shares of New BellRing common stock for every one share of Post common stock held as of February 25, 2022.</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BellRing Inc. (the “Merger”), with BellRing Inc. continuing as the surviving corporation and becoming a wholly-owned subsidiary of New BellRing. Pursuant to the Merger, each outstanding share of BellRing Inc. Class A common stock, including shares held in the Plan, was converted into one share of New BellRing common stock and $2.97 merger consideration in cash (the “Merger Consideration”). The Merger Consideration received by participants of the Plan who held investments in BellRing Inc. Class A common stock prior to the Merger was invested in an age-appropriate target date retirement funds within the Plan. Subsequent to the Distribution, participants had the option to reallocate the invested Merger Consideration into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31" w:right="339" w:bottom="1440" w:gutter="0" w:footer="0" w:header="0"/>
        </w:sectPr>
      </w:pPr>
    </w:p>
    <w:bookmarkStart w:id="10" w:name="page11"/>
    <w:bookmarkEnd w:id="10"/>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83-4096323 Plan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Identity of Issuer, Borrower, Lessor</w:t>
            </w:r>
          </w:p>
        </w:tc>
        <w:tc>
          <w:tcPr>
            <w:tcW w:w="5760" w:type="dxa"/>
            <w:vAlign w:val="bottom"/>
            <w:vMerge w:val="restart"/>
          </w:tcPr>
          <w:p>
            <w:pPr>
              <w:ind w:left="2380"/>
              <w:spacing w:after="0"/>
              <w:rPr>
                <w:sz w:val="20"/>
                <w:szCs w:val="20"/>
                <w:color w:val="auto"/>
              </w:rPr>
            </w:pPr>
            <w:r>
              <w:rPr>
                <w:rFonts w:ascii="Times New Roman" w:cs="Times New Roman" w:eastAsia="Times New Roman" w:hAnsi="Times New Roman"/>
                <w:sz w:val="16"/>
                <w:szCs w:val="16"/>
                <w:b w:val="1"/>
                <w:bCs w:val="1"/>
                <w:color w:val="auto"/>
              </w:rPr>
              <w:t>Description of Investment</w:t>
            </w:r>
          </w:p>
        </w:tc>
        <w:tc>
          <w:tcPr>
            <w:tcW w:w="1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or Similar Party</w:t>
            </w:r>
          </w:p>
        </w:tc>
        <w:tc>
          <w:tcPr>
            <w:tcW w:w="57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Explorer Fund Admiral Shares</w:t>
            </w:r>
          </w:p>
        </w:tc>
        <w:tc>
          <w:tcPr>
            <w:tcW w:w="14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506,891</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Vanguard Extended Market Index Fund Institutional Shares</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753,314</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Federal Money Market Fund</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281,268</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3,776,328</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International Growth Fund Admiral Shares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789,443</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Vanguard PRIMECAP Fund Admiral Shares</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1,068,942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REIT Index Fund Institutional Shares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437,740</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Vanguard Small-Cap Index Fund Institutional Shares</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850,997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Strategic Small-Cap Equity Fund</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206,450</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Vanguard Total Bond Market Index Fund Institutional Shares</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853,701</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Total International Bond Index Fund Admiral Shares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149,692</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Vanguard Total International Stock Index Fund Institutional Shares</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1,036,712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Wellington Fund Admiral Shares</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186,628</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Vanguard Windsor II Fund Admiral Shares</w:t>
            </w:r>
          </w:p>
        </w:tc>
        <w:tc>
          <w:tcPr>
            <w:tcW w:w="12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285,080</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 in Shares in Registered Investment Companies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11,183,186</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2015 Trust I</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2020 Trust I</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565,564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2025 Trust I</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1,865,762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2030 Trust I</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1,377,595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2035 Trust I</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825,747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2040 Trust I</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1,896,388</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2045 Trust I</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2,138,987</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2050 Trust I</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1,952,987</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2055 Trust I</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1,328,390</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2060 Trust I</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604,086</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2065 Trust I</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Collective Trust - Vanguard Target Retirement Income Trust I</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5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Collective Trust - Vanguard Retirement Savings Trust III</w:t>
            </w:r>
          </w:p>
        </w:tc>
        <w:tc>
          <w:tcPr>
            <w:tcW w:w="12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148,925</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 in Shares in Collective Trusts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12,931,495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 Holdings, Inc.</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 Post Holdings, Inc. Common Stock Fund</w:t>
            </w:r>
          </w:p>
        </w:tc>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BellRing Brands, Inc.</w:t>
            </w: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 BellRing Brands, Inc. Common Stock Fund</w:t>
            </w: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630,187</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 Loans</w:t>
            </w: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 Loans (various maturity dates, 4.25% - 6.5% interest)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303,654</w:t>
            </w:r>
          </w:p>
        </w:tc>
        <w:tc>
          <w:tcPr>
            <w:tcW w:w="0" w:type="dxa"/>
            <w:vAlign w:val="bottom"/>
          </w:tcPr>
          <w:p>
            <w:pPr>
              <w:spacing w:after="0"/>
              <w:rPr>
                <w:sz w:val="1"/>
                <w:szCs w:val="1"/>
                <w:color w:val="auto"/>
              </w:rPr>
            </w:pPr>
          </w:p>
        </w:tc>
      </w:tr>
      <w:tr>
        <w:trPr>
          <w:trHeight w:val="248"/>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25,657,524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Party-in-Interest</w:t>
            </w:r>
          </w:p>
        </w:tc>
        <w:tc>
          <w:tcPr>
            <w:tcW w:w="57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40" w:type="dxa"/>
            <w:vAlign w:val="bottom"/>
            <w:gridSpan w:val="2"/>
            <w:vMerge w:val="continue"/>
          </w:tcPr>
          <w:p>
            <w:pPr>
              <w:spacing w:after="0"/>
              <w:rPr>
                <w:sz w:val="14"/>
                <w:szCs w:val="14"/>
                <w:color w:val="auto"/>
              </w:rPr>
            </w:pPr>
          </w:p>
        </w:tc>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Participant-directed investment</w:t>
            </w:r>
          </w:p>
        </w:tc>
        <w:tc>
          <w:tcPr>
            <w:tcW w:w="5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9" w:lineRule="exact"/>
        <w:rPr>
          <w:sz w:val="20"/>
          <w:szCs w:val="20"/>
          <w:color w:val="auto"/>
        </w:rPr>
      </w:pPr>
    </w:p>
    <w:p>
      <w:pPr>
        <w:ind w:left="1180" w:hanging="855"/>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7"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ectPr>
          <w:pgSz w:w="11900" w:h="16838" w:orient="portrait"/>
          <w:cols w:equalWidth="0" w:num="1">
            <w:col w:w="9419"/>
          </w:cols>
          <w:pgMar w:left="1040" w:top="1440" w:right="1440"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BellRing Brands, Inc. Employee Benefit Trustees Committee have duly caused this annual report to be signed on their behalf by the undersigned hereunto duly authorized.</w:t>
      </w:r>
    </w:p>
    <w:p>
      <w:pPr>
        <w:spacing w:after="0" w:line="333" w:lineRule="exact"/>
        <w:rPr>
          <w:sz w:val="20"/>
          <w:szCs w:val="20"/>
          <w:color w:val="auto"/>
        </w:rPr>
      </w:pPr>
    </w:p>
    <w:p>
      <w:pPr>
        <w:ind w:left="820"/>
        <w:spacing w:after="0"/>
        <w:tabs>
          <w:tab w:leader="none" w:pos="6040" w:val="left"/>
        </w:tabs>
        <w:rPr>
          <w:sz w:val="20"/>
          <w:szCs w:val="20"/>
          <w:color w:val="auto"/>
        </w:rPr>
      </w:pPr>
      <w:r>
        <w:rPr>
          <w:rFonts w:ascii="Times New Roman" w:cs="Times New Roman" w:eastAsia="Times New Roman" w:hAnsi="Times New Roman"/>
          <w:sz w:val="18"/>
          <w:szCs w:val="18"/>
          <w:color w:val="auto"/>
        </w:rPr>
        <w:t>Date: June 21, 2022</w:t>
      </w:r>
      <w:r>
        <w:rPr>
          <w:sz w:val="20"/>
          <w:szCs w:val="20"/>
          <w:color w:val="auto"/>
        </w:rPr>
        <w:tab/>
      </w:r>
      <w:r>
        <w:rPr>
          <w:rFonts w:ascii="Times New Roman" w:cs="Times New Roman" w:eastAsia="Times New Roman" w:hAnsi="Times New Roman"/>
          <w:sz w:val="17"/>
          <w:szCs w:val="17"/>
          <w:b w:val="1"/>
          <w:bCs w:val="1"/>
          <w:color w:val="auto"/>
        </w:rPr>
        <w:t>BellRing Brands, Inc.</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83"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Rode</w:t>
            </w:r>
          </w:p>
        </w:tc>
      </w:tr>
      <w:tr>
        <w:trPr>
          <w:trHeight w:val="218"/>
        </w:trPr>
        <w:tc>
          <w:tcPr>
            <w:tcW w:w="5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Paul A. Rode</w:t>
            </w:r>
          </w:p>
        </w:tc>
      </w:tr>
      <w:tr>
        <w:trPr>
          <w:trHeight w:val="230"/>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w:t>
            </w:r>
          </w:p>
        </w:tc>
      </w:tr>
      <w:tr>
        <w:trPr>
          <w:trHeight w:val="229"/>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BellRing Brands, Inc.</w:t>
            </w:r>
          </w:p>
        </w:tc>
      </w:tr>
      <w:tr>
        <w:trPr>
          <w:trHeight w:val="234"/>
        </w:trPr>
        <w:tc>
          <w:tcPr>
            <w:tcW w:w="5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 Trustees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147" w:right="3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consent to incorporation by reference in the Registration Statement Form S-8 (No. 333-238306) of BellRing Brands, Inc. of our report dated June 21, 2022, relating to our audit of the BellRing Brands, Inc. 401(k) Plan financial statements and the related supplemental Schedule of Assets (Held at End of Year) which appears in this Annual Report on Form 11-K of the BellRing Brands, Inc. 401(k) Plan for the year ended December 31, 2021.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2022</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2022-06-21T14:32:51Z</dcterms:created>
  <dcterms:modified xsi:type="dcterms:W3CDTF">2022-06-21T14:32:51Z</dcterms:modified>
</cp:coreProperties>
</file>